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spacing w:line="360" w:lineRule="auto" w:after="0"/>
        <w:jc w:val="center"/>
      </w:pPr>
      <w:r>
        <w:rPr>
          <w:rFonts w:ascii="Arial" w:hAnsi="Arial"/>
          <w:b/>
          <w:sz w:val="24"/>
        </w:rPr>
        <w:t>INSTITUTO FEDERAL DE SÃO PAULO – CAMPUS HORTOLÂNDIA</w:t>
      </w:r>
    </w:p>
    <w:p>
      <w:pPr>
        <w:spacing w:line="360" w:lineRule="auto" w:after="0"/>
        <w:jc w:val="center"/>
      </w:pPr>
      <w:r>
        <w:rPr>
          <w:rFonts w:ascii="Arial" w:hAnsi="Arial"/>
          <w:b/>
          <w:sz w:val="24"/>
        </w:rPr>
        <w:t>TECNOLOGIA EM ANÁLISE E DESENVOLVIMENTO DE SISTEMAS</w:t>
      </w:r>
    </w:p>
    <w:p>
      <w:pPr>
        <w:spacing w:line="360" w:lineRule="auto" w:after="0"/>
        <w:jc w:val="center"/>
      </w:pPr>
      <w:r>
        <w:rPr>
          <w:rFonts w:ascii="Arial" w:hAnsi="Arial"/>
          <w:b/>
          <w:sz w:val="24"/>
        </w:rPr>
        <w:t>PRÁTICAS EM SOCIEDADE E INFORMÁTICA 3</w:t>
      </w:r>
    </w:p>
    <w:p/>
    <w:p/>
    <w:p/>
    <w:p/>
    <w:p/>
    <w:p>
      <w:pPr>
        <w:spacing w:line="360" w:lineRule="auto" w:after="80"/>
        <w:jc w:val="center"/>
      </w:pPr>
      <w:r>
        <w:rPr>
          <w:rFonts w:ascii="Arial" w:hAnsi="Arial"/>
          <w:b/>
          <w:sz w:val="24"/>
        </w:rPr>
        <w:t>ANÁLISE DE VIABILIDADE E IMPACTO DA INTRODUÇÃO DE AGENTE DE INTELIGÊNCIA ARTIFICIAL</w:t>
      </w:r>
    </w:p>
    <w:p>
      <w:pPr>
        <w:spacing w:line="360" w:lineRule="auto" w:after="0"/>
        <w:jc w:val="center"/>
      </w:pPr>
      <w:r>
        <w:rPr>
          <w:rFonts w:ascii="Arial" w:hAnsi="Arial"/>
          <w:b/>
          <w:sz w:val="24"/>
        </w:rPr>
        <w:t>Projeto: Entre a Tecnologia e a Sustentabilidade: os Desafios Ambientais na Implantação de Data Centers</w:t>
      </w:r>
    </w:p>
    <w:p/>
    <w:p/>
    <w:p/>
    <w:p/>
    <w:p/>
    <w:p/>
    <w:p/>
    <w:p>
      <w:pPr>
        <w:spacing w:line="360" w:lineRule="auto" w:after="0"/>
        <w:jc w:val="center"/>
      </w:pPr>
      <w:r>
        <w:rPr>
          <w:rFonts w:ascii="Arial" w:hAnsi="Arial"/>
          <w:b w:val="0"/>
          <w:sz w:val="24"/>
        </w:rPr>
        <w:t>Hortolândia – SP</w:t>
        <w:br/>
        <w:t>2026</w:t>
      </w:r>
    </w:p>
    <w:p>
      <w:r>
        <w:br w:type="page"/>
      </w:r>
    </w:p>
    <w:p>
      <w:pPr>
        <w:pStyle w:val="Ttulo1"/>
        <w:spacing w:before="240" w:after="120"/>
      </w:pPr>
      <w:r>
        <w:rPr>
          <w:rFonts w:ascii="Arial" w:hAnsi="Arial"/>
          <w:b/>
        </w:rPr>
        <w:t>1. Contextualização da mudança</w:t>
      </w:r>
    </w:p>
    <w:p>
      <w:pPr>
        <w:spacing w:line="360" w:lineRule="auto" w:after="120"/>
        <w:ind w:firstLine="709"/>
      </w:pPr>
      <w:r>
        <w:rPr>
          <w:rFonts w:ascii="Arial" w:hAnsi="Arial"/>
          <w:b w:val="0"/>
          <w:sz w:val="24"/>
        </w:rPr>
        <w:t>O projeto tem como produto tecnológico um dashboard digital interativo voltado à apresentação e comparação de informações sobre impactos ambientais e benefícios associados aos Data Centers. A solução original contempla indicadores de consumo de energia, consumo de água, emissões de gases de efeito estufa, resíduos eletroeletrônicos, uso de recursos naturais, benefícios, fontes e localização geográfica.</w:t>
      </w:r>
    </w:p>
    <w:p>
      <w:pPr>
        <w:spacing w:line="360" w:lineRule="auto" w:after="120"/>
        <w:ind w:firstLine="709"/>
      </w:pPr>
      <w:r>
        <w:rPr>
          <w:rFonts w:ascii="Arial" w:hAnsi="Arial"/>
          <w:b w:val="0"/>
          <w:sz w:val="24"/>
        </w:rPr>
        <w:t>Diante do atual cenário de mercado e da solicitação dos stakeholders para que o MVP apresentado na Semana Nacional de Ciência e Tecnologia (SNCT) demonstre o uso de agentes de Inteligência Artificial, propõe-se ampliar o escopo com um Agente Conversacional de Análise Ambiental. A funcionalidade permitirá que o usuário faça perguntas em linguagem natural sobre os dados existentes no projeto e receba respostas explicativas, comparativas e contextualizadas.</w:t>
      </w:r>
    </w:p>
    <w:p>
      <w:pPr>
        <w:pStyle w:val="Ttulo1"/>
        <w:spacing w:before="240" w:after="120"/>
      </w:pPr>
      <w:r>
        <w:rPr>
          <w:rFonts w:ascii="Arial" w:hAnsi="Arial"/>
          <w:b/>
        </w:rPr>
        <w:t>2. Funcionalidade proposta: Agente Conversacional de Análise Ambiental</w:t>
      </w:r>
    </w:p>
    <w:p>
      <w:pPr>
        <w:spacing w:line="360" w:lineRule="auto" w:after="120"/>
        <w:ind w:firstLine="709"/>
      </w:pPr>
      <w:r>
        <w:rPr>
          <w:rFonts w:ascii="Arial" w:hAnsi="Arial"/>
          <w:b w:val="0"/>
          <w:sz w:val="24"/>
        </w:rPr>
        <w:t>O agente será disponibilizado dentro do dashboard por meio de uma interface de conversa. Em vez de depender exclusivamente da navegação por gráficos, filtros e mapa, o usuário poderá formular perguntas diretamente, e o agente utilizará os dados estruturados e as fontes disponíveis na aplicação para construir a resposta.</w:t>
      </w:r>
    </w:p>
    <w:p>
      <w:pPr>
        <w:spacing w:line="360" w:lineRule="auto" w:after="120"/>
      </w:pPr>
      <w:r>
        <w:rPr>
          <w:rFonts w:ascii="Arial" w:hAnsi="Arial"/>
          <w:b w:val="0"/>
          <w:sz w:val="24"/>
        </w:rPr>
        <w:t>Exemplos de perguntas previstas para o MVP:</w:t>
      </w:r>
    </w:p>
    <w:p>
      <w:pPr>
        <w:pStyle w:val="Commarcadores"/>
        <w:spacing w:line="360" w:lineRule="auto" w:after="60"/>
      </w:pPr>
      <w:r>
        <w:rPr>
          <w:rFonts w:ascii="Arial" w:hAnsi="Arial"/>
          <w:sz w:val="24"/>
        </w:rPr>
        <w:t>“Qual é a área mais afetada pelos Data Centers?”</w:t>
      </w:r>
    </w:p>
    <w:p>
      <w:pPr>
        <w:pStyle w:val="Commarcadores"/>
        <w:spacing w:line="360" w:lineRule="auto" w:after="60"/>
      </w:pPr>
      <w:r>
        <w:rPr>
          <w:rFonts w:ascii="Arial" w:hAnsi="Arial"/>
          <w:sz w:val="24"/>
        </w:rPr>
        <w:t>“Qual Data Center apresenta os maiores impactos ambientais entre os dados disponíveis?”</w:t>
      </w:r>
    </w:p>
    <w:p>
      <w:pPr>
        <w:pStyle w:val="Commarcadores"/>
        <w:spacing w:line="360" w:lineRule="auto" w:after="60"/>
      </w:pPr>
      <w:r>
        <w:rPr>
          <w:rFonts w:ascii="Arial" w:hAnsi="Arial"/>
          <w:sz w:val="24"/>
        </w:rPr>
        <w:t>“Qual Data Center possui maior consumo de água?”</w:t>
      </w:r>
    </w:p>
    <w:p>
      <w:pPr>
        <w:pStyle w:val="Commarcadores"/>
        <w:spacing w:line="360" w:lineRule="auto" w:after="60"/>
      </w:pPr>
      <w:r>
        <w:rPr>
          <w:rFonts w:ascii="Arial" w:hAnsi="Arial"/>
          <w:sz w:val="24"/>
        </w:rPr>
        <w:t>“Quais são os principais impactos ambientais associados aos Data Centers?”</w:t>
      </w:r>
    </w:p>
    <w:p>
      <w:pPr>
        <w:pStyle w:val="Commarcadores"/>
        <w:spacing w:line="360" w:lineRule="auto" w:after="60"/>
      </w:pPr>
      <w:r>
        <w:rPr>
          <w:rFonts w:ascii="Arial" w:hAnsi="Arial"/>
          <w:sz w:val="24"/>
        </w:rPr>
        <w:t>“Compare o consumo de energia de dois Data Centers.”</w:t>
      </w:r>
    </w:p>
    <w:p>
      <w:pPr>
        <w:pStyle w:val="Commarcadores"/>
        <w:spacing w:line="360" w:lineRule="auto" w:after="60"/>
      </w:pPr>
      <w:r>
        <w:rPr>
          <w:rFonts w:ascii="Arial" w:hAnsi="Arial"/>
          <w:sz w:val="24"/>
        </w:rPr>
        <w:t>“Quais fontes sustentam essa informação?”</w:t>
      </w:r>
    </w:p>
    <w:p>
      <w:pPr>
        <w:spacing w:line="360" w:lineRule="auto" w:after="120"/>
        <w:ind w:firstLine="709"/>
      </w:pPr>
      <w:r>
        <w:rPr>
          <w:rFonts w:ascii="Arial" w:hAnsi="Arial"/>
          <w:b w:val="0"/>
          <w:sz w:val="24"/>
        </w:rPr>
        <w:t>Para reduzir respostas sem fundamento, o agente deverá priorizar os dados cadastrados no projeto. Quando os dados não forem suficientes para responder de forma confiável, deverá informar essa limitação ao usuário, em vez de inventar valores ou conclusões. Sempre que possível, a resposta deverá indicar o indicador, o período analisado e a fonte utilizada.</w:t>
      </w:r>
    </w:p>
    <w:p>
      <w:pPr>
        <w:pStyle w:val="Ttulo1"/>
        <w:spacing w:before="240" w:after="120"/>
      </w:pPr>
      <w:r>
        <w:rPr>
          <w:rFonts w:ascii="Arial" w:hAnsi="Arial"/>
          <w:b/>
        </w:rPr>
        <w:t>3. Análise de viabilidade da mudança</w:t>
      </w:r>
    </w:p>
    <w:p>
      <w:pPr>
        <w:spacing w:line="360" w:lineRule="auto" w:after="120"/>
        <w:ind w:firstLine="709"/>
      </w:pPr>
      <w:r>
        <w:rPr>
          <w:rFonts w:ascii="Arial" w:hAnsi="Arial"/>
          <w:b w:val="0"/>
          <w:sz w:val="24"/>
        </w:rPr>
        <w:t>A mudança é tecnicamente viável para o MVP porque a arquitetura já proposta separa interface, serviços e camada de dados e prevê integração por API. Dessa forma, o agente pode ser introduzido como um novo serviço, sem substituir as funcionalidades atuais do dashboard. Ele atuará como uma camada adicional de consulta e interpretação dos dados.</w:t>
      </w:r>
    </w:p>
    <w:tbl>
      <w:tblPr>
        <w:tblStyle w:val="Tabelacomgrade"/>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Arial" w:hAnsi="Arial"/>
                <w:b/>
                <w:sz w:val="20"/>
              </w:rPr>
              <w:t>Dimensão</w:t>
            </w:r>
          </w:p>
        </w:tc>
        <w:tc>
          <w:tcPr>
            <w:tcW w:type="dxa" w:w="3135"/>
            <w:vAlign w:val="center"/>
          </w:tcPr>
          <w:p>
            <w:r>
              <w:rPr>
                <w:rFonts w:ascii="Arial" w:hAnsi="Arial"/>
                <w:b/>
                <w:sz w:val="20"/>
              </w:rPr>
              <w:t>Análise de viabilidade</w:t>
            </w:r>
          </w:p>
        </w:tc>
        <w:tc>
          <w:tcPr>
            <w:tcW w:type="dxa" w:w="3135"/>
            <w:vAlign w:val="center"/>
          </w:tcPr>
          <w:p>
            <w:r>
              <w:rPr>
                <w:rFonts w:ascii="Arial" w:hAnsi="Arial"/>
                <w:b/>
                <w:sz w:val="20"/>
              </w:rPr>
              <w:t>Avaliação</w:t>
            </w:r>
          </w:p>
        </w:tc>
      </w:tr>
      <w:tr>
        <w:tc>
          <w:tcPr>
            <w:tcW w:type="dxa" w:w="3135"/>
            <w:vAlign w:val="top"/>
          </w:tcPr>
          <w:p>
            <w:pPr>
              <w:spacing w:after="40"/>
            </w:pPr>
            <w:r>
              <w:rPr>
                <w:rFonts w:ascii="Arial" w:hAnsi="Arial"/>
                <w:sz w:val="18"/>
              </w:rPr>
              <w:t>Técnica</w:t>
            </w:r>
          </w:p>
        </w:tc>
        <w:tc>
          <w:tcPr>
            <w:tcW w:type="dxa" w:w="3135"/>
            <w:vAlign w:val="top"/>
          </w:tcPr>
          <w:p>
            <w:pPr>
              <w:spacing w:after="40"/>
            </w:pPr>
            <w:r>
              <w:rPr>
                <w:rFonts w:ascii="Arial" w:hAnsi="Arial"/>
                <w:sz w:val="18"/>
              </w:rPr>
              <w:t>Integração por API com um modelo de linguagem e com a camada de dados já prevista. O agente pode consultar Data Centers, indicadores, períodos e fontes.</w:t>
            </w:r>
          </w:p>
        </w:tc>
        <w:tc>
          <w:tcPr>
            <w:tcW w:type="dxa" w:w="3135"/>
            <w:vAlign w:val="top"/>
          </w:tcPr>
          <w:p>
            <w:pPr>
              <w:spacing w:after="40"/>
            </w:pPr>
            <w:r>
              <w:rPr>
                <w:rFonts w:ascii="Arial" w:hAnsi="Arial"/>
                <w:sz w:val="18"/>
              </w:rPr>
              <w:t>Viável</w:t>
            </w:r>
          </w:p>
        </w:tc>
      </w:tr>
      <w:tr>
        <w:tc>
          <w:tcPr>
            <w:tcW w:type="dxa" w:w="3135"/>
            <w:vAlign w:val="top"/>
          </w:tcPr>
          <w:p>
            <w:pPr>
              <w:spacing w:after="40"/>
            </w:pPr>
            <w:r>
              <w:rPr>
                <w:rFonts w:ascii="Arial" w:hAnsi="Arial"/>
                <w:sz w:val="18"/>
              </w:rPr>
              <w:t>Prazo do MVP</w:t>
            </w:r>
          </w:p>
        </w:tc>
        <w:tc>
          <w:tcPr>
            <w:tcW w:type="dxa" w:w="3135"/>
            <w:vAlign w:val="top"/>
          </w:tcPr>
          <w:p>
            <w:pPr>
              <w:spacing w:after="40"/>
            </w:pPr>
            <w:r>
              <w:rPr>
                <w:rFonts w:ascii="Arial" w:hAnsi="Arial"/>
                <w:sz w:val="18"/>
              </w:rPr>
              <w:t>É possível entregar uma versão controlada, limitada a perguntas sobre o conjunto de dados do projeto e a cenários previamente testados.</w:t>
            </w:r>
          </w:p>
        </w:tc>
        <w:tc>
          <w:tcPr>
            <w:tcW w:type="dxa" w:w="3135"/>
            <w:vAlign w:val="top"/>
          </w:tcPr>
          <w:p>
            <w:pPr>
              <w:spacing w:after="40"/>
            </w:pPr>
            <w:r>
              <w:rPr>
                <w:rFonts w:ascii="Arial" w:hAnsi="Arial"/>
                <w:sz w:val="18"/>
              </w:rPr>
              <w:t>Viável com escopo reduzido</w:t>
            </w:r>
          </w:p>
        </w:tc>
      </w:tr>
      <w:tr>
        <w:tc>
          <w:tcPr>
            <w:tcW w:type="dxa" w:w="3135"/>
            <w:vAlign w:val="top"/>
          </w:tcPr>
          <w:p>
            <w:pPr>
              <w:spacing w:after="40"/>
            </w:pPr>
            <w:r>
              <w:rPr>
                <w:rFonts w:ascii="Arial" w:hAnsi="Arial"/>
                <w:sz w:val="18"/>
              </w:rPr>
              <w:t>Custos</w:t>
            </w:r>
          </w:p>
        </w:tc>
        <w:tc>
          <w:tcPr>
            <w:tcW w:type="dxa" w:w="3135"/>
            <w:vAlign w:val="top"/>
          </w:tcPr>
          <w:p>
            <w:pPr>
              <w:spacing w:after="40"/>
            </w:pPr>
            <w:r>
              <w:rPr>
                <w:rFonts w:ascii="Arial" w:hAnsi="Arial"/>
                <w:sz w:val="18"/>
              </w:rPr>
              <w:t>Pode existir custo por requisição ao provedor de IA. Para demonstração, o volume tende a ser baixo, mas devem existir limites de uso.</w:t>
            </w:r>
          </w:p>
        </w:tc>
        <w:tc>
          <w:tcPr>
            <w:tcW w:type="dxa" w:w="3135"/>
            <w:vAlign w:val="top"/>
          </w:tcPr>
          <w:p>
            <w:pPr>
              <w:spacing w:after="40"/>
            </w:pPr>
            <w:r>
              <w:rPr>
                <w:rFonts w:ascii="Arial" w:hAnsi="Arial"/>
                <w:sz w:val="18"/>
              </w:rPr>
              <w:t>Baixo a moderado</w:t>
            </w:r>
          </w:p>
        </w:tc>
      </w:tr>
      <w:tr>
        <w:tc>
          <w:tcPr>
            <w:tcW w:type="dxa" w:w="3135"/>
            <w:vAlign w:val="top"/>
          </w:tcPr>
          <w:p>
            <w:pPr>
              <w:spacing w:after="40"/>
            </w:pPr>
            <w:r>
              <w:rPr>
                <w:rFonts w:ascii="Arial" w:hAnsi="Arial"/>
                <w:sz w:val="18"/>
              </w:rPr>
              <w:t>Dados</w:t>
            </w:r>
          </w:p>
        </w:tc>
        <w:tc>
          <w:tcPr>
            <w:tcW w:type="dxa" w:w="3135"/>
            <w:vAlign w:val="top"/>
          </w:tcPr>
          <w:p>
            <w:pPr>
              <w:spacing w:after="40"/>
            </w:pPr>
            <w:r>
              <w:rPr>
                <w:rFonts w:ascii="Arial" w:hAnsi="Arial"/>
                <w:sz w:val="18"/>
              </w:rPr>
              <w:t>A qualidade da resposta depende da disponibilidade e qualidade dos indicadores ambientais cadastrados.</w:t>
            </w:r>
          </w:p>
        </w:tc>
        <w:tc>
          <w:tcPr>
            <w:tcW w:type="dxa" w:w="3135"/>
            <w:vAlign w:val="top"/>
          </w:tcPr>
          <w:p>
            <w:pPr>
              <w:spacing w:after="40"/>
            </w:pPr>
            <w:r>
              <w:rPr>
                <w:rFonts w:ascii="Arial" w:hAnsi="Arial"/>
                <w:sz w:val="18"/>
              </w:rPr>
              <w:t>Ponto de atenção</w:t>
            </w:r>
          </w:p>
        </w:tc>
      </w:tr>
      <w:tr>
        <w:tc>
          <w:tcPr>
            <w:tcW w:type="dxa" w:w="3135"/>
            <w:vAlign w:val="top"/>
          </w:tcPr>
          <w:p>
            <w:pPr>
              <w:spacing w:after="40"/>
            </w:pPr>
            <w:r>
              <w:rPr>
                <w:rFonts w:ascii="Arial" w:hAnsi="Arial"/>
                <w:sz w:val="18"/>
              </w:rPr>
              <w:t>Segurança</w:t>
            </w:r>
          </w:p>
        </w:tc>
        <w:tc>
          <w:tcPr>
            <w:tcW w:type="dxa" w:w="3135"/>
            <w:vAlign w:val="top"/>
          </w:tcPr>
          <w:p>
            <w:pPr>
              <w:spacing w:after="40"/>
            </w:pPr>
            <w:r>
              <w:rPr>
                <w:rFonts w:ascii="Arial" w:hAnsi="Arial"/>
                <w:sz w:val="18"/>
              </w:rPr>
              <w:t>Chaves de API não devem ficar expostas no frontend. A chamada ao modelo deve ocorrer pelo backend/serviço intermediário.</w:t>
            </w:r>
          </w:p>
        </w:tc>
        <w:tc>
          <w:tcPr>
            <w:tcW w:type="dxa" w:w="3135"/>
            <w:vAlign w:val="top"/>
          </w:tcPr>
          <w:p>
            <w:pPr>
              <w:spacing w:after="40"/>
            </w:pPr>
            <w:r>
              <w:rPr>
                <w:rFonts w:ascii="Arial" w:hAnsi="Arial"/>
                <w:sz w:val="18"/>
              </w:rPr>
              <w:t>Viável com controles</w:t>
            </w:r>
          </w:p>
        </w:tc>
      </w:tr>
      <w:tr>
        <w:tc>
          <w:tcPr>
            <w:tcW w:type="dxa" w:w="3135"/>
            <w:vAlign w:val="top"/>
          </w:tcPr>
          <w:p>
            <w:pPr>
              <w:spacing w:after="40"/>
            </w:pPr>
            <w:r>
              <w:rPr>
                <w:rFonts w:ascii="Arial" w:hAnsi="Arial"/>
                <w:sz w:val="18"/>
              </w:rPr>
              <w:t>Manutenção</w:t>
            </w:r>
          </w:p>
        </w:tc>
        <w:tc>
          <w:tcPr>
            <w:tcW w:type="dxa" w:w="3135"/>
            <w:vAlign w:val="top"/>
          </w:tcPr>
          <w:p>
            <w:pPr>
              <w:spacing w:after="40"/>
            </w:pPr>
            <w:r>
              <w:rPr>
                <w:rFonts w:ascii="Arial" w:hAnsi="Arial"/>
                <w:sz w:val="18"/>
              </w:rPr>
              <w:t>Prompts, regras de consulta e testes precisarão evoluir quando novos indicadores ou fontes forem adicionados.</w:t>
            </w:r>
          </w:p>
        </w:tc>
        <w:tc>
          <w:tcPr>
            <w:tcW w:type="dxa" w:w="3135"/>
            <w:vAlign w:val="top"/>
          </w:tcPr>
          <w:p>
            <w:pPr>
              <w:spacing w:after="40"/>
            </w:pPr>
            <w:r>
              <w:rPr>
                <w:rFonts w:ascii="Arial" w:hAnsi="Arial"/>
                <w:sz w:val="18"/>
              </w:rPr>
              <w:t>Impacto moderado</w:t>
            </w:r>
          </w:p>
        </w:tc>
      </w:tr>
      <w:tr>
        <w:tc>
          <w:tcPr>
            <w:tcW w:type="dxa" w:w="3135"/>
            <w:vAlign w:val="top"/>
          </w:tcPr>
          <w:p>
            <w:pPr>
              <w:spacing w:after="40"/>
            </w:pPr>
            <w:r>
              <w:rPr>
                <w:rFonts w:ascii="Arial" w:hAnsi="Arial"/>
                <w:sz w:val="18"/>
              </w:rPr>
              <w:t>Usabilidade</w:t>
            </w:r>
          </w:p>
        </w:tc>
        <w:tc>
          <w:tcPr>
            <w:tcW w:type="dxa" w:w="3135"/>
            <w:vAlign w:val="top"/>
          </w:tcPr>
          <w:p>
            <w:pPr>
              <w:spacing w:after="40"/>
            </w:pPr>
            <w:r>
              <w:rPr>
                <w:rFonts w:ascii="Arial" w:hAnsi="Arial"/>
                <w:sz w:val="18"/>
              </w:rPr>
              <w:t>A conversa em linguagem natural facilita o acesso do público não especializado às informações do projeto.</w:t>
            </w:r>
          </w:p>
        </w:tc>
        <w:tc>
          <w:tcPr>
            <w:tcW w:type="dxa" w:w="3135"/>
            <w:vAlign w:val="top"/>
          </w:tcPr>
          <w:p>
            <w:pPr>
              <w:spacing w:after="40"/>
            </w:pPr>
            <w:r>
              <w:rPr>
                <w:rFonts w:ascii="Arial" w:hAnsi="Arial"/>
                <w:sz w:val="18"/>
              </w:rPr>
              <w:t>Impacto positivo</w:t>
            </w:r>
          </w:p>
        </w:tc>
      </w:tr>
    </w:tbl>
    <w:p>
      <w:pPr>
        <w:spacing w:after="40"/>
      </w:pPr>
    </w:p>
    <w:p>
      <w:pPr>
        <w:pStyle w:val="Ttulo1"/>
        <w:spacing w:before="240" w:after="120"/>
      </w:pPr>
      <w:r>
        <w:rPr>
          <w:rFonts w:ascii="Arial" w:hAnsi="Arial"/>
          <w:b/>
        </w:rPr>
        <w:t>4. Impacto no escopo e nos requisitos</w:t>
      </w:r>
    </w:p>
    <w:p>
      <w:pPr>
        <w:spacing w:line="360" w:lineRule="auto" w:after="120"/>
        <w:ind w:firstLine="709"/>
      </w:pPr>
      <w:r>
        <w:rPr>
          <w:rFonts w:ascii="Arial" w:hAnsi="Arial"/>
          <w:b w:val="0"/>
          <w:sz w:val="24"/>
        </w:rPr>
        <w:t>A inclusão do agente amplia o escopo funcional, mas mantém o objetivo central do projeto: tornar os impactos ambientais dos Data Centers compreensíveis ao público. A IA não substitui gráficos, mapa, filtros ou fontes; ela cria uma nova forma de acesso às mesmas informações.</w:t>
      </w:r>
    </w:p>
    <w:p>
      <w:pPr>
        <w:pStyle w:val="Ttulo2"/>
        <w:spacing w:before="240" w:after="120"/>
      </w:pPr>
      <w:r>
        <w:rPr>
          <w:rFonts w:ascii="Arial" w:hAnsi="Arial"/>
          <w:b/>
        </w:rPr>
        <w:t>4.1 Novos requisitos funcionais</w:t>
      </w:r>
    </w:p>
    <w:tbl>
      <w:tblPr>
        <w:tblStyle w:val="Tabelacomgrade"/>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Arial" w:hAnsi="Arial"/>
                <w:b/>
                <w:sz w:val="20"/>
              </w:rPr>
              <w:t>ID</w:t>
            </w:r>
          </w:p>
        </w:tc>
        <w:tc>
          <w:tcPr>
            <w:tcW w:type="dxa" w:w="3135"/>
            <w:vAlign w:val="center"/>
          </w:tcPr>
          <w:p>
            <w:r>
              <w:rPr>
                <w:rFonts w:ascii="Arial" w:hAnsi="Arial"/>
                <w:b/>
                <w:sz w:val="20"/>
              </w:rPr>
              <w:t>Requisito funcional</w:t>
            </w:r>
          </w:p>
        </w:tc>
        <w:tc>
          <w:tcPr>
            <w:tcW w:type="dxa" w:w="3135"/>
            <w:vAlign w:val="center"/>
          </w:tcPr>
          <w:p>
            <w:r>
              <w:rPr>
                <w:rFonts w:ascii="Arial" w:hAnsi="Arial"/>
                <w:b/>
                <w:sz w:val="20"/>
              </w:rPr>
              <w:t>Prioridade</w:t>
            </w:r>
          </w:p>
        </w:tc>
      </w:tr>
      <w:tr>
        <w:tc>
          <w:tcPr>
            <w:tcW w:type="dxa" w:w="3135"/>
            <w:vAlign w:val="top"/>
          </w:tcPr>
          <w:p>
            <w:pPr>
              <w:spacing w:after="40"/>
            </w:pPr>
            <w:r>
              <w:rPr>
                <w:rFonts w:ascii="Arial" w:hAnsi="Arial"/>
                <w:sz w:val="18"/>
              </w:rPr>
              <w:t>RF13</w:t>
            </w:r>
          </w:p>
        </w:tc>
        <w:tc>
          <w:tcPr>
            <w:tcW w:type="dxa" w:w="3135"/>
            <w:vAlign w:val="top"/>
          </w:tcPr>
          <w:p>
            <w:pPr>
              <w:spacing w:after="40"/>
            </w:pPr>
            <w:r>
              <w:rPr>
                <w:rFonts w:ascii="Arial" w:hAnsi="Arial"/>
                <w:sz w:val="18"/>
              </w:rPr>
              <w:t>O sistema deve permitir que o usuário envie perguntas em linguagem natural sobre Data Centers e seus indicadores ambientais.</w:t>
            </w:r>
          </w:p>
        </w:tc>
        <w:tc>
          <w:tcPr>
            <w:tcW w:type="dxa" w:w="3135"/>
            <w:vAlign w:val="top"/>
          </w:tcPr>
          <w:p>
            <w:pPr>
              <w:spacing w:after="40"/>
            </w:pPr>
            <w:r>
              <w:rPr>
                <w:rFonts w:ascii="Arial" w:hAnsi="Arial"/>
                <w:sz w:val="18"/>
              </w:rPr>
              <w:t>Alta</w:t>
            </w:r>
          </w:p>
        </w:tc>
      </w:tr>
      <w:tr>
        <w:tc>
          <w:tcPr>
            <w:tcW w:type="dxa" w:w="3135"/>
            <w:vAlign w:val="top"/>
          </w:tcPr>
          <w:p>
            <w:pPr>
              <w:spacing w:after="40"/>
            </w:pPr>
            <w:r>
              <w:rPr>
                <w:rFonts w:ascii="Arial" w:hAnsi="Arial"/>
                <w:sz w:val="18"/>
              </w:rPr>
              <w:t>RF14</w:t>
            </w:r>
          </w:p>
        </w:tc>
        <w:tc>
          <w:tcPr>
            <w:tcW w:type="dxa" w:w="3135"/>
            <w:vAlign w:val="top"/>
          </w:tcPr>
          <w:p>
            <w:pPr>
              <w:spacing w:after="40"/>
            </w:pPr>
            <w:r>
              <w:rPr>
                <w:rFonts w:ascii="Arial" w:hAnsi="Arial"/>
                <w:sz w:val="18"/>
              </w:rPr>
              <w:t>O agente deve consultar os dados disponíveis na aplicação antes de formular respostas sobre indicadores, comparações e impactos.</w:t>
            </w:r>
          </w:p>
        </w:tc>
        <w:tc>
          <w:tcPr>
            <w:tcW w:type="dxa" w:w="3135"/>
            <w:vAlign w:val="top"/>
          </w:tcPr>
          <w:p>
            <w:pPr>
              <w:spacing w:after="40"/>
            </w:pPr>
            <w:r>
              <w:rPr>
                <w:rFonts w:ascii="Arial" w:hAnsi="Arial"/>
                <w:sz w:val="18"/>
              </w:rPr>
              <w:t>Alta</w:t>
            </w:r>
          </w:p>
        </w:tc>
      </w:tr>
      <w:tr>
        <w:tc>
          <w:tcPr>
            <w:tcW w:type="dxa" w:w="3135"/>
            <w:vAlign w:val="top"/>
          </w:tcPr>
          <w:p>
            <w:pPr>
              <w:spacing w:after="40"/>
            </w:pPr>
            <w:r>
              <w:rPr>
                <w:rFonts w:ascii="Arial" w:hAnsi="Arial"/>
                <w:sz w:val="18"/>
              </w:rPr>
              <w:t>RF15</w:t>
            </w:r>
          </w:p>
        </w:tc>
        <w:tc>
          <w:tcPr>
            <w:tcW w:type="dxa" w:w="3135"/>
            <w:vAlign w:val="top"/>
          </w:tcPr>
          <w:p>
            <w:pPr>
              <w:spacing w:after="40"/>
            </w:pPr>
            <w:r>
              <w:rPr>
                <w:rFonts w:ascii="Arial" w:hAnsi="Arial"/>
                <w:sz w:val="18"/>
              </w:rPr>
              <w:t>O agente deve permitir comparações entre Data Centers e indicadores quando houver dados suficientes.</w:t>
            </w:r>
          </w:p>
        </w:tc>
        <w:tc>
          <w:tcPr>
            <w:tcW w:type="dxa" w:w="3135"/>
            <w:vAlign w:val="top"/>
          </w:tcPr>
          <w:p>
            <w:pPr>
              <w:spacing w:after="40"/>
            </w:pPr>
            <w:r>
              <w:rPr>
                <w:rFonts w:ascii="Arial" w:hAnsi="Arial"/>
                <w:sz w:val="18"/>
              </w:rPr>
              <w:t>Alta</w:t>
            </w:r>
          </w:p>
        </w:tc>
      </w:tr>
      <w:tr>
        <w:tc>
          <w:tcPr>
            <w:tcW w:type="dxa" w:w="3135"/>
            <w:vAlign w:val="top"/>
          </w:tcPr>
          <w:p>
            <w:pPr>
              <w:spacing w:after="40"/>
            </w:pPr>
            <w:r>
              <w:rPr>
                <w:rFonts w:ascii="Arial" w:hAnsi="Arial"/>
                <w:sz w:val="18"/>
              </w:rPr>
              <w:t>RF16</w:t>
            </w:r>
          </w:p>
        </w:tc>
        <w:tc>
          <w:tcPr>
            <w:tcW w:type="dxa" w:w="3135"/>
            <w:vAlign w:val="top"/>
          </w:tcPr>
          <w:p>
            <w:pPr>
              <w:spacing w:after="40"/>
            </w:pPr>
            <w:r>
              <w:rPr>
                <w:rFonts w:ascii="Arial" w:hAnsi="Arial"/>
                <w:sz w:val="18"/>
              </w:rPr>
              <w:t>As respostas do agente devem apresentar ou permitir consultar as fontes utilizadas quando aplicável.</w:t>
            </w:r>
          </w:p>
        </w:tc>
        <w:tc>
          <w:tcPr>
            <w:tcW w:type="dxa" w:w="3135"/>
            <w:vAlign w:val="top"/>
          </w:tcPr>
          <w:p>
            <w:pPr>
              <w:spacing w:after="40"/>
            </w:pPr>
            <w:r>
              <w:rPr>
                <w:rFonts w:ascii="Arial" w:hAnsi="Arial"/>
                <w:sz w:val="18"/>
              </w:rPr>
              <w:t>Alta</w:t>
            </w:r>
          </w:p>
        </w:tc>
      </w:tr>
      <w:tr>
        <w:tc>
          <w:tcPr>
            <w:tcW w:type="dxa" w:w="3135"/>
            <w:vAlign w:val="top"/>
          </w:tcPr>
          <w:p>
            <w:pPr>
              <w:spacing w:after="40"/>
            </w:pPr>
            <w:r>
              <w:rPr>
                <w:rFonts w:ascii="Arial" w:hAnsi="Arial"/>
                <w:sz w:val="18"/>
              </w:rPr>
              <w:t>RF17</w:t>
            </w:r>
          </w:p>
        </w:tc>
        <w:tc>
          <w:tcPr>
            <w:tcW w:type="dxa" w:w="3135"/>
            <w:vAlign w:val="top"/>
          </w:tcPr>
          <w:p>
            <w:pPr>
              <w:spacing w:after="40"/>
            </w:pPr>
            <w:r>
              <w:rPr>
                <w:rFonts w:ascii="Arial" w:hAnsi="Arial"/>
                <w:sz w:val="18"/>
              </w:rPr>
              <w:t>O agente deve informar quando não existirem dados suficientes para responder à pergunta.</w:t>
            </w:r>
          </w:p>
        </w:tc>
        <w:tc>
          <w:tcPr>
            <w:tcW w:type="dxa" w:w="3135"/>
            <w:vAlign w:val="top"/>
          </w:tcPr>
          <w:p>
            <w:pPr>
              <w:spacing w:after="40"/>
            </w:pPr>
            <w:r>
              <w:rPr>
                <w:rFonts w:ascii="Arial" w:hAnsi="Arial"/>
                <w:sz w:val="18"/>
              </w:rPr>
              <w:t>Alta</w:t>
            </w:r>
          </w:p>
        </w:tc>
      </w:tr>
      <w:tr>
        <w:tc>
          <w:tcPr>
            <w:tcW w:type="dxa" w:w="3135"/>
            <w:vAlign w:val="top"/>
          </w:tcPr>
          <w:p>
            <w:pPr>
              <w:spacing w:after="40"/>
            </w:pPr>
            <w:r>
              <w:rPr>
                <w:rFonts w:ascii="Arial" w:hAnsi="Arial"/>
                <w:sz w:val="18"/>
              </w:rPr>
              <w:t>RF18</w:t>
            </w:r>
          </w:p>
        </w:tc>
        <w:tc>
          <w:tcPr>
            <w:tcW w:type="dxa" w:w="3135"/>
            <w:vAlign w:val="top"/>
          </w:tcPr>
          <w:p>
            <w:pPr>
              <w:spacing w:after="40"/>
            </w:pPr>
            <w:r>
              <w:rPr>
                <w:rFonts w:ascii="Arial" w:hAnsi="Arial"/>
                <w:sz w:val="18"/>
              </w:rPr>
              <w:t>O sistema deve manter o histórico da conversa durante a sessão do usuário, quando necessário ao contexto.</w:t>
            </w:r>
          </w:p>
        </w:tc>
        <w:tc>
          <w:tcPr>
            <w:tcW w:type="dxa" w:w="3135"/>
            <w:vAlign w:val="top"/>
          </w:tcPr>
          <w:p>
            <w:pPr>
              <w:spacing w:after="40"/>
            </w:pPr>
            <w:r>
              <w:rPr>
                <w:rFonts w:ascii="Arial" w:hAnsi="Arial"/>
                <w:sz w:val="18"/>
              </w:rPr>
              <w:t>Média</w:t>
            </w:r>
          </w:p>
        </w:tc>
      </w:tr>
    </w:tbl>
    <w:p>
      <w:pPr>
        <w:spacing w:after="40"/>
      </w:pPr>
    </w:p>
    <w:p>
      <w:pPr>
        <w:pStyle w:val="Ttulo2"/>
        <w:spacing w:before="240" w:after="120"/>
      </w:pPr>
      <w:r>
        <w:rPr>
          <w:rFonts w:ascii="Arial" w:hAnsi="Arial"/>
          <w:b/>
        </w:rPr>
        <w:t>4.2 Novos requisitos não funcionais</w:t>
      </w:r>
    </w:p>
    <w:tbl>
      <w:tblPr>
        <w:tblStyle w:val="Tabelacomgrade"/>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Arial" w:hAnsi="Arial"/>
                <w:b/>
                <w:sz w:val="20"/>
              </w:rPr>
              <w:t>ID</w:t>
            </w:r>
          </w:p>
        </w:tc>
        <w:tc>
          <w:tcPr>
            <w:tcW w:type="dxa" w:w="3135"/>
            <w:vAlign w:val="center"/>
          </w:tcPr>
          <w:p>
            <w:r>
              <w:rPr>
                <w:rFonts w:ascii="Arial" w:hAnsi="Arial"/>
                <w:b/>
                <w:sz w:val="20"/>
              </w:rPr>
              <w:t>Requisito não funcional</w:t>
            </w:r>
          </w:p>
        </w:tc>
        <w:tc>
          <w:tcPr>
            <w:tcW w:type="dxa" w:w="3135"/>
            <w:vAlign w:val="center"/>
          </w:tcPr>
          <w:p>
            <w:r>
              <w:rPr>
                <w:rFonts w:ascii="Arial" w:hAnsi="Arial"/>
                <w:b/>
                <w:sz w:val="20"/>
              </w:rPr>
              <w:t>Categoria</w:t>
            </w:r>
          </w:p>
        </w:tc>
      </w:tr>
      <w:tr>
        <w:tc>
          <w:tcPr>
            <w:tcW w:type="dxa" w:w="3135"/>
            <w:vAlign w:val="top"/>
          </w:tcPr>
          <w:p>
            <w:pPr>
              <w:spacing w:after="40"/>
            </w:pPr>
            <w:r>
              <w:rPr>
                <w:rFonts w:ascii="Arial" w:hAnsi="Arial"/>
                <w:sz w:val="18"/>
              </w:rPr>
              <w:t>RNF09</w:t>
            </w:r>
          </w:p>
        </w:tc>
        <w:tc>
          <w:tcPr>
            <w:tcW w:type="dxa" w:w="3135"/>
            <w:vAlign w:val="top"/>
          </w:tcPr>
          <w:p>
            <w:pPr>
              <w:spacing w:after="40"/>
            </w:pPr>
            <w:r>
              <w:rPr>
                <w:rFonts w:ascii="Arial" w:hAnsi="Arial"/>
                <w:sz w:val="18"/>
              </w:rPr>
              <w:t>As respostas do agente devem utilizar linguagem clara e adequada ao público não especializado.</w:t>
            </w:r>
          </w:p>
        </w:tc>
        <w:tc>
          <w:tcPr>
            <w:tcW w:type="dxa" w:w="3135"/>
            <w:vAlign w:val="top"/>
          </w:tcPr>
          <w:p>
            <w:pPr>
              <w:spacing w:after="40"/>
            </w:pPr>
            <w:r>
              <w:rPr>
                <w:rFonts w:ascii="Arial" w:hAnsi="Arial"/>
                <w:sz w:val="18"/>
              </w:rPr>
              <w:t>Usabilidade/Acessibilidade</w:t>
            </w:r>
          </w:p>
        </w:tc>
      </w:tr>
      <w:tr>
        <w:tc>
          <w:tcPr>
            <w:tcW w:type="dxa" w:w="3135"/>
            <w:vAlign w:val="top"/>
          </w:tcPr>
          <w:p>
            <w:pPr>
              <w:spacing w:after="40"/>
            </w:pPr>
            <w:r>
              <w:rPr>
                <w:rFonts w:ascii="Arial" w:hAnsi="Arial"/>
                <w:sz w:val="18"/>
              </w:rPr>
              <w:t>RNF10</w:t>
            </w:r>
          </w:p>
        </w:tc>
        <w:tc>
          <w:tcPr>
            <w:tcW w:type="dxa" w:w="3135"/>
            <w:vAlign w:val="top"/>
          </w:tcPr>
          <w:p>
            <w:pPr>
              <w:spacing w:after="40"/>
            </w:pPr>
            <w:r>
              <w:rPr>
                <w:rFonts w:ascii="Arial" w:hAnsi="Arial"/>
                <w:sz w:val="18"/>
              </w:rPr>
              <w:t>Credenciais e chaves de serviços de IA devem permanecer protegidas no backend e em variáveis de ambiente.</w:t>
            </w:r>
          </w:p>
        </w:tc>
        <w:tc>
          <w:tcPr>
            <w:tcW w:type="dxa" w:w="3135"/>
            <w:vAlign w:val="top"/>
          </w:tcPr>
          <w:p>
            <w:pPr>
              <w:spacing w:after="40"/>
            </w:pPr>
            <w:r>
              <w:rPr>
                <w:rFonts w:ascii="Arial" w:hAnsi="Arial"/>
                <w:sz w:val="18"/>
              </w:rPr>
              <w:t>Segurança</w:t>
            </w:r>
          </w:p>
        </w:tc>
      </w:tr>
      <w:tr>
        <w:tc>
          <w:tcPr>
            <w:tcW w:type="dxa" w:w="3135"/>
            <w:vAlign w:val="top"/>
          </w:tcPr>
          <w:p>
            <w:pPr>
              <w:spacing w:after="40"/>
            </w:pPr>
            <w:r>
              <w:rPr>
                <w:rFonts w:ascii="Arial" w:hAnsi="Arial"/>
                <w:sz w:val="18"/>
              </w:rPr>
              <w:t>RNF11</w:t>
            </w:r>
          </w:p>
        </w:tc>
        <w:tc>
          <w:tcPr>
            <w:tcW w:type="dxa" w:w="3135"/>
            <w:vAlign w:val="top"/>
          </w:tcPr>
          <w:p>
            <w:pPr>
              <w:spacing w:after="40"/>
            </w:pPr>
            <w:r>
              <w:rPr>
                <w:rFonts w:ascii="Arial" w:hAnsi="Arial"/>
                <w:sz w:val="18"/>
              </w:rPr>
              <w:t>O sistema deve tratar indisponibilidade, timeout e erros do serviço de IA sem impedir o uso do restante do dashboard.</w:t>
            </w:r>
          </w:p>
        </w:tc>
        <w:tc>
          <w:tcPr>
            <w:tcW w:type="dxa" w:w="3135"/>
            <w:vAlign w:val="top"/>
          </w:tcPr>
          <w:p>
            <w:pPr>
              <w:spacing w:after="40"/>
            </w:pPr>
            <w:r>
              <w:rPr>
                <w:rFonts w:ascii="Arial" w:hAnsi="Arial"/>
                <w:sz w:val="18"/>
              </w:rPr>
              <w:t>Confiabilidade</w:t>
            </w:r>
          </w:p>
        </w:tc>
      </w:tr>
      <w:tr>
        <w:tc>
          <w:tcPr>
            <w:tcW w:type="dxa" w:w="3135"/>
            <w:vAlign w:val="top"/>
          </w:tcPr>
          <w:p>
            <w:pPr>
              <w:spacing w:after="40"/>
            </w:pPr>
            <w:r>
              <w:rPr>
                <w:rFonts w:ascii="Arial" w:hAnsi="Arial"/>
                <w:sz w:val="18"/>
              </w:rPr>
              <w:t>RNF12</w:t>
            </w:r>
          </w:p>
        </w:tc>
        <w:tc>
          <w:tcPr>
            <w:tcW w:type="dxa" w:w="3135"/>
            <w:vAlign w:val="top"/>
          </w:tcPr>
          <w:p>
            <w:pPr>
              <w:spacing w:after="40"/>
            </w:pPr>
            <w:r>
              <w:rPr>
                <w:rFonts w:ascii="Arial" w:hAnsi="Arial"/>
                <w:sz w:val="18"/>
              </w:rPr>
              <w:t>As respostas baseadas em dados do projeto devem preservar a rastreabilidade até a fonte correspondente.</w:t>
            </w:r>
          </w:p>
        </w:tc>
        <w:tc>
          <w:tcPr>
            <w:tcW w:type="dxa" w:w="3135"/>
            <w:vAlign w:val="top"/>
          </w:tcPr>
          <w:p>
            <w:pPr>
              <w:spacing w:after="40"/>
            </w:pPr>
            <w:r>
              <w:rPr>
                <w:rFonts w:ascii="Arial" w:hAnsi="Arial"/>
                <w:sz w:val="18"/>
              </w:rPr>
              <w:t>Confiabilidade</w:t>
            </w:r>
          </w:p>
        </w:tc>
      </w:tr>
      <w:tr>
        <w:tc>
          <w:tcPr>
            <w:tcW w:type="dxa" w:w="3135"/>
            <w:vAlign w:val="top"/>
          </w:tcPr>
          <w:p>
            <w:pPr>
              <w:spacing w:after="40"/>
            </w:pPr>
            <w:r>
              <w:rPr>
                <w:rFonts w:ascii="Arial" w:hAnsi="Arial"/>
                <w:sz w:val="18"/>
              </w:rPr>
              <w:t>RNF13</w:t>
            </w:r>
          </w:p>
        </w:tc>
        <w:tc>
          <w:tcPr>
            <w:tcW w:type="dxa" w:w="3135"/>
            <w:vAlign w:val="top"/>
          </w:tcPr>
          <w:p>
            <w:pPr>
              <w:spacing w:after="40"/>
            </w:pPr>
            <w:r>
              <w:rPr>
                <w:rFonts w:ascii="Arial" w:hAnsi="Arial"/>
                <w:sz w:val="18"/>
              </w:rPr>
              <w:t>O agente deve responder em tempo compatível com uma interação conversacional no MVP.</w:t>
            </w:r>
          </w:p>
        </w:tc>
        <w:tc>
          <w:tcPr>
            <w:tcW w:type="dxa" w:w="3135"/>
            <w:vAlign w:val="top"/>
          </w:tcPr>
          <w:p>
            <w:pPr>
              <w:spacing w:after="40"/>
            </w:pPr>
            <w:r>
              <w:rPr>
                <w:rFonts w:ascii="Arial" w:hAnsi="Arial"/>
                <w:sz w:val="18"/>
              </w:rPr>
              <w:t>Desempenho</w:t>
            </w:r>
          </w:p>
        </w:tc>
      </w:tr>
      <w:tr>
        <w:tc>
          <w:tcPr>
            <w:tcW w:type="dxa" w:w="3135"/>
            <w:vAlign w:val="top"/>
          </w:tcPr>
          <w:p>
            <w:pPr>
              <w:spacing w:after="40"/>
            </w:pPr>
            <w:r>
              <w:rPr>
                <w:rFonts w:ascii="Arial" w:hAnsi="Arial"/>
                <w:sz w:val="18"/>
              </w:rPr>
              <w:t>RNF14</w:t>
            </w:r>
          </w:p>
        </w:tc>
        <w:tc>
          <w:tcPr>
            <w:tcW w:type="dxa" w:w="3135"/>
            <w:vAlign w:val="top"/>
          </w:tcPr>
          <w:p>
            <w:pPr>
              <w:spacing w:after="40"/>
            </w:pPr>
            <w:r>
              <w:rPr>
                <w:rFonts w:ascii="Arial" w:hAnsi="Arial"/>
                <w:sz w:val="18"/>
              </w:rPr>
              <w:t>O agente deve restringir sua atuação ao contexto definido para o projeto e rejeitar ou redirecionar perguntas fora do escopo.</w:t>
            </w:r>
          </w:p>
        </w:tc>
        <w:tc>
          <w:tcPr>
            <w:tcW w:type="dxa" w:w="3135"/>
            <w:vAlign w:val="top"/>
          </w:tcPr>
          <w:p>
            <w:pPr>
              <w:spacing w:after="40"/>
            </w:pPr>
            <w:r>
              <w:rPr>
                <w:rFonts w:ascii="Arial" w:hAnsi="Arial"/>
                <w:sz w:val="18"/>
              </w:rPr>
              <w:t>Segurança/Qualidade</w:t>
            </w:r>
          </w:p>
        </w:tc>
      </w:tr>
    </w:tbl>
    <w:p>
      <w:pPr>
        <w:spacing w:after="40"/>
      </w:pPr>
    </w:p>
    <w:p>
      <w:pPr>
        <w:pStyle w:val="Ttulo1"/>
        <w:spacing w:before="240" w:after="120"/>
      </w:pPr>
      <w:r>
        <w:rPr>
          <w:rFonts w:ascii="Arial" w:hAnsi="Arial"/>
          <w:b/>
        </w:rPr>
        <w:t>5. Nova história de usuário e caso de uso</w:t>
      </w:r>
    </w:p>
    <w:p>
      <w:pPr>
        <w:spacing w:line="360" w:lineRule="auto" w:after="120"/>
        <w:ind w:firstLine="709"/>
      </w:pPr>
      <w:r>
        <w:rPr>
          <w:rFonts w:ascii="Arial" w:hAnsi="Arial"/>
          <w:b w:val="0"/>
          <w:sz w:val="24"/>
        </w:rPr>
        <w:t>HU07 – Consultar o agente de IA: Como usuário, quero fazer perguntas em linguagem natural sobre os impactos ambientais dos Data Centers, para obter explicações e comparações de forma simples sem precisar interpretar sozinho todos os gráficos e indicadores.</w:t>
      </w:r>
    </w:p>
    <w:p>
      <w:pPr>
        <w:spacing w:line="360" w:lineRule="auto" w:after="120"/>
        <w:ind w:firstLine="709"/>
      </w:pPr>
      <w:r>
        <w:rPr>
          <w:rFonts w:ascii="Arial" w:hAnsi="Arial"/>
          <w:b w:val="0"/>
          <w:sz w:val="24"/>
        </w:rPr>
        <w:t>UC12 – Conversar com o Agente de IA. Ator: Usuário. Objetivo: responder perguntas sobre os dados ambientais disponíveis. Fluxo principal: (1) o usuário abre o assistente; (2) envia uma pergunta; (3) a aplicação identifica a intenção e os dados necessários; (4) o serviço consulta a base; (5) os dados relevantes e suas fontes são enviados ao componente de IA; (6) o agente gera uma resposta fundamentada; (7) a resposta é exibida ao usuário; (8) quando não houver informação suficiente, o agente comunica a limitação.</w:t>
      </w:r>
    </w:p>
    <w:p>
      <w:pPr>
        <w:pStyle w:val="Ttulo1"/>
        <w:spacing w:before="240" w:after="120"/>
      </w:pPr>
      <w:r>
        <w:rPr>
          <w:rFonts w:ascii="Arial" w:hAnsi="Arial"/>
          <w:b/>
        </w:rPr>
        <w:t>6. Impacto na arquitetura</w:t>
      </w:r>
    </w:p>
    <w:p>
      <w:pPr>
        <w:spacing w:line="360" w:lineRule="auto" w:after="120"/>
        <w:ind w:firstLine="709"/>
      </w:pPr>
      <w:r>
        <w:rPr>
          <w:rFonts w:ascii="Arial" w:hAnsi="Arial"/>
          <w:b w:val="0"/>
          <w:sz w:val="24"/>
        </w:rPr>
        <w:t>A arquitetura passa a possuir um componente adicional de orquestração do agente. O frontend continuará responsável pela experiência do usuário, enquanto o backend controlará o acesso aos dados, a montagem do contexto e a comunicação com o modelo de linguagem. Essa abordagem evita expor credenciais no navegador e permite validar quais dados podem ser enviados ao modelo.</w:t>
      </w:r>
    </w:p>
    <w:p>
      <w:pPr>
        <w:spacing w:line="360" w:lineRule="auto" w:after="120"/>
      </w:pPr>
      <w:r>
        <w:rPr>
          <w:rFonts w:ascii="Arial" w:hAnsi="Arial"/>
          <w:b/>
          <w:sz w:val="24"/>
        </w:rPr>
        <w:t>Fluxo proposto:</w:t>
      </w:r>
    </w:p>
    <w:p>
      <w:pPr>
        <w:spacing w:line="360" w:lineRule="auto" w:after="120"/>
        <w:jc w:val="center"/>
      </w:pPr>
      <w:r>
        <w:rPr>
          <w:rFonts w:ascii="Arial" w:hAnsi="Arial"/>
          <w:b w:val="0"/>
          <w:sz w:val="24"/>
        </w:rPr>
        <w:t>Usuário → Dashboard/Chat → API → Serviço do Agente → Serviço de Dados/Banco → Serviço do Agente → API do Modelo de IA → Serviço do Agente → Dashboard/Chat → Usuário</w:t>
      </w:r>
    </w:p>
    <w:p>
      <w:pPr>
        <w:spacing w:line="360" w:lineRule="auto" w:after="120"/>
        <w:ind w:firstLine="709"/>
      </w:pPr>
      <w:r>
        <w:rPr>
          <w:rFonts w:ascii="Arial" w:hAnsi="Arial"/>
          <w:b w:val="0"/>
          <w:sz w:val="24"/>
        </w:rPr>
        <w:t>Para o MVP, recomenda-se que o agente trabalhe com consultas controladas aos dados internos, sem acesso irrestrito à Internet. Assim, perguntas comparativas como “qual Data Center apresenta maior impacto?” devem ser respondidas apenas com base nos indicadores realmente disponíveis, deixando claro o critério utilizado. Caso não exista uma métrica única de “impacto ambiental”, o agente deverá explicar que a comparação depende do indicador escolhido, como energia, água ou emissões.</w:t>
      </w:r>
    </w:p>
    <w:p>
      <w:pPr>
        <w:pStyle w:val="Ttulo1"/>
        <w:spacing w:before="240" w:after="120"/>
      </w:pPr>
      <w:r>
        <w:rPr>
          <w:rFonts w:ascii="Arial" w:hAnsi="Arial"/>
          <w:b/>
        </w:rPr>
        <w:t>7. Impacto no banco e nos dados</w:t>
      </w:r>
    </w:p>
    <w:p>
      <w:pPr>
        <w:spacing w:line="360" w:lineRule="auto" w:after="120"/>
        <w:ind w:firstLine="709"/>
      </w:pPr>
      <w:r>
        <w:rPr>
          <w:rFonts w:ascii="Arial" w:hAnsi="Arial"/>
          <w:b w:val="0"/>
          <w:sz w:val="24"/>
        </w:rPr>
        <w:t>As tabelas DATA_CENTER, INDICADOR_AMBIENTAL e FONTE já fornecem uma base adequada para as consultas do agente, pois relacionam cada Data Center a indicadores, valores, unidades, períodos e fontes. Para o MVP, não é obrigatório alterar o modelo principal de persistência. Opcionalmente, poderá ser criada uma estrutura de auditoria para registrar pergunta, data/hora, tempo de resposta, sucesso/erro e identificadores das fontes utilizadas, sem armazenar dados pessoais desnecessários.</w:t>
      </w:r>
    </w:p>
    <w:p>
      <w:pPr>
        <w:pStyle w:val="Ttulo1"/>
        <w:spacing w:before="240" w:after="120"/>
      </w:pPr>
      <w:r>
        <w:rPr>
          <w:rFonts w:ascii="Arial" w:hAnsi="Arial"/>
          <w:b/>
        </w:rPr>
        <w:t>8. Mudanças no plano de testes</w:t>
      </w:r>
    </w:p>
    <w:p>
      <w:pPr>
        <w:spacing w:line="360" w:lineRule="auto" w:after="120"/>
        <w:ind w:firstLine="709"/>
      </w:pPr>
      <w:r>
        <w:rPr>
          <w:rFonts w:ascii="Arial" w:hAnsi="Arial"/>
          <w:b w:val="0"/>
          <w:sz w:val="24"/>
        </w:rPr>
        <w:t>A estratégia atual de testes unitários, de integração, de sistema e de usabilidade deverá ser ampliada para contemplar o comportamento probabilístico do componente de IA. Diferentemente de uma função determinística, o texto da resposta pode variar; por isso, os testes devem validar critérios essenciais da resposta, e não apenas uma frase exata.</w:t>
      </w:r>
    </w:p>
    <w:p>
      <w:pPr>
        <w:pStyle w:val="Ttulo2"/>
        <w:spacing w:before="240" w:after="120"/>
      </w:pPr>
      <w:r>
        <w:rPr>
          <w:rFonts w:ascii="Arial" w:hAnsi="Arial"/>
          <w:b/>
        </w:rPr>
        <w:t>8.1 Testes unitários adicionais</w:t>
      </w:r>
    </w:p>
    <w:tbl>
      <w:tblPr>
        <w:tblStyle w:val="Tabelacomgrade"/>
        <w:tblW w:type="auto" w:w="0"/>
        <w:jc w:val="center"/>
        <w:tblLook w:firstColumn="1" w:firstRow="1" w:lastColumn="0" w:lastRow="0" w:noHBand="0" w:noVBand="1" w:val="04A0"/>
      </w:tblPr>
      <w:tblGrid>
        <w:gridCol w:w="4702"/>
        <w:gridCol w:w="4702"/>
      </w:tblGrid>
      <w:tr>
        <w:tc>
          <w:tcPr>
            <w:tcW w:type="dxa" w:w="4702"/>
            <w:vAlign w:val="center"/>
          </w:tcPr>
          <w:p>
            <w:r>
              <w:rPr>
                <w:rFonts w:ascii="Arial" w:hAnsi="Arial"/>
                <w:b/>
                <w:sz w:val="20"/>
              </w:rPr>
              <w:t>Teste</w:t>
            </w:r>
          </w:p>
        </w:tc>
        <w:tc>
          <w:tcPr>
            <w:tcW w:type="dxa" w:w="4702"/>
            <w:vAlign w:val="center"/>
          </w:tcPr>
          <w:p>
            <w:r>
              <w:rPr>
                <w:rFonts w:ascii="Arial" w:hAnsi="Arial"/>
                <w:b/>
                <w:sz w:val="20"/>
              </w:rPr>
              <w:t>Resultado esperado</w:t>
            </w:r>
          </w:p>
        </w:tc>
      </w:tr>
      <w:tr>
        <w:tc>
          <w:tcPr>
            <w:tcW w:type="dxa" w:w="4702"/>
            <w:vAlign w:val="top"/>
          </w:tcPr>
          <w:p>
            <w:pPr>
              <w:spacing w:after="40"/>
            </w:pPr>
            <w:r>
              <w:rPr>
                <w:rFonts w:ascii="Arial" w:hAnsi="Arial"/>
                <w:sz w:val="18"/>
              </w:rPr>
              <w:t>Montagem de contexto</w:t>
            </w:r>
          </w:p>
        </w:tc>
        <w:tc>
          <w:tcPr>
            <w:tcW w:type="dxa" w:w="4702"/>
            <w:vAlign w:val="top"/>
          </w:tcPr>
          <w:p>
            <w:pPr>
              <w:spacing w:after="40"/>
            </w:pPr>
            <w:r>
              <w:rPr>
                <w:rFonts w:ascii="Arial" w:hAnsi="Arial"/>
                <w:sz w:val="18"/>
              </w:rPr>
              <w:t>Somente dados e fontes relevantes à pergunta são enviados ao agente.</w:t>
            </w:r>
          </w:p>
        </w:tc>
      </w:tr>
      <w:tr>
        <w:tc>
          <w:tcPr>
            <w:tcW w:type="dxa" w:w="4702"/>
            <w:vAlign w:val="top"/>
          </w:tcPr>
          <w:p>
            <w:pPr>
              <w:spacing w:after="40"/>
            </w:pPr>
            <w:r>
              <w:rPr>
                <w:rFonts w:ascii="Arial" w:hAnsi="Arial"/>
                <w:sz w:val="18"/>
              </w:rPr>
              <w:t>Validação de pergunta</w:t>
            </w:r>
          </w:p>
        </w:tc>
        <w:tc>
          <w:tcPr>
            <w:tcW w:type="dxa" w:w="4702"/>
            <w:vAlign w:val="top"/>
          </w:tcPr>
          <w:p>
            <w:pPr>
              <w:spacing w:after="40"/>
            </w:pPr>
            <w:r>
              <w:rPr>
                <w:rFonts w:ascii="Arial" w:hAnsi="Arial"/>
                <w:sz w:val="18"/>
              </w:rPr>
              <w:t>Entradas vazias, excessivas ou inválidas são tratadas.</w:t>
            </w:r>
          </w:p>
        </w:tc>
      </w:tr>
      <w:tr>
        <w:tc>
          <w:tcPr>
            <w:tcW w:type="dxa" w:w="4702"/>
            <w:vAlign w:val="top"/>
          </w:tcPr>
          <w:p>
            <w:pPr>
              <w:spacing w:after="40"/>
            </w:pPr>
            <w:r>
              <w:rPr>
                <w:rFonts w:ascii="Arial" w:hAnsi="Arial"/>
                <w:sz w:val="18"/>
              </w:rPr>
              <w:t>Formatação da resposta</w:t>
            </w:r>
          </w:p>
        </w:tc>
        <w:tc>
          <w:tcPr>
            <w:tcW w:type="dxa" w:w="4702"/>
            <w:vAlign w:val="top"/>
          </w:tcPr>
          <w:p>
            <w:pPr>
              <w:spacing w:after="40"/>
            </w:pPr>
            <w:r>
              <w:rPr>
                <w:rFonts w:ascii="Arial" w:hAnsi="Arial"/>
                <w:sz w:val="18"/>
              </w:rPr>
              <w:t>Resposta retornada pelo serviço é exibida no formato esperado.</w:t>
            </w:r>
          </w:p>
        </w:tc>
      </w:tr>
      <w:tr>
        <w:tc>
          <w:tcPr>
            <w:tcW w:type="dxa" w:w="4702"/>
            <w:vAlign w:val="top"/>
          </w:tcPr>
          <w:p>
            <w:pPr>
              <w:spacing w:after="40"/>
            </w:pPr>
            <w:r>
              <w:rPr>
                <w:rFonts w:ascii="Arial" w:hAnsi="Arial"/>
                <w:sz w:val="18"/>
              </w:rPr>
              <w:t>Ausência de dados</w:t>
            </w:r>
          </w:p>
        </w:tc>
        <w:tc>
          <w:tcPr>
            <w:tcW w:type="dxa" w:w="4702"/>
            <w:vAlign w:val="top"/>
          </w:tcPr>
          <w:p>
            <w:pPr>
              <w:spacing w:after="40"/>
            </w:pPr>
            <w:r>
              <w:rPr>
                <w:rFonts w:ascii="Arial" w:hAnsi="Arial"/>
                <w:sz w:val="18"/>
              </w:rPr>
              <w:t>O serviço identifica falta de informação e produz resposta de limitação.</w:t>
            </w:r>
          </w:p>
        </w:tc>
      </w:tr>
      <w:tr>
        <w:tc>
          <w:tcPr>
            <w:tcW w:type="dxa" w:w="4702"/>
            <w:vAlign w:val="top"/>
          </w:tcPr>
          <w:p>
            <w:pPr>
              <w:spacing w:after="40"/>
            </w:pPr>
            <w:r>
              <w:rPr>
                <w:rFonts w:ascii="Arial" w:hAnsi="Arial"/>
                <w:sz w:val="18"/>
              </w:rPr>
              <w:t>Proteção de configuração</w:t>
            </w:r>
          </w:p>
        </w:tc>
        <w:tc>
          <w:tcPr>
            <w:tcW w:type="dxa" w:w="4702"/>
            <w:vAlign w:val="top"/>
          </w:tcPr>
          <w:p>
            <w:pPr>
              <w:spacing w:after="40"/>
            </w:pPr>
            <w:r>
              <w:rPr>
                <w:rFonts w:ascii="Arial" w:hAnsi="Arial"/>
                <w:sz w:val="18"/>
              </w:rPr>
              <w:t>Chave do provedor de IA não é enviada ao cliente.</w:t>
            </w:r>
          </w:p>
        </w:tc>
      </w:tr>
    </w:tbl>
    <w:p>
      <w:pPr>
        <w:spacing w:after="40"/>
      </w:pPr>
    </w:p>
    <w:p>
      <w:pPr>
        <w:pStyle w:val="Ttulo2"/>
        <w:spacing w:before="240" w:after="120"/>
      </w:pPr>
      <w:r>
        <w:rPr>
          <w:rFonts w:ascii="Arial" w:hAnsi="Arial"/>
          <w:b/>
        </w:rPr>
        <w:t>8.2 Testes de integração adicionais</w:t>
      </w:r>
    </w:p>
    <w:tbl>
      <w:tblPr>
        <w:tblStyle w:val="Tabelacomgrade"/>
        <w:tblW w:type="auto" w:w="0"/>
        <w:jc w:val="center"/>
        <w:tblLook w:firstColumn="1" w:firstRow="1" w:lastColumn="0" w:lastRow="0" w:noHBand="0" w:noVBand="1" w:val="04A0"/>
      </w:tblPr>
      <w:tblGrid>
        <w:gridCol w:w="4702"/>
        <w:gridCol w:w="4702"/>
      </w:tblGrid>
      <w:tr>
        <w:tc>
          <w:tcPr>
            <w:tcW w:type="dxa" w:w="4702"/>
            <w:vAlign w:val="center"/>
          </w:tcPr>
          <w:p>
            <w:r>
              <w:rPr>
                <w:rFonts w:ascii="Arial" w:hAnsi="Arial"/>
                <w:b/>
                <w:sz w:val="20"/>
              </w:rPr>
              <w:t>Integração</w:t>
            </w:r>
          </w:p>
        </w:tc>
        <w:tc>
          <w:tcPr>
            <w:tcW w:type="dxa" w:w="4702"/>
            <w:vAlign w:val="center"/>
          </w:tcPr>
          <w:p>
            <w:r>
              <w:rPr>
                <w:rFonts w:ascii="Arial" w:hAnsi="Arial"/>
                <w:b/>
                <w:sz w:val="20"/>
              </w:rPr>
              <w:t>Resultado esperado</w:t>
            </w:r>
          </w:p>
        </w:tc>
      </w:tr>
      <w:tr>
        <w:tc>
          <w:tcPr>
            <w:tcW w:type="dxa" w:w="4702"/>
            <w:vAlign w:val="top"/>
          </w:tcPr>
          <w:p>
            <w:pPr>
              <w:spacing w:after="40"/>
            </w:pPr>
            <w:r>
              <w:rPr>
                <w:rFonts w:ascii="Arial" w:hAnsi="Arial"/>
                <w:sz w:val="18"/>
              </w:rPr>
              <w:t>Chat → API</w:t>
            </w:r>
          </w:p>
        </w:tc>
        <w:tc>
          <w:tcPr>
            <w:tcW w:type="dxa" w:w="4702"/>
            <w:vAlign w:val="top"/>
          </w:tcPr>
          <w:p>
            <w:pPr>
              <w:spacing w:after="40"/>
            </w:pPr>
            <w:r>
              <w:rPr>
                <w:rFonts w:ascii="Arial" w:hAnsi="Arial"/>
                <w:sz w:val="18"/>
              </w:rPr>
              <w:t>Pergunta é recebida e validada corretamente.</w:t>
            </w:r>
          </w:p>
        </w:tc>
      </w:tr>
      <w:tr>
        <w:tc>
          <w:tcPr>
            <w:tcW w:type="dxa" w:w="4702"/>
            <w:vAlign w:val="top"/>
          </w:tcPr>
          <w:p>
            <w:pPr>
              <w:spacing w:after="40"/>
            </w:pPr>
            <w:r>
              <w:rPr>
                <w:rFonts w:ascii="Arial" w:hAnsi="Arial"/>
                <w:sz w:val="18"/>
              </w:rPr>
              <w:t>API → Serviço do Agente</w:t>
            </w:r>
          </w:p>
        </w:tc>
        <w:tc>
          <w:tcPr>
            <w:tcW w:type="dxa" w:w="4702"/>
            <w:vAlign w:val="top"/>
          </w:tcPr>
          <w:p>
            <w:pPr>
              <w:spacing w:after="40"/>
            </w:pPr>
            <w:r>
              <w:rPr>
                <w:rFonts w:ascii="Arial" w:hAnsi="Arial"/>
                <w:sz w:val="18"/>
              </w:rPr>
              <w:t>Contexto e intenção são processados corretamente.</w:t>
            </w:r>
          </w:p>
        </w:tc>
      </w:tr>
      <w:tr>
        <w:tc>
          <w:tcPr>
            <w:tcW w:type="dxa" w:w="4702"/>
            <w:vAlign w:val="top"/>
          </w:tcPr>
          <w:p>
            <w:pPr>
              <w:spacing w:after="40"/>
            </w:pPr>
            <w:r>
              <w:rPr>
                <w:rFonts w:ascii="Arial" w:hAnsi="Arial"/>
                <w:sz w:val="18"/>
              </w:rPr>
              <w:t>Agente → Base de dados</w:t>
            </w:r>
          </w:p>
        </w:tc>
        <w:tc>
          <w:tcPr>
            <w:tcW w:type="dxa" w:w="4702"/>
            <w:vAlign w:val="top"/>
          </w:tcPr>
          <w:p>
            <w:pPr>
              <w:spacing w:after="40"/>
            </w:pPr>
            <w:r>
              <w:rPr>
                <w:rFonts w:ascii="Arial" w:hAnsi="Arial"/>
                <w:sz w:val="18"/>
              </w:rPr>
              <w:t>Indicadores e fontes corretos são recuperados.</w:t>
            </w:r>
          </w:p>
        </w:tc>
      </w:tr>
      <w:tr>
        <w:tc>
          <w:tcPr>
            <w:tcW w:type="dxa" w:w="4702"/>
            <w:vAlign w:val="top"/>
          </w:tcPr>
          <w:p>
            <w:pPr>
              <w:spacing w:after="40"/>
            </w:pPr>
            <w:r>
              <w:rPr>
                <w:rFonts w:ascii="Arial" w:hAnsi="Arial"/>
                <w:sz w:val="18"/>
              </w:rPr>
              <w:t>Serviço do Agente → API de IA</w:t>
            </w:r>
          </w:p>
        </w:tc>
        <w:tc>
          <w:tcPr>
            <w:tcW w:type="dxa" w:w="4702"/>
            <w:vAlign w:val="top"/>
          </w:tcPr>
          <w:p>
            <w:pPr>
              <w:spacing w:after="40"/>
            </w:pPr>
            <w:r>
              <w:rPr>
                <w:rFonts w:ascii="Arial" w:hAnsi="Arial"/>
                <w:sz w:val="18"/>
              </w:rPr>
              <w:t>Requisição é enviada e resposta é tratada.</w:t>
            </w:r>
          </w:p>
        </w:tc>
      </w:tr>
      <w:tr>
        <w:tc>
          <w:tcPr>
            <w:tcW w:type="dxa" w:w="4702"/>
            <w:vAlign w:val="top"/>
          </w:tcPr>
          <w:p>
            <w:pPr>
              <w:spacing w:after="40"/>
            </w:pPr>
            <w:r>
              <w:rPr>
                <w:rFonts w:ascii="Arial" w:hAnsi="Arial"/>
                <w:sz w:val="18"/>
              </w:rPr>
              <w:t>Falha da IA → Dashboard</w:t>
            </w:r>
          </w:p>
        </w:tc>
        <w:tc>
          <w:tcPr>
            <w:tcW w:type="dxa" w:w="4702"/>
            <w:vAlign w:val="top"/>
          </w:tcPr>
          <w:p>
            <w:pPr>
              <w:spacing w:after="40"/>
            </w:pPr>
            <w:r>
              <w:rPr>
                <w:rFonts w:ascii="Arial" w:hAnsi="Arial"/>
                <w:sz w:val="18"/>
              </w:rPr>
              <w:t>Erro é tratado com mensagem amigável e o dashboard continua disponível.</w:t>
            </w:r>
          </w:p>
        </w:tc>
      </w:tr>
    </w:tbl>
    <w:p>
      <w:pPr>
        <w:spacing w:after="40"/>
      </w:pPr>
    </w:p>
    <w:p>
      <w:pPr>
        <w:pStyle w:val="Ttulo2"/>
        <w:spacing w:before="240" w:after="120"/>
      </w:pPr>
      <w:r>
        <w:rPr>
          <w:rFonts w:ascii="Arial" w:hAnsi="Arial"/>
          <w:b/>
        </w:rPr>
        <w:t>8.3 Testes de sistema e qualidade do agente</w:t>
      </w:r>
    </w:p>
    <w:tbl>
      <w:tblPr>
        <w:tblStyle w:val="Tabelacomgrade"/>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Arial" w:hAnsi="Arial"/>
                <w:b/>
                <w:sz w:val="20"/>
              </w:rPr>
              <w:t>Cenário</w:t>
            </w:r>
          </w:p>
        </w:tc>
        <w:tc>
          <w:tcPr>
            <w:tcW w:type="dxa" w:w="3135"/>
            <w:vAlign w:val="center"/>
          </w:tcPr>
          <w:p>
            <w:r>
              <w:rPr>
                <w:rFonts w:ascii="Arial" w:hAnsi="Arial"/>
                <w:b/>
                <w:sz w:val="20"/>
              </w:rPr>
              <w:t>Entrada</w:t>
            </w:r>
          </w:p>
        </w:tc>
        <w:tc>
          <w:tcPr>
            <w:tcW w:type="dxa" w:w="3135"/>
            <w:vAlign w:val="center"/>
          </w:tcPr>
          <w:p>
            <w:r>
              <w:rPr>
                <w:rFonts w:ascii="Arial" w:hAnsi="Arial"/>
                <w:b/>
                <w:sz w:val="20"/>
              </w:rPr>
              <w:t>Resultado esperado</w:t>
            </w:r>
          </w:p>
        </w:tc>
      </w:tr>
      <w:tr>
        <w:tc>
          <w:tcPr>
            <w:tcW w:type="dxa" w:w="3135"/>
            <w:vAlign w:val="top"/>
          </w:tcPr>
          <w:p>
            <w:pPr>
              <w:spacing w:after="40"/>
            </w:pPr>
            <w:r>
              <w:rPr>
                <w:rFonts w:ascii="Arial" w:hAnsi="Arial"/>
                <w:sz w:val="18"/>
              </w:rPr>
              <w:t>Maior consumo de água</w:t>
            </w:r>
          </w:p>
        </w:tc>
        <w:tc>
          <w:tcPr>
            <w:tcW w:type="dxa" w:w="3135"/>
            <w:vAlign w:val="top"/>
          </w:tcPr>
          <w:p>
            <w:pPr>
              <w:spacing w:after="40"/>
            </w:pPr>
            <w:r>
              <w:rPr>
                <w:rFonts w:ascii="Arial" w:hAnsi="Arial"/>
                <w:sz w:val="18"/>
              </w:rPr>
              <w:t>“Qual Data Center consome mais água?”</w:t>
            </w:r>
          </w:p>
        </w:tc>
        <w:tc>
          <w:tcPr>
            <w:tcW w:type="dxa" w:w="3135"/>
            <w:vAlign w:val="top"/>
          </w:tcPr>
          <w:p>
            <w:pPr>
              <w:spacing w:after="40"/>
            </w:pPr>
            <w:r>
              <w:rPr>
                <w:rFonts w:ascii="Arial" w:hAnsi="Arial"/>
                <w:sz w:val="18"/>
              </w:rPr>
              <w:t>O agente compara somente registros disponíveis, informa o resultado, período/unidade e fonte quando disponível.</w:t>
            </w:r>
          </w:p>
        </w:tc>
      </w:tr>
      <w:tr>
        <w:tc>
          <w:tcPr>
            <w:tcW w:type="dxa" w:w="3135"/>
            <w:vAlign w:val="top"/>
          </w:tcPr>
          <w:p>
            <w:pPr>
              <w:spacing w:after="40"/>
            </w:pPr>
            <w:r>
              <w:rPr>
                <w:rFonts w:ascii="Arial" w:hAnsi="Arial"/>
                <w:sz w:val="18"/>
              </w:rPr>
              <w:t>Impacto genérico</w:t>
            </w:r>
          </w:p>
        </w:tc>
        <w:tc>
          <w:tcPr>
            <w:tcW w:type="dxa" w:w="3135"/>
            <w:vAlign w:val="top"/>
          </w:tcPr>
          <w:p>
            <w:pPr>
              <w:spacing w:after="40"/>
            </w:pPr>
            <w:r>
              <w:rPr>
                <w:rFonts w:ascii="Arial" w:hAnsi="Arial"/>
                <w:sz w:val="18"/>
              </w:rPr>
              <w:t>“Qual Data Center mais traz impactos ambientais?”</w:t>
            </w:r>
          </w:p>
        </w:tc>
        <w:tc>
          <w:tcPr>
            <w:tcW w:type="dxa" w:w="3135"/>
            <w:vAlign w:val="top"/>
          </w:tcPr>
          <w:p>
            <w:pPr>
              <w:spacing w:after="40"/>
            </w:pPr>
            <w:r>
              <w:rPr>
                <w:rFonts w:ascii="Arial" w:hAnsi="Arial"/>
                <w:sz w:val="18"/>
              </w:rPr>
              <w:t>O agente não cria um ranking arbitrário; explica os critérios disponíveis e, quando possível, apresenta comparação por indicador.</w:t>
            </w:r>
          </w:p>
        </w:tc>
      </w:tr>
      <w:tr>
        <w:tc>
          <w:tcPr>
            <w:tcW w:type="dxa" w:w="3135"/>
            <w:vAlign w:val="top"/>
          </w:tcPr>
          <w:p>
            <w:pPr>
              <w:spacing w:after="40"/>
            </w:pPr>
            <w:r>
              <w:rPr>
                <w:rFonts w:ascii="Arial" w:hAnsi="Arial"/>
                <w:sz w:val="18"/>
              </w:rPr>
              <w:t>Área mais afetada</w:t>
            </w:r>
          </w:p>
        </w:tc>
        <w:tc>
          <w:tcPr>
            <w:tcW w:type="dxa" w:w="3135"/>
            <w:vAlign w:val="top"/>
          </w:tcPr>
          <w:p>
            <w:pPr>
              <w:spacing w:after="40"/>
            </w:pPr>
            <w:r>
              <w:rPr>
                <w:rFonts w:ascii="Arial" w:hAnsi="Arial"/>
                <w:sz w:val="18"/>
              </w:rPr>
              <w:t>“Qual a área mais afetada pelos Data Centers?”</w:t>
            </w:r>
          </w:p>
        </w:tc>
        <w:tc>
          <w:tcPr>
            <w:tcW w:type="dxa" w:w="3135"/>
            <w:vAlign w:val="top"/>
          </w:tcPr>
          <w:p>
            <w:pPr>
              <w:spacing w:after="40"/>
            </w:pPr>
            <w:r>
              <w:rPr>
                <w:rFonts w:ascii="Arial" w:hAnsi="Arial"/>
                <w:sz w:val="18"/>
              </w:rPr>
              <w:t>O agente interpreta o termo ou solicita esclarecimento quando “área” for ambígua; responde somente se os dados suportarem a conclusão.</w:t>
            </w:r>
          </w:p>
        </w:tc>
      </w:tr>
      <w:tr>
        <w:tc>
          <w:tcPr>
            <w:tcW w:type="dxa" w:w="3135"/>
            <w:vAlign w:val="top"/>
          </w:tcPr>
          <w:p>
            <w:pPr>
              <w:spacing w:after="40"/>
            </w:pPr>
            <w:r>
              <w:rPr>
                <w:rFonts w:ascii="Arial" w:hAnsi="Arial"/>
                <w:sz w:val="18"/>
              </w:rPr>
              <w:t>Pergunta sem dados</w:t>
            </w:r>
          </w:p>
        </w:tc>
        <w:tc>
          <w:tcPr>
            <w:tcW w:type="dxa" w:w="3135"/>
            <w:vAlign w:val="top"/>
          </w:tcPr>
          <w:p>
            <w:pPr>
              <w:spacing w:after="40"/>
            </w:pPr>
            <w:r>
              <w:rPr>
                <w:rFonts w:ascii="Arial" w:hAnsi="Arial"/>
                <w:sz w:val="18"/>
              </w:rPr>
              <w:t>Pergunta sobre indicador inexistente.</w:t>
            </w:r>
          </w:p>
        </w:tc>
        <w:tc>
          <w:tcPr>
            <w:tcW w:type="dxa" w:w="3135"/>
            <w:vAlign w:val="top"/>
          </w:tcPr>
          <w:p>
            <w:pPr>
              <w:spacing w:after="40"/>
            </w:pPr>
            <w:r>
              <w:rPr>
                <w:rFonts w:ascii="Arial" w:hAnsi="Arial"/>
                <w:sz w:val="18"/>
              </w:rPr>
              <w:t>O agente informa que não possui dados suficientes.</w:t>
            </w:r>
          </w:p>
        </w:tc>
      </w:tr>
      <w:tr>
        <w:tc>
          <w:tcPr>
            <w:tcW w:type="dxa" w:w="3135"/>
            <w:vAlign w:val="top"/>
          </w:tcPr>
          <w:p>
            <w:pPr>
              <w:spacing w:after="40"/>
            </w:pPr>
            <w:r>
              <w:rPr>
                <w:rFonts w:ascii="Arial" w:hAnsi="Arial"/>
                <w:sz w:val="18"/>
              </w:rPr>
              <w:t>Pergunta fora do escopo</w:t>
            </w:r>
          </w:p>
        </w:tc>
        <w:tc>
          <w:tcPr>
            <w:tcW w:type="dxa" w:w="3135"/>
            <w:vAlign w:val="top"/>
          </w:tcPr>
          <w:p>
            <w:pPr>
              <w:spacing w:after="40"/>
            </w:pPr>
            <w:r>
              <w:rPr>
                <w:rFonts w:ascii="Arial" w:hAnsi="Arial"/>
                <w:sz w:val="18"/>
              </w:rPr>
              <w:t>Pergunta sem relação com Data Centers/sustentabilidade.</w:t>
            </w:r>
          </w:p>
        </w:tc>
        <w:tc>
          <w:tcPr>
            <w:tcW w:type="dxa" w:w="3135"/>
            <w:vAlign w:val="top"/>
          </w:tcPr>
          <w:p>
            <w:pPr>
              <w:spacing w:after="40"/>
            </w:pPr>
            <w:r>
              <w:rPr>
                <w:rFonts w:ascii="Arial" w:hAnsi="Arial"/>
                <w:sz w:val="18"/>
              </w:rPr>
              <w:t>O agente informa o escopo e orienta o usuário a formular pergunta relacionada ao projeto.</w:t>
            </w:r>
          </w:p>
        </w:tc>
      </w:tr>
      <w:tr>
        <w:tc>
          <w:tcPr>
            <w:tcW w:type="dxa" w:w="3135"/>
            <w:vAlign w:val="top"/>
          </w:tcPr>
          <w:p>
            <w:pPr>
              <w:spacing w:after="40"/>
            </w:pPr>
            <w:r>
              <w:rPr>
                <w:rFonts w:ascii="Arial" w:hAnsi="Arial"/>
                <w:sz w:val="18"/>
              </w:rPr>
              <w:t>Fonte</w:t>
            </w:r>
          </w:p>
        </w:tc>
        <w:tc>
          <w:tcPr>
            <w:tcW w:type="dxa" w:w="3135"/>
            <w:vAlign w:val="top"/>
          </w:tcPr>
          <w:p>
            <w:pPr>
              <w:spacing w:after="40"/>
            </w:pPr>
            <w:r>
              <w:rPr>
                <w:rFonts w:ascii="Arial" w:hAnsi="Arial"/>
                <w:sz w:val="18"/>
              </w:rPr>
              <w:t>“De onde veio essa informação?”</w:t>
            </w:r>
          </w:p>
        </w:tc>
        <w:tc>
          <w:tcPr>
            <w:tcW w:type="dxa" w:w="3135"/>
            <w:vAlign w:val="top"/>
          </w:tcPr>
          <w:p>
            <w:pPr>
              <w:spacing w:after="40"/>
            </w:pPr>
            <w:r>
              <w:rPr>
                <w:rFonts w:ascii="Arial" w:hAnsi="Arial"/>
                <w:sz w:val="18"/>
              </w:rPr>
              <w:t>O agente apresenta a fonte associada aos dados utilizados.</w:t>
            </w:r>
          </w:p>
        </w:tc>
      </w:tr>
      <w:tr>
        <w:tc>
          <w:tcPr>
            <w:tcW w:type="dxa" w:w="3135"/>
            <w:vAlign w:val="top"/>
          </w:tcPr>
          <w:p>
            <w:pPr>
              <w:spacing w:after="40"/>
            </w:pPr>
            <w:r>
              <w:rPr>
                <w:rFonts w:ascii="Arial" w:hAnsi="Arial"/>
                <w:sz w:val="18"/>
              </w:rPr>
              <w:t>Indisponibilidade</w:t>
            </w:r>
          </w:p>
        </w:tc>
        <w:tc>
          <w:tcPr>
            <w:tcW w:type="dxa" w:w="3135"/>
            <w:vAlign w:val="top"/>
          </w:tcPr>
          <w:p>
            <w:pPr>
              <w:spacing w:after="40"/>
            </w:pPr>
            <w:r>
              <w:rPr>
                <w:rFonts w:ascii="Arial" w:hAnsi="Arial"/>
                <w:sz w:val="18"/>
              </w:rPr>
              <w:t>Serviço de IA indisponível.</w:t>
            </w:r>
          </w:p>
        </w:tc>
        <w:tc>
          <w:tcPr>
            <w:tcW w:type="dxa" w:w="3135"/>
            <w:vAlign w:val="top"/>
          </w:tcPr>
          <w:p>
            <w:pPr>
              <w:spacing w:after="40"/>
            </w:pPr>
            <w:r>
              <w:rPr>
                <w:rFonts w:ascii="Arial" w:hAnsi="Arial"/>
                <w:sz w:val="18"/>
              </w:rPr>
              <w:t>Aplicação informa indisponibilidade temporária sem quebrar o dashboard.</w:t>
            </w:r>
          </w:p>
        </w:tc>
      </w:tr>
    </w:tbl>
    <w:p>
      <w:pPr>
        <w:spacing w:after="40"/>
      </w:pPr>
    </w:p>
    <w:p>
      <w:pPr>
        <w:pStyle w:val="Ttulo2"/>
        <w:spacing w:before="240" w:after="120"/>
      </w:pPr>
      <w:r>
        <w:rPr>
          <w:rFonts w:ascii="Arial" w:hAnsi="Arial"/>
          <w:b/>
        </w:rPr>
        <w:t>8.4 Testes de usabilidade</w:t>
      </w:r>
    </w:p>
    <w:p>
      <w:pPr>
        <w:spacing w:line="360" w:lineRule="auto" w:after="120"/>
        <w:ind w:firstLine="709"/>
      </w:pPr>
      <w:r>
        <w:rPr>
          <w:rFonts w:ascii="Arial" w:hAnsi="Arial"/>
          <w:b w:val="0"/>
          <w:sz w:val="24"/>
        </w:rPr>
        <w:t>Os testes com usuários deverão verificar se a interface deixa claro que se trata de um assistente de IA, se as respostas são compreensíveis para pessoas não especializadas, se as fontes são fáceis de localizar e se o usuário entende quando a resposta é limitada pela falta de dados. Também deverá ser observado se sugestões de perguntas ajudam o visitante da SNCT a descobrir a funcionalidade rapidamente.</w:t>
      </w:r>
    </w:p>
    <w:p>
      <w:pPr>
        <w:pStyle w:val="Ttulo1"/>
        <w:spacing w:before="240" w:after="120"/>
      </w:pPr>
      <w:r>
        <w:rPr>
          <w:rFonts w:ascii="Arial" w:hAnsi="Arial"/>
          <w:b/>
        </w:rPr>
        <w:t>9. Mudanças no plano de configuração e gerência de versão</w:t>
      </w:r>
    </w:p>
    <w:p>
      <w:pPr>
        <w:spacing w:line="360" w:lineRule="auto" w:after="120"/>
        <w:ind w:firstLine="709"/>
      </w:pPr>
      <w:r>
        <w:rPr>
          <w:rFonts w:ascii="Arial" w:hAnsi="Arial"/>
          <w:b w:val="0"/>
          <w:sz w:val="24"/>
        </w:rPr>
        <w:t>O plano de configuração baseado em Git deverá incorporar a nova funcionalidade de forma isolada, permitindo desenvolvimento e testes antes da integração com a branch principal.</w:t>
      </w:r>
    </w:p>
    <w:p>
      <w:pPr>
        <w:spacing w:line="360" w:lineRule="auto" w:after="120"/>
      </w:pPr>
      <w:r>
        <w:rPr>
          <w:rFonts w:ascii="Arial" w:hAnsi="Arial"/>
          <w:b/>
          <w:sz w:val="24"/>
        </w:rPr>
        <w:t>Estrutura sugerida:</w:t>
      </w:r>
    </w:p>
    <w:p>
      <w:pPr>
        <w:pStyle w:val="Commarcadores"/>
        <w:spacing w:line="360" w:lineRule="auto" w:after="60"/>
      </w:pPr>
      <w:r>
        <w:rPr>
          <w:rFonts w:ascii="Arial" w:hAnsi="Arial"/>
          <w:sz w:val="24"/>
        </w:rPr>
        <w:t>main – versões estáveis e demonstráveis;</w:t>
      </w:r>
    </w:p>
    <w:p>
      <w:pPr>
        <w:pStyle w:val="Commarcadores"/>
        <w:spacing w:line="360" w:lineRule="auto" w:after="60"/>
      </w:pPr>
      <w:r>
        <w:rPr>
          <w:rFonts w:ascii="Arial" w:hAnsi="Arial"/>
          <w:sz w:val="24"/>
        </w:rPr>
        <w:t>develop – integração das funcionalidades;</w:t>
      </w:r>
    </w:p>
    <w:p>
      <w:pPr>
        <w:pStyle w:val="Commarcadores"/>
        <w:spacing w:line="360" w:lineRule="auto" w:after="60"/>
      </w:pPr>
      <w:r>
        <w:rPr>
          <w:rFonts w:ascii="Arial" w:hAnsi="Arial"/>
          <w:sz w:val="24"/>
        </w:rPr>
        <w:t>feature/ai-agent – implementação do agente conversacional;</w:t>
      </w:r>
    </w:p>
    <w:p>
      <w:pPr>
        <w:pStyle w:val="Commarcadores"/>
        <w:spacing w:line="360" w:lineRule="auto" w:after="60"/>
      </w:pPr>
      <w:r>
        <w:rPr>
          <w:rFonts w:ascii="Arial" w:hAnsi="Arial"/>
          <w:sz w:val="24"/>
        </w:rPr>
        <w:t>feature/ai-chat-ui – interface de conversa no dashboard, caso o trabalho seja separado;</w:t>
      </w:r>
    </w:p>
    <w:p>
      <w:pPr>
        <w:pStyle w:val="Commarcadores"/>
        <w:spacing w:line="360" w:lineRule="auto" w:after="60"/>
      </w:pPr>
      <w:r>
        <w:rPr>
          <w:rFonts w:ascii="Arial" w:hAnsi="Arial"/>
          <w:sz w:val="24"/>
        </w:rPr>
        <w:t>configuração por variáveis de ambiente para URL do serviço, modelo utilizado, limites de tokens/tempo e chave de API;</w:t>
      </w:r>
    </w:p>
    <w:p>
      <w:pPr>
        <w:pStyle w:val="Commarcadores"/>
        <w:spacing w:line="360" w:lineRule="auto" w:after="60"/>
      </w:pPr>
      <w:r>
        <w:rPr>
          <w:rFonts w:ascii="Arial" w:hAnsi="Arial"/>
          <w:sz w:val="24"/>
        </w:rPr>
        <w:t>arquivo .env.example apenas com nomes das variáveis, sem credenciais reais;</w:t>
      </w:r>
    </w:p>
    <w:p>
      <w:pPr>
        <w:pStyle w:val="Commarcadores"/>
        <w:spacing w:line="360" w:lineRule="auto" w:after="60"/>
      </w:pPr>
      <w:r>
        <w:rPr>
          <w:rFonts w:ascii="Arial" w:hAnsi="Arial"/>
          <w:sz w:val="24"/>
        </w:rPr>
        <w:t>segredos fora do repositório e configurados no ambiente de execução;</w:t>
      </w:r>
    </w:p>
    <w:p>
      <w:pPr>
        <w:pStyle w:val="Commarcadores"/>
        <w:spacing w:line="360" w:lineRule="auto" w:after="60"/>
      </w:pPr>
      <w:r>
        <w:rPr>
          <w:rFonts w:ascii="Arial" w:hAnsi="Arial"/>
          <w:sz w:val="24"/>
        </w:rPr>
        <w:t>logs técnicos sem exposição de chaves, prompts internos sensíveis ou informações desnecessárias.</w:t>
      </w:r>
    </w:p>
    <w:p>
      <w:pPr>
        <w:spacing w:line="360" w:lineRule="auto" w:after="120"/>
        <w:ind w:firstLine="709"/>
      </w:pPr>
      <w:r>
        <w:rPr>
          <w:rFonts w:ascii="Arial" w:hAnsi="Arial"/>
          <w:b w:val="0"/>
          <w:sz w:val="24"/>
        </w:rPr>
        <w:t>A versão que introduzir o agente representa uma nova funcionalidade e, portanto, pode ser identificada como uma evolução minor do MVP, por exemplo v1.1.0, caso a versão anterior seja v1.0.0. A nomenclatura final deve acompanhar o versionamento efetivamente adotado pelo grupo.</w:t>
      </w:r>
    </w:p>
    <w:p>
      <w:pPr>
        <w:pStyle w:val="Ttulo1"/>
        <w:spacing w:before="240" w:after="120"/>
      </w:pPr>
      <w:r>
        <w:rPr>
          <w:rFonts w:ascii="Arial" w:hAnsi="Arial"/>
          <w:b/>
        </w:rPr>
        <w:t>10. Uso de IA na codificação – abordagem SDD</w:t>
      </w:r>
    </w:p>
    <w:p>
      <w:pPr>
        <w:spacing w:line="360" w:lineRule="auto" w:after="120"/>
        <w:ind w:firstLine="709"/>
      </w:pPr>
      <w:r>
        <w:rPr>
          <w:rFonts w:ascii="Arial" w:hAnsi="Arial"/>
          <w:b w:val="0"/>
          <w:sz w:val="24"/>
        </w:rPr>
        <w:t>Conforme sugerido para a mudança, a própria implementação do agente pode utilizar IA como apoio à codificação em uma abordagem orientada por especificação (Specification-Driven Development – SDD). Antes de solicitar geração de código, a equipe define explicitamente o comportamento esperado, contratos de API, regras de segurança, critérios de aceite e casos de teste. A IA pode então auxiliar na criação de componentes, serviços, mocks, testes e documentação, sempre com revisão humana.</w:t>
      </w:r>
    </w:p>
    <w:p>
      <w:pPr>
        <w:spacing w:line="360" w:lineRule="auto" w:after="120"/>
      </w:pPr>
      <w:r>
        <w:rPr>
          <w:rFonts w:ascii="Arial" w:hAnsi="Arial"/>
          <w:b/>
          <w:sz w:val="24"/>
        </w:rPr>
        <w:t>Aplicação sugerida do SDD:</w:t>
      </w:r>
    </w:p>
    <w:p>
      <w:pPr>
        <w:pStyle w:val="Commarcadores"/>
        <w:spacing w:line="360" w:lineRule="auto" w:after="60"/>
      </w:pPr>
      <w:r>
        <w:rPr>
          <w:rFonts w:ascii="Arial" w:hAnsi="Arial"/>
          <w:sz w:val="24"/>
        </w:rPr>
        <w:t>Especificar a história HU07, o caso UC12 e os critérios de aceite antes da implementação.</w:t>
      </w:r>
    </w:p>
    <w:p>
      <w:pPr>
        <w:pStyle w:val="Commarcadores"/>
        <w:spacing w:line="360" w:lineRule="auto" w:after="60"/>
      </w:pPr>
      <w:r>
        <w:rPr>
          <w:rFonts w:ascii="Arial" w:hAnsi="Arial"/>
          <w:sz w:val="24"/>
        </w:rPr>
        <w:t>Definir o contrato do endpoint de conversa, por exemplo POST /api/ai/chat, com pergunta, contexto opcional e resposta contendo texto e fontes.</w:t>
      </w:r>
    </w:p>
    <w:p>
      <w:pPr>
        <w:pStyle w:val="Commarcadores"/>
        <w:spacing w:line="360" w:lineRule="auto" w:after="60"/>
      </w:pPr>
      <w:r>
        <w:rPr>
          <w:rFonts w:ascii="Arial" w:hAnsi="Arial"/>
          <w:sz w:val="24"/>
        </w:rPr>
        <w:t>Solicitar à ferramenta de IA a implementação baseada nessa especificação, evitando prompts genéricos como “crie um chatbot”.</w:t>
      </w:r>
    </w:p>
    <w:p>
      <w:pPr>
        <w:pStyle w:val="Commarcadores"/>
        <w:spacing w:line="360" w:lineRule="auto" w:after="60"/>
      </w:pPr>
      <w:r>
        <w:rPr>
          <w:rFonts w:ascii="Arial" w:hAnsi="Arial"/>
          <w:sz w:val="24"/>
        </w:rPr>
        <w:t>Gerar testes a partir dos critérios de aceite e revisar manualmente os casos críticos.</w:t>
      </w:r>
    </w:p>
    <w:p>
      <w:pPr>
        <w:pStyle w:val="Commarcadores"/>
        <w:spacing w:line="360" w:lineRule="auto" w:after="60"/>
      </w:pPr>
      <w:r>
        <w:rPr>
          <w:rFonts w:ascii="Arial" w:hAnsi="Arial"/>
          <w:sz w:val="24"/>
        </w:rPr>
        <w:t>Executar análise de código, testes e revisão por integrante da equipe antes do merge.</w:t>
      </w:r>
    </w:p>
    <w:p>
      <w:pPr>
        <w:pStyle w:val="Commarcadores"/>
        <w:spacing w:line="360" w:lineRule="auto" w:after="60"/>
      </w:pPr>
      <w:r>
        <w:rPr>
          <w:rFonts w:ascii="Arial" w:hAnsi="Arial"/>
          <w:sz w:val="24"/>
        </w:rPr>
        <w:t>Registrar no projeto quais partes tiveram apoio de IA e manter a equipe responsável pelas decisões técnicas e validação final.</w:t>
      </w:r>
    </w:p>
    <w:p>
      <w:pPr>
        <w:pStyle w:val="Ttulo1"/>
        <w:spacing w:before="240" w:after="120"/>
      </w:pPr>
      <w:r>
        <w:rPr>
          <w:rFonts w:ascii="Arial" w:hAnsi="Arial"/>
          <w:b/>
        </w:rPr>
        <w:t>11. Riscos e medidas de mitigação</w:t>
      </w:r>
    </w:p>
    <w:tbl>
      <w:tblPr>
        <w:tblStyle w:val="Tabelacomgrade"/>
        <w:tblW w:type="auto" w:w="0"/>
        <w:jc w:val="center"/>
        <w:tblLook w:firstColumn="1" w:firstRow="1" w:lastColumn="0" w:lastRow="0" w:noHBand="0" w:noVBand="1" w:val="04A0"/>
      </w:tblPr>
      <w:tblGrid>
        <w:gridCol w:w="3135"/>
        <w:gridCol w:w="3135"/>
        <w:gridCol w:w="3135"/>
      </w:tblGrid>
      <w:tr>
        <w:tc>
          <w:tcPr>
            <w:tcW w:type="dxa" w:w="3135"/>
            <w:vAlign w:val="center"/>
          </w:tcPr>
          <w:p>
            <w:r>
              <w:rPr>
                <w:rFonts w:ascii="Arial" w:hAnsi="Arial"/>
                <w:b/>
                <w:sz w:val="20"/>
              </w:rPr>
              <w:t>Risco</w:t>
            </w:r>
          </w:p>
        </w:tc>
        <w:tc>
          <w:tcPr>
            <w:tcW w:type="dxa" w:w="3135"/>
            <w:vAlign w:val="center"/>
          </w:tcPr>
          <w:p>
            <w:r>
              <w:rPr>
                <w:rFonts w:ascii="Arial" w:hAnsi="Arial"/>
                <w:b/>
                <w:sz w:val="20"/>
              </w:rPr>
              <w:t>Impacto</w:t>
            </w:r>
          </w:p>
        </w:tc>
        <w:tc>
          <w:tcPr>
            <w:tcW w:type="dxa" w:w="3135"/>
            <w:vAlign w:val="center"/>
          </w:tcPr>
          <w:p>
            <w:r>
              <w:rPr>
                <w:rFonts w:ascii="Arial" w:hAnsi="Arial"/>
                <w:b/>
                <w:sz w:val="20"/>
              </w:rPr>
              <w:t>Mitigação</w:t>
            </w:r>
          </w:p>
        </w:tc>
      </w:tr>
      <w:tr>
        <w:tc>
          <w:tcPr>
            <w:tcW w:type="dxa" w:w="3135"/>
            <w:vAlign w:val="top"/>
          </w:tcPr>
          <w:p>
            <w:pPr>
              <w:spacing w:after="40"/>
            </w:pPr>
            <w:r>
              <w:rPr>
                <w:rFonts w:ascii="Arial" w:hAnsi="Arial"/>
                <w:sz w:val="18"/>
              </w:rPr>
              <w:t>Alucinação ou resposta incorreta</w:t>
            </w:r>
          </w:p>
        </w:tc>
        <w:tc>
          <w:tcPr>
            <w:tcW w:type="dxa" w:w="3135"/>
            <w:vAlign w:val="top"/>
          </w:tcPr>
          <w:p>
            <w:pPr>
              <w:spacing w:after="40"/>
            </w:pPr>
            <w:r>
              <w:rPr>
                <w:rFonts w:ascii="Arial" w:hAnsi="Arial"/>
                <w:sz w:val="18"/>
              </w:rPr>
              <w:t>Alto</w:t>
            </w:r>
          </w:p>
        </w:tc>
        <w:tc>
          <w:tcPr>
            <w:tcW w:type="dxa" w:w="3135"/>
            <w:vAlign w:val="top"/>
          </w:tcPr>
          <w:p>
            <w:pPr>
              <w:spacing w:after="40"/>
            </w:pPr>
            <w:r>
              <w:rPr>
                <w:rFonts w:ascii="Arial" w:hAnsi="Arial"/>
                <w:sz w:val="18"/>
              </w:rPr>
              <w:t>Restringir o contexto aos dados do projeto, exigir indicação de fontes e informar ausência de dados.</w:t>
            </w:r>
          </w:p>
        </w:tc>
      </w:tr>
      <w:tr>
        <w:tc>
          <w:tcPr>
            <w:tcW w:type="dxa" w:w="3135"/>
            <w:vAlign w:val="top"/>
          </w:tcPr>
          <w:p>
            <w:pPr>
              <w:spacing w:after="40"/>
            </w:pPr>
            <w:r>
              <w:rPr>
                <w:rFonts w:ascii="Arial" w:hAnsi="Arial"/>
                <w:sz w:val="18"/>
              </w:rPr>
              <w:t>Comparações sem critério comum</w:t>
            </w:r>
          </w:p>
        </w:tc>
        <w:tc>
          <w:tcPr>
            <w:tcW w:type="dxa" w:w="3135"/>
            <w:vAlign w:val="top"/>
          </w:tcPr>
          <w:p>
            <w:pPr>
              <w:spacing w:after="40"/>
            </w:pPr>
            <w:r>
              <w:rPr>
                <w:rFonts w:ascii="Arial" w:hAnsi="Arial"/>
                <w:sz w:val="18"/>
              </w:rPr>
              <w:t>Alto</w:t>
            </w:r>
          </w:p>
        </w:tc>
        <w:tc>
          <w:tcPr>
            <w:tcW w:type="dxa" w:w="3135"/>
            <w:vAlign w:val="top"/>
          </w:tcPr>
          <w:p>
            <w:pPr>
              <w:spacing w:after="40"/>
            </w:pPr>
            <w:r>
              <w:rPr>
                <w:rFonts w:ascii="Arial" w:hAnsi="Arial"/>
                <w:sz w:val="18"/>
              </w:rPr>
              <w:t>Definir indicadores e unidades; evitar afirmar “mais impactante” sem explicar o critério.</w:t>
            </w:r>
          </w:p>
        </w:tc>
      </w:tr>
      <w:tr>
        <w:tc>
          <w:tcPr>
            <w:tcW w:type="dxa" w:w="3135"/>
            <w:vAlign w:val="top"/>
          </w:tcPr>
          <w:p>
            <w:pPr>
              <w:spacing w:after="40"/>
            </w:pPr>
            <w:r>
              <w:rPr>
                <w:rFonts w:ascii="Arial" w:hAnsi="Arial"/>
                <w:sz w:val="18"/>
              </w:rPr>
              <w:t>Custo de API</w:t>
            </w:r>
          </w:p>
        </w:tc>
        <w:tc>
          <w:tcPr>
            <w:tcW w:type="dxa" w:w="3135"/>
            <w:vAlign w:val="top"/>
          </w:tcPr>
          <w:p>
            <w:pPr>
              <w:spacing w:after="40"/>
            </w:pPr>
            <w:r>
              <w:rPr>
                <w:rFonts w:ascii="Arial" w:hAnsi="Arial"/>
                <w:sz w:val="18"/>
              </w:rPr>
              <w:t>Médio</w:t>
            </w:r>
          </w:p>
        </w:tc>
        <w:tc>
          <w:tcPr>
            <w:tcW w:type="dxa" w:w="3135"/>
            <w:vAlign w:val="top"/>
          </w:tcPr>
          <w:p>
            <w:pPr>
              <w:spacing w:after="40"/>
            </w:pPr>
            <w:r>
              <w:rPr>
                <w:rFonts w:ascii="Arial" w:hAnsi="Arial"/>
                <w:sz w:val="18"/>
              </w:rPr>
              <w:t>Limitar tamanho de contexto, tokens e quantidade de requisições; acompanhar consumo.</w:t>
            </w:r>
          </w:p>
        </w:tc>
      </w:tr>
      <w:tr>
        <w:tc>
          <w:tcPr>
            <w:tcW w:type="dxa" w:w="3135"/>
            <w:vAlign w:val="top"/>
          </w:tcPr>
          <w:p>
            <w:pPr>
              <w:spacing w:after="40"/>
            </w:pPr>
            <w:r>
              <w:rPr>
                <w:rFonts w:ascii="Arial" w:hAnsi="Arial"/>
                <w:sz w:val="18"/>
              </w:rPr>
              <w:t>Indisponibilidade do provedor</w:t>
            </w:r>
          </w:p>
        </w:tc>
        <w:tc>
          <w:tcPr>
            <w:tcW w:type="dxa" w:w="3135"/>
            <w:vAlign w:val="top"/>
          </w:tcPr>
          <w:p>
            <w:pPr>
              <w:spacing w:after="40"/>
            </w:pPr>
            <w:r>
              <w:rPr>
                <w:rFonts w:ascii="Arial" w:hAnsi="Arial"/>
                <w:sz w:val="18"/>
              </w:rPr>
              <w:t>Médio</w:t>
            </w:r>
          </w:p>
        </w:tc>
        <w:tc>
          <w:tcPr>
            <w:tcW w:type="dxa" w:w="3135"/>
            <w:vAlign w:val="top"/>
          </w:tcPr>
          <w:p>
            <w:pPr>
              <w:spacing w:after="40"/>
            </w:pPr>
            <w:r>
              <w:rPr>
                <w:rFonts w:ascii="Arial" w:hAnsi="Arial"/>
                <w:sz w:val="18"/>
              </w:rPr>
              <w:t>Timeout, tratamento de exceção e mensagem de fallback; manter dashboard independente.</w:t>
            </w:r>
          </w:p>
        </w:tc>
      </w:tr>
      <w:tr>
        <w:tc>
          <w:tcPr>
            <w:tcW w:type="dxa" w:w="3135"/>
            <w:vAlign w:val="top"/>
          </w:tcPr>
          <w:p>
            <w:pPr>
              <w:spacing w:after="40"/>
            </w:pPr>
            <w:r>
              <w:rPr>
                <w:rFonts w:ascii="Arial" w:hAnsi="Arial"/>
                <w:sz w:val="18"/>
              </w:rPr>
              <w:t>Exposição de chave</w:t>
            </w:r>
          </w:p>
        </w:tc>
        <w:tc>
          <w:tcPr>
            <w:tcW w:type="dxa" w:w="3135"/>
            <w:vAlign w:val="top"/>
          </w:tcPr>
          <w:p>
            <w:pPr>
              <w:spacing w:after="40"/>
            </w:pPr>
            <w:r>
              <w:rPr>
                <w:rFonts w:ascii="Arial" w:hAnsi="Arial"/>
                <w:sz w:val="18"/>
              </w:rPr>
              <w:t>Alto</w:t>
            </w:r>
          </w:p>
        </w:tc>
        <w:tc>
          <w:tcPr>
            <w:tcW w:type="dxa" w:w="3135"/>
            <w:vAlign w:val="top"/>
          </w:tcPr>
          <w:p>
            <w:pPr>
              <w:spacing w:after="40"/>
            </w:pPr>
            <w:r>
              <w:rPr>
                <w:rFonts w:ascii="Arial" w:hAnsi="Arial"/>
                <w:sz w:val="18"/>
              </w:rPr>
              <w:t>Chave apenas no backend/ambiente; nunca versionar credenciais.</w:t>
            </w:r>
          </w:p>
        </w:tc>
      </w:tr>
      <w:tr>
        <w:tc>
          <w:tcPr>
            <w:tcW w:type="dxa" w:w="3135"/>
            <w:vAlign w:val="top"/>
          </w:tcPr>
          <w:p>
            <w:pPr>
              <w:spacing w:after="40"/>
            </w:pPr>
            <w:r>
              <w:rPr>
                <w:rFonts w:ascii="Arial" w:hAnsi="Arial"/>
                <w:sz w:val="18"/>
              </w:rPr>
              <w:t>Atraso no MVP</w:t>
            </w:r>
          </w:p>
        </w:tc>
        <w:tc>
          <w:tcPr>
            <w:tcW w:type="dxa" w:w="3135"/>
            <w:vAlign w:val="top"/>
          </w:tcPr>
          <w:p>
            <w:pPr>
              <w:spacing w:after="40"/>
            </w:pPr>
            <w:r>
              <w:rPr>
                <w:rFonts w:ascii="Arial" w:hAnsi="Arial"/>
                <w:sz w:val="18"/>
              </w:rPr>
              <w:t>Médio</w:t>
            </w:r>
          </w:p>
        </w:tc>
        <w:tc>
          <w:tcPr>
            <w:tcW w:type="dxa" w:w="3135"/>
            <w:vAlign w:val="top"/>
          </w:tcPr>
          <w:p>
            <w:pPr>
              <w:spacing w:after="40"/>
            </w:pPr>
            <w:r>
              <w:rPr>
                <w:rFonts w:ascii="Arial" w:hAnsi="Arial"/>
                <w:sz w:val="18"/>
              </w:rPr>
              <w:t>Entregar primeiro chat com conjunto limitado de intenções e perguntas, expandindo depois.</w:t>
            </w:r>
          </w:p>
        </w:tc>
      </w:tr>
      <w:tr>
        <w:tc>
          <w:tcPr>
            <w:tcW w:type="dxa" w:w="3135"/>
            <w:vAlign w:val="top"/>
          </w:tcPr>
          <w:p>
            <w:pPr>
              <w:spacing w:after="40"/>
            </w:pPr>
            <w:r>
              <w:rPr>
                <w:rFonts w:ascii="Arial" w:hAnsi="Arial"/>
                <w:sz w:val="18"/>
              </w:rPr>
              <w:t>Dados insuficientes</w:t>
            </w:r>
          </w:p>
        </w:tc>
        <w:tc>
          <w:tcPr>
            <w:tcW w:type="dxa" w:w="3135"/>
            <w:vAlign w:val="top"/>
          </w:tcPr>
          <w:p>
            <w:pPr>
              <w:spacing w:after="40"/>
            </w:pPr>
            <w:r>
              <w:rPr>
                <w:rFonts w:ascii="Arial" w:hAnsi="Arial"/>
                <w:sz w:val="18"/>
              </w:rPr>
              <w:t>Alto</w:t>
            </w:r>
          </w:p>
        </w:tc>
        <w:tc>
          <w:tcPr>
            <w:tcW w:type="dxa" w:w="3135"/>
            <w:vAlign w:val="top"/>
          </w:tcPr>
          <w:p>
            <w:pPr>
              <w:spacing w:after="40"/>
            </w:pPr>
            <w:r>
              <w:rPr>
                <w:rFonts w:ascii="Arial" w:hAnsi="Arial"/>
                <w:sz w:val="18"/>
              </w:rPr>
              <w:t>Exibir limitação explicitamente e priorizar perguntas suportadas pelo conjunto de dados.</w:t>
            </w:r>
          </w:p>
        </w:tc>
      </w:tr>
    </w:tbl>
    <w:p>
      <w:pPr>
        <w:spacing w:after="40"/>
      </w:pPr>
    </w:p>
    <w:p>
      <w:pPr>
        <w:pStyle w:val="Ttulo1"/>
        <w:spacing w:before="240" w:after="120"/>
      </w:pPr>
      <w:r>
        <w:rPr>
          <w:rFonts w:ascii="Arial" w:hAnsi="Arial"/>
          <w:b/>
        </w:rPr>
        <w:t>12. Impacto no cronograma e no MVP da SNCT</w:t>
      </w:r>
    </w:p>
    <w:p>
      <w:pPr>
        <w:spacing w:line="360" w:lineRule="auto" w:after="120"/>
        <w:ind w:firstLine="709"/>
      </w:pPr>
      <w:r>
        <w:rPr>
          <w:rFonts w:ascii="Arial" w:hAnsi="Arial"/>
          <w:b w:val="0"/>
          <w:sz w:val="24"/>
        </w:rPr>
        <w:t>A mudança adiciona atividades de especificação, integração, construção da interface de chat, configuração do provedor, criação de prompts/regras, testes e preparação da demonstração. Para evitar impacto excessivo no cronograma, o MVP deve priorizar uma versão enxuta do agente: chat integrado ao dashboard, consulta aos indicadores já disponíveis, comparação simples, apresentação de fontes e tratamento de perguntas sem dados.</w:t>
      </w:r>
    </w:p>
    <w:p>
      <w:pPr>
        <w:spacing w:line="360" w:lineRule="auto" w:after="120"/>
        <w:ind w:firstLine="709"/>
      </w:pPr>
      <w:r>
        <w:rPr>
          <w:rFonts w:ascii="Arial" w:hAnsi="Arial"/>
          <w:b w:val="0"/>
          <w:sz w:val="24"/>
        </w:rPr>
        <w:t>Funcionalidades como memória persistente entre usuários, busca aberta na Internet, múltiplos agentes autônomos, geração automática de relatórios extensos ou execução de ações no sistema podem ser tratadas como evolução posterior. Isso reduz o risco de a introdução da IA comprometer as funcionalidades principais que já fazem parte do escopo.</w:t>
      </w:r>
    </w:p>
    <w:p>
      <w:pPr>
        <w:pStyle w:val="Ttulo1"/>
        <w:spacing w:before="240" w:after="120"/>
      </w:pPr>
      <w:r>
        <w:rPr>
          <w:rFonts w:ascii="Arial" w:hAnsi="Arial"/>
          <w:b/>
        </w:rPr>
        <w:t>13. Matriz de rastreabilidade da mudança</w:t>
      </w:r>
    </w:p>
    <w:tbl>
      <w:tblPr>
        <w:tblStyle w:val="Tabelacomgrade"/>
        <w:tblW w:type="auto" w:w="0"/>
        <w:jc w:val="center"/>
        <w:tblLook w:firstColumn="1" w:firstRow="1" w:lastColumn="0" w:lastRow="0" w:noHBand="0" w:noVBand="1" w:val="04A0"/>
      </w:tblPr>
      <w:tblGrid>
        <w:gridCol w:w="2351"/>
        <w:gridCol w:w="2351"/>
        <w:gridCol w:w="2351"/>
        <w:gridCol w:w="2351"/>
      </w:tblGrid>
      <w:tr>
        <w:tc>
          <w:tcPr>
            <w:tcW w:type="dxa" w:w="2351"/>
            <w:vAlign w:val="center"/>
          </w:tcPr>
          <w:p>
            <w:r>
              <w:rPr>
                <w:rFonts w:ascii="Arial" w:hAnsi="Arial"/>
                <w:b/>
                <w:sz w:val="20"/>
              </w:rPr>
              <w:t>Requisito</w:t>
            </w:r>
          </w:p>
        </w:tc>
        <w:tc>
          <w:tcPr>
            <w:tcW w:type="dxa" w:w="2351"/>
            <w:vAlign w:val="center"/>
          </w:tcPr>
          <w:p>
            <w:r>
              <w:rPr>
                <w:rFonts w:ascii="Arial" w:hAnsi="Arial"/>
                <w:b/>
                <w:sz w:val="20"/>
              </w:rPr>
              <w:t>História</w:t>
            </w:r>
          </w:p>
        </w:tc>
        <w:tc>
          <w:tcPr>
            <w:tcW w:type="dxa" w:w="2351"/>
            <w:vAlign w:val="center"/>
          </w:tcPr>
          <w:p>
            <w:r>
              <w:rPr>
                <w:rFonts w:ascii="Arial" w:hAnsi="Arial"/>
                <w:b/>
                <w:sz w:val="20"/>
              </w:rPr>
              <w:t>Caso de uso</w:t>
            </w:r>
          </w:p>
        </w:tc>
        <w:tc>
          <w:tcPr>
            <w:tcW w:type="dxa" w:w="2351"/>
            <w:vAlign w:val="center"/>
          </w:tcPr>
          <w:p>
            <w:r>
              <w:rPr>
                <w:rFonts w:ascii="Arial" w:hAnsi="Arial"/>
                <w:b/>
                <w:sz w:val="20"/>
              </w:rPr>
              <w:t>Teste principal</w:t>
            </w:r>
          </w:p>
        </w:tc>
      </w:tr>
      <w:tr>
        <w:tc>
          <w:tcPr>
            <w:tcW w:type="dxa" w:w="2351"/>
            <w:vAlign w:val="top"/>
          </w:tcPr>
          <w:p>
            <w:pPr>
              <w:spacing w:after="40"/>
            </w:pPr>
            <w:r>
              <w:rPr>
                <w:rFonts w:ascii="Arial" w:hAnsi="Arial"/>
                <w:sz w:val="18"/>
              </w:rPr>
              <w:t>RF13</w:t>
            </w:r>
          </w:p>
        </w:tc>
        <w:tc>
          <w:tcPr>
            <w:tcW w:type="dxa" w:w="2351"/>
            <w:vAlign w:val="top"/>
          </w:tcPr>
          <w:p>
            <w:pPr>
              <w:spacing w:after="40"/>
            </w:pPr>
            <w:r>
              <w:rPr>
                <w:rFonts w:ascii="Arial" w:hAnsi="Arial"/>
                <w:sz w:val="18"/>
              </w:rPr>
              <w:t>HU07</w:t>
            </w:r>
          </w:p>
        </w:tc>
        <w:tc>
          <w:tcPr>
            <w:tcW w:type="dxa" w:w="2351"/>
            <w:vAlign w:val="top"/>
          </w:tcPr>
          <w:p>
            <w:pPr>
              <w:spacing w:after="40"/>
            </w:pPr>
            <w:r>
              <w:rPr>
                <w:rFonts w:ascii="Arial" w:hAnsi="Arial"/>
                <w:sz w:val="18"/>
              </w:rPr>
              <w:t>UC12</w:t>
            </w:r>
          </w:p>
        </w:tc>
        <w:tc>
          <w:tcPr>
            <w:tcW w:type="dxa" w:w="2351"/>
            <w:vAlign w:val="top"/>
          </w:tcPr>
          <w:p>
            <w:pPr>
              <w:spacing w:after="40"/>
            </w:pPr>
            <w:r>
              <w:rPr>
                <w:rFonts w:ascii="Arial" w:hAnsi="Arial"/>
                <w:sz w:val="18"/>
              </w:rPr>
              <w:t>TS10 – Envio de pergunta</w:t>
            </w:r>
          </w:p>
        </w:tc>
      </w:tr>
      <w:tr>
        <w:tc>
          <w:tcPr>
            <w:tcW w:type="dxa" w:w="2351"/>
            <w:vAlign w:val="top"/>
          </w:tcPr>
          <w:p>
            <w:pPr>
              <w:spacing w:after="40"/>
            </w:pPr>
            <w:r>
              <w:rPr>
                <w:rFonts w:ascii="Arial" w:hAnsi="Arial"/>
                <w:sz w:val="18"/>
              </w:rPr>
              <w:t>RF14</w:t>
            </w:r>
          </w:p>
        </w:tc>
        <w:tc>
          <w:tcPr>
            <w:tcW w:type="dxa" w:w="2351"/>
            <w:vAlign w:val="top"/>
          </w:tcPr>
          <w:p>
            <w:pPr>
              <w:spacing w:after="40"/>
            </w:pPr>
            <w:r>
              <w:rPr>
                <w:rFonts w:ascii="Arial" w:hAnsi="Arial"/>
                <w:sz w:val="18"/>
              </w:rPr>
              <w:t>HU07</w:t>
            </w:r>
          </w:p>
        </w:tc>
        <w:tc>
          <w:tcPr>
            <w:tcW w:type="dxa" w:w="2351"/>
            <w:vAlign w:val="top"/>
          </w:tcPr>
          <w:p>
            <w:pPr>
              <w:spacing w:after="40"/>
            </w:pPr>
            <w:r>
              <w:rPr>
                <w:rFonts w:ascii="Arial" w:hAnsi="Arial"/>
                <w:sz w:val="18"/>
              </w:rPr>
              <w:t>UC12</w:t>
            </w:r>
          </w:p>
        </w:tc>
        <w:tc>
          <w:tcPr>
            <w:tcW w:type="dxa" w:w="2351"/>
            <w:vAlign w:val="top"/>
          </w:tcPr>
          <w:p>
            <w:pPr>
              <w:spacing w:after="40"/>
            </w:pPr>
            <w:r>
              <w:rPr>
                <w:rFonts w:ascii="Arial" w:hAnsi="Arial"/>
                <w:sz w:val="18"/>
              </w:rPr>
              <w:t>TS11 – Consulta aos dados</w:t>
            </w:r>
          </w:p>
        </w:tc>
      </w:tr>
      <w:tr>
        <w:tc>
          <w:tcPr>
            <w:tcW w:type="dxa" w:w="2351"/>
            <w:vAlign w:val="top"/>
          </w:tcPr>
          <w:p>
            <w:pPr>
              <w:spacing w:after="40"/>
            </w:pPr>
            <w:r>
              <w:rPr>
                <w:rFonts w:ascii="Arial" w:hAnsi="Arial"/>
                <w:sz w:val="18"/>
              </w:rPr>
              <w:t>RF15</w:t>
            </w:r>
          </w:p>
        </w:tc>
        <w:tc>
          <w:tcPr>
            <w:tcW w:type="dxa" w:w="2351"/>
            <w:vAlign w:val="top"/>
          </w:tcPr>
          <w:p>
            <w:pPr>
              <w:spacing w:after="40"/>
            </w:pPr>
            <w:r>
              <w:rPr>
                <w:rFonts w:ascii="Arial" w:hAnsi="Arial"/>
                <w:sz w:val="18"/>
              </w:rPr>
              <w:t>HU07</w:t>
            </w:r>
          </w:p>
        </w:tc>
        <w:tc>
          <w:tcPr>
            <w:tcW w:type="dxa" w:w="2351"/>
            <w:vAlign w:val="top"/>
          </w:tcPr>
          <w:p>
            <w:pPr>
              <w:spacing w:after="40"/>
            </w:pPr>
            <w:r>
              <w:rPr>
                <w:rFonts w:ascii="Arial" w:hAnsi="Arial"/>
                <w:sz w:val="18"/>
              </w:rPr>
              <w:t>UC12</w:t>
            </w:r>
          </w:p>
        </w:tc>
        <w:tc>
          <w:tcPr>
            <w:tcW w:type="dxa" w:w="2351"/>
            <w:vAlign w:val="top"/>
          </w:tcPr>
          <w:p>
            <w:pPr>
              <w:spacing w:after="40"/>
            </w:pPr>
            <w:r>
              <w:rPr>
                <w:rFonts w:ascii="Arial" w:hAnsi="Arial"/>
                <w:sz w:val="18"/>
              </w:rPr>
              <w:t>TS12 – Comparação de indicadores</w:t>
            </w:r>
          </w:p>
        </w:tc>
      </w:tr>
      <w:tr>
        <w:tc>
          <w:tcPr>
            <w:tcW w:type="dxa" w:w="2351"/>
            <w:vAlign w:val="top"/>
          </w:tcPr>
          <w:p>
            <w:pPr>
              <w:spacing w:after="40"/>
            </w:pPr>
            <w:r>
              <w:rPr>
                <w:rFonts w:ascii="Arial" w:hAnsi="Arial"/>
                <w:sz w:val="18"/>
              </w:rPr>
              <w:t>RF16</w:t>
            </w:r>
          </w:p>
        </w:tc>
        <w:tc>
          <w:tcPr>
            <w:tcW w:type="dxa" w:w="2351"/>
            <w:vAlign w:val="top"/>
          </w:tcPr>
          <w:p>
            <w:pPr>
              <w:spacing w:after="40"/>
            </w:pPr>
            <w:r>
              <w:rPr>
                <w:rFonts w:ascii="Arial" w:hAnsi="Arial"/>
                <w:sz w:val="18"/>
              </w:rPr>
              <w:t>HU07</w:t>
            </w:r>
          </w:p>
        </w:tc>
        <w:tc>
          <w:tcPr>
            <w:tcW w:type="dxa" w:w="2351"/>
            <w:vAlign w:val="top"/>
          </w:tcPr>
          <w:p>
            <w:pPr>
              <w:spacing w:after="40"/>
            </w:pPr>
            <w:r>
              <w:rPr>
                <w:rFonts w:ascii="Arial" w:hAnsi="Arial"/>
                <w:sz w:val="18"/>
              </w:rPr>
              <w:t>UC12</w:t>
            </w:r>
          </w:p>
        </w:tc>
        <w:tc>
          <w:tcPr>
            <w:tcW w:type="dxa" w:w="2351"/>
            <w:vAlign w:val="top"/>
          </w:tcPr>
          <w:p>
            <w:pPr>
              <w:spacing w:after="40"/>
            </w:pPr>
            <w:r>
              <w:rPr>
                <w:rFonts w:ascii="Arial" w:hAnsi="Arial"/>
                <w:sz w:val="18"/>
              </w:rPr>
              <w:t>TS13 – Apresentação de fontes</w:t>
            </w:r>
          </w:p>
        </w:tc>
      </w:tr>
      <w:tr>
        <w:tc>
          <w:tcPr>
            <w:tcW w:type="dxa" w:w="2351"/>
            <w:vAlign w:val="top"/>
          </w:tcPr>
          <w:p>
            <w:pPr>
              <w:spacing w:after="40"/>
            </w:pPr>
            <w:r>
              <w:rPr>
                <w:rFonts w:ascii="Arial" w:hAnsi="Arial"/>
                <w:sz w:val="18"/>
              </w:rPr>
              <w:t>RF17</w:t>
            </w:r>
          </w:p>
        </w:tc>
        <w:tc>
          <w:tcPr>
            <w:tcW w:type="dxa" w:w="2351"/>
            <w:vAlign w:val="top"/>
          </w:tcPr>
          <w:p>
            <w:pPr>
              <w:spacing w:after="40"/>
            </w:pPr>
            <w:r>
              <w:rPr>
                <w:rFonts w:ascii="Arial" w:hAnsi="Arial"/>
                <w:sz w:val="18"/>
              </w:rPr>
              <w:t>HU07</w:t>
            </w:r>
          </w:p>
        </w:tc>
        <w:tc>
          <w:tcPr>
            <w:tcW w:type="dxa" w:w="2351"/>
            <w:vAlign w:val="top"/>
          </w:tcPr>
          <w:p>
            <w:pPr>
              <w:spacing w:after="40"/>
            </w:pPr>
            <w:r>
              <w:rPr>
                <w:rFonts w:ascii="Arial" w:hAnsi="Arial"/>
                <w:sz w:val="18"/>
              </w:rPr>
              <w:t>UC12</w:t>
            </w:r>
          </w:p>
        </w:tc>
        <w:tc>
          <w:tcPr>
            <w:tcW w:type="dxa" w:w="2351"/>
            <w:vAlign w:val="top"/>
          </w:tcPr>
          <w:p>
            <w:pPr>
              <w:spacing w:after="40"/>
            </w:pPr>
            <w:r>
              <w:rPr>
                <w:rFonts w:ascii="Arial" w:hAnsi="Arial"/>
                <w:sz w:val="18"/>
              </w:rPr>
              <w:t>TS14 – Ausência de dados</w:t>
            </w:r>
          </w:p>
        </w:tc>
      </w:tr>
      <w:tr>
        <w:tc>
          <w:tcPr>
            <w:tcW w:type="dxa" w:w="2351"/>
            <w:vAlign w:val="top"/>
          </w:tcPr>
          <w:p>
            <w:pPr>
              <w:spacing w:after="40"/>
            </w:pPr>
            <w:r>
              <w:rPr>
                <w:rFonts w:ascii="Arial" w:hAnsi="Arial"/>
                <w:sz w:val="18"/>
              </w:rPr>
              <w:t>RNF10/RNF11</w:t>
            </w:r>
          </w:p>
        </w:tc>
        <w:tc>
          <w:tcPr>
            <w:tcW w:type="dxa" w:w="2351"/>
            <w:vAlign w:val="top"/>
          </w:tcPr>
          <w:p>
            <w:pPr>
              <w:spacing w:after="40"/>
            </w:pPr>
            <w:r>
              <w:rPr>
                <w:rFonts w:ascii="Arial" w:hAnsi="Arial"/>
                <w:sz w:val="18"/>
              </w:rPr>
              <w:t>HU07</w:t>
            </w:r>
          </w:p>
        </w:tc>
        <w:tc>
          <w:tcPr>
            <w:tcW w:type="dxa" w:w="2351"/>
            <w:vAlign w:val="top"/>
          </w:tcPr>
          <w:p>
            <w:pPr>
              <w:spacing w:after="40"/>
            </w:pPr>
            <w:r>
              <w:rPr>
                <w:rFonts w:ascii="Arial" w:hAnsi="Arial"/>
                <w:sz w:val="18"/>
              </w:rPr>
              <w:t>UC12</w:t>
            </w:r>
          </w:p>
        </w:tc>
        <w:tc>
          <w:tcPr>
            <w:tcW w:type="dxa" w:w="2351"/>
            <w:vAlign w:val="top"/>
          </w:tcPr>
          <w:p>
            <w:pPr>
              <w:spacing w:after="40"/>
            </w:pPr>
            <w:r>
              <w:rPr>
                <w:rFonts w:ascii="Arial" w:hAnsi="Arial"/>
                <w:sz w:val="18"/>
              </w:rPr>
              <w:t>TS15 – Segurança e indisponibilidade</w:t>
            </w:r>
          </w:p>
        </w:tc>
      </w:tr>
    </w:tbl>
    <w:p>
      <w:pPr>
        <w:spacing w:after="40"/>
      </w:pPr>
    </w:p>
    <w:p>
      <w:pPr>
        <w:pStyle w:val="Ttulo1"/>
        <w:spacing w:before="240" w:after="120"/>
      </w:pPr>
      <w:r>
        <w:rPr>
          <w:rFonts w:ascii="Arial" w:hAnsi="Arial"/>
          <w:b/>
        </w:rPr>
        <w:t>14. Conclusão</w:t>
      </w:r>
    </w:p>
    <w:p>
      <w:pPr>
        <w:spacing w:line="360" w:lineRule="auto" w:after="120"/>
        <w:ind w:firstLine="709"/>
      </w:pPr>
      <w:r>
        <w:rPr>
          <w:rFonts w:ascii="Arial" w:hAnsi="Arial"/>
          <w:b w:val="0"/>
          <w:sz w:val="24"/>
        </w:rPr>
        <w:t>A introdução do Agente Conversacional de Análise Ambiental é viável e compatível com a arquitetura e os objetivos educacionais do projeto. A funcionalidade acrescenta valor ao dashboard ao permitir que estudantes, pesquisadores e público geral explorem os dados por meio de perguntas em linguagem natural. O principal impacto está na inclusão de um serviço de IA, novas configurações, novos requisitos e uma estratégia de testes específica para qualidade, rastreabilidade e tratamento de respostas não determinísticas.</w:t>
      </w:r>
    </w:p>
    <w:p>
      <w:pPr>
        <w:spacing w:line="360" w:lineRule="auto" w:after="120"/>
        <w:ind w:firstLine="709"/>
      </w:pPr>
      <w:r>
        <w:rPr>
          <w:rFonts w:ascii="Arial" w:hAnsi="Arial"/>
          <w:b w:val="0"/>
          <w:sz w:val="24"/>
        </w:rPr>
        <w:t>Para a apresentação do MVP na SNCT, a recomendação é manter o agente fundamentado exclusivamente nos dados e fontes disponíveis no projeto, com escopo claramente delimitado. Dessa forma, a equipe consegue demonstrar uma funcionalidade atual de IA sem transformar o agente em uma fonte independente de informação e sem comprometer a confiabilidade da proposta original.</w:t>
      </w:r>
    </w:p>
    <w:sectPr w:rsidR="006200C4" w:rsidRPr="009F417B"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Projeto Data Centers – Análise de Viabilidade do Agente de IA</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58198446">
    <w:abstractNumId w:val="8"/>
  </w:num>
  <w:num w:numId="2" w16cid:durableId="2060744110">
    <w:abstractNumId w:val="6"/>
  </w:num>
  <w:num w:numId="3" w16cid:durableId="1571305242">
    <w:abstractNumId w:val="5"/>
  </w:num>
  <w:num w:numId="4" w16cid:durableId="1540556917">
    <w:abstractNumId w:val="4"/>
  </w:num>
  <w:num w:numId="5" w16cid:durableId="777483962">
    <w:abstractNumId w:val="7"/>
  </w:num>
  <w:num w:numId="6" w16cid:durableId="1261137450">
    <w:abstractNumId w:val="3"/>
  </w:num>
  <w:num w:numId="7" w16cid:durableId="1346781579">
    <w:abstractNumId w:val="2"/>
  </w:num>
  <w:num w:numId="8" w16cid:durableId="886989433">
    <w:abstractNumId w:val="1"/>
  </w:num>
  <w:num w:numId="9" w16cid:durableId="179817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FB8"/>
    <w:rsid w:val="0029639D"/>
    <w:rsid w:val="00326F90"/>
    <w:rsid w:val="006200C4"/>
    <w:rsid w:val="009A242F"/>
    <w:rsid w:val="009F41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C2ACF"/>
  <w14:defaultImageDpi w14:val="300"/>
  <w15:docId w15:val="{74D49891-A8AD-440F-A2B9-5146FB7AD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ascii="Arial" w:hAnsi="Arial"/>
      <w:b/>
      <w:bCs/>
      <w:color w:val="365F91" w:themeColor="accent1" w:themeShade="BF"/>
      <w:sz w:val="24"/>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ascii="Arial" w:hAnsi="Arial"/>
      <w:b/>
      <w:bCs/>
      <w:color w:val="4F81BD" w:themeColor="accent1"/>
      <w:sz w:val="24"/>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ascii="Arial" w:hAnsi="Arial"/>
      <w:b/>
      <w:bCs/>
      <w:color w:val="4F81BD" w:themeColor="accent1"/>
      <w:sz w:val="24"/>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20</Pages>
  <Words>3202</Words>
  <Characters>18258</Characters>
  <Application>Microsoft Office Word</Application>
  <DocSecurity>0</DocSecurity>
  <Lines>152</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Ruiz Pietra (CaP/ETS3)</cp:lastModifiedBy>
  <cp:revision>2</cp:revision>
  <dcterms:created xsi:type="dcterms:W3CDTF">2013-12-23T23:15:00Z</dcterms:created>
  <dcterms:modified xsi:type="dcterms:W3CDTF">2026-09-22T12:03:00Z</dcterms:modified>
  <cp:category/>
</cp:coreProperties>
</file>