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jc w:val="center"/>
      </w:pPr>
      <w:r>
        <w:rPr>
          <w:rFonts w:ascii="Arial" w:cs="Arial" w:eastAsia="Arial" w:hAnsi="Arial"/>
          <w:b/>
          <w:bCs/>
          <w:color w:val="1F4E79"/>
          <w:sz w:val="40"/>
          <w:szCs w:val="40"/>
        </w:rPr>
        <w:t xml:space="preserve">Vector Similarity: A Reference Guide</w:t>
      </w:r>
    </w:p>
    <w:p>
      <w:pPr>
        <w:spacing w:before="0" w:after="480"/>
        <w:jc w:val="center"/>
      </w:pPr>
      <w:r>
        <w:rPr>
          <w:rFonts w:ascii="Arial" w:cs="Arial" w:eastAsia="Arial" w:hAnsi="Arial"/>
          <w:i/>
          <w:iCs/>
          <w:color w:val="666666"/>
          <w:sz w:val="24"/>
          <w:szCs w:val="24"/>
        </w:rPr>
        <w:t xml:space="preserve">Cosine Similarity, Dot Product, and Unit Normalisation</w:t>
      </w:r>
    </w:p>
    <w:p>
      <w:pPr>
        <w:pStyle w:val="Heading1"/>
        <w:spacing w:before="320" w:after="160"/>
      </w:pPr>
      <w:r>
        <w:rPr>
          <w:rFonts w:ascii="Arial" w:cs="Arial" w:eastAsia="Arial" w:hAnsi="Arial"/>
          <w:b/>
          <w:bCs/>
          <w:color w:val="2E75B6"/>
          <w:sz w:val="32"/>
          <w:szCs w:val="32"/>
        </w:rPr>
        <w:t xml:space="preserve">1. Cosine Similarity</w:t>
      </w:r>
    </w:p>
    <w:p>
      <w:pPr>
        <w:spacing w:before="80" w:after="80"/>
      </w:pPr>
      <w:r>
        <w:rPr>
          <w:rFonts w:ascii="Arial" w:cs="Arial" w:eastAsia="Arial" w:hAnsi="Arial"/>
          <w:sz w:val="22"/>
          <w:szCs w:val="22"/>
        </w:rPr>
        <w:t xml:space="preserve">Cosine similarity measures the angle between two vectors, returning a value between -1 and 1. It is defined as:</w:t>
      </w:r>
    </w:p>
    <w:p>
      <w:pPr>
        <w:shd w:fill="F5F5F5" w:val="clear"/>
        <w:spacing w:before="160" w:after="160"/>
        <w:jc w:val="center"/>
      </w:pPr>
      <w:r>
        <w:rPr>
          <w:rFonts w:ascii="Courier New" w:cs="Courier New" w:eastAsia="Courier New" w:hAnsi="Courier New"/>
          <w:b/>
          <w:bCs/>
          <w:sz w:val="24"/>
          <w:szCs w:val="24"/>
        </w:rPr>
        <w:t xml:space="preserve">cos(θ) = (A · B) / (‖A‖ × ‖B‖)</w:t>
      </w:r>
    </w:p>
    <w:p>
      <w:pPr>
        <w:spacing w:before="80" w:after="80"/>
      </w:pPr>
      <w:r>
        <w:rPr>
          <w:rFonts w:ascii="Arial" w:cs="Arial" w:eastAsia="Arial" w:hAnsi="Arial"/>
          <w:sz w:val="22"/>
          <w:szCs w:val="22"/>
        </w:rPr>
        <w:t xml:space="preserve">Expanded:</w:t>
      </w:r>
    </w:p>
    <w:p>
      <w:pPr>
        <w:shd w:fill="F5F5F5" w:val="clear"/>
        <w:spacing w:before="160" w:after="160"/>
        <w:jc w:val="center"/>
      </w:pPr>
      <w:r>
        <w:rPr>
          <w:rFonts w:ascii="Courier New" w:cs="Courier New" w:eastAsia="Courier New" w:hAnsi="Courier New"/>
          <w:b/>
          <w:bCs/>
          <w:sz w:val="24"/>
          <w:szCs w:val="24"/>
        </w:rPr>
        <w:t xml:space="preserve">cos(θ) = Σ(Ai × Bi) / (√ΣAi² × √ΣBi²)</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Numerator (A · 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 product — multiply corresponding elements and sum them</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Denominator (‖A‖ × ‖B‖)</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Product of each vector's L2 norm (Euclidean length)</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F4E79"/>
          <w:sz w:val="26"/>
          <w:szCs w:val="26"/>
        </w:rPr>
        <w:t xml:space="preserve">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Identical direction — same semantic meaning</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Orthogonal — no similarity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Opposite direction</w:t>
            </w:r>
          </w:p>
        </w:tc>
      </w:tr>
    </w:tbl>
    <w:p>
      <w:pPr>
        <w:spacing w:before="80" w:after="80"/>
      </w:pPr>
      <w:r>
        <w:rPr>
          <w:rFonts w:ascii="Arial" w:cs="Arial" w:eastAsia="Arial" w:hAnsi="Arial"/>
          <w:sz w:val="22"/>
          <w:szCs w:val="22"/>
        </w:rPr>
        <w:t xml:space="preserve"/>
      </w:r>
    </w:p>
    <w:p>
      <w:pPr>
        <w:pBdr>
          <w:left w:val="single" w:color="2E75B6" w:sz="12"/>
        </w:pBdr>
        <w:spacing w:before="120" w:after="120"/>
        <w:ind w:left="360"/>
      </w:pPr>
      <w:r>
        <w:rPr>
          <w:rFonts w:ascii="Arial" w:cs="Arial" w:eastAsia="Arial" w:hAnsi="Arial"/>
          <w:i/>
          <w:iCs/>
          <w:sz w:val="22"/>
          <w:szCs w:val="22"/>
        </w:rPr>
        <w:t xml:space="preserve">Why cosine similarity works well for text: it ignores vector magnitude and only measures the angle between vectors. A short and a long document covering the same topic will have similar directions in embedding space, even if their magnitudes differ.</w:t>
      </w:r>
    </w:p>
    <w:p>
      <w:pPr>
        <w:spacing w:before="80" w:after="80"/>
      </w:pPr>
      <w:r>
        <w:rPr>
          <w:rFonts w:ascii="Arial" w:cs="Arial" w:eastAsia="Arial" w:hAnsi="Arial"/>
          <w:sz w:val="22"/>
          <w:szCs w:val="22"/>
        </w:rPr>
        <w:t xml:space="preserve"/>
      </w:r>
    </w:p>
    <w:p>
      <w:pPr>
        <w:pStyle w:val="Heading1"/>
        <w:spacing w:before="320" w:after="160"/>
      </w:pPr>
      <w:r>
        <w:rPr>
          <w:rFonts w:ascii="Arial" w:cs="Arial" w:eastAsia="Arial" w:hAnsi="Arial"/>
          <w:b/>
          <w:bCs/>
          <w:color w:val="2E75B6"/>
          <w:sz w:val="32"/>
          <w:szCs w:val="32"/>
        </w:rPr>
        <w:t xml:space="preserve">2. Dot Product Similarity</w:t>
      </w:r>
    </w:p>
    <w:p>
      <w:pPr>
        <w:spacing w:before="80" w:after="80"/>
      </w:pPr>
      <w:r>
        <w:rPr>
          <w:rFonts w:ascii="Arial" w:cs="Arial" w:eastAsia="Arial" w:hAnsi="Arial"/>
          <w:sz w:val="22"/>
          <w:szCs w:val="22"/>
        </w:rPr>
        <w:t xml:space="preserve">Dot product similarity is the numerator of cosine similarity, without normalisation:</w:t>
      </w:r>
    </w:p>
    <w:p>
      <w:pPr>
        <w:shd w:fill="F5F5F5" w:val="clear"/>
        <w:spacing w:before="160" w:after="160"/>
        <w:jc w:val="center"/>
      </w:pPr>
      <w:r>
        <w:rPr>
          <w:rFonts w:ascii="Courier New" w:cs="Courier New" w:eastAsia="Courier New" w:hAnsi="Courier New"/>
          <w:b/>
          <w:bCs/>
          <w:sz w:val="24"/>
          <w:szCs w:val="24"/>
        </w:rPr>
        <w:t xml:space="preserve">sim(A, B) = A · B = Σ(Ai × Bi)</w:t>
      </w:r>
    </w:p>
    <w:p>
      <w:pPr>
        <w:spacing w:before="80" w:after="80"/>
      </w:pPr>
      <w:r>
        <w:rPr>
          <w:rFonts w:ascii="Arial" w:cs="Arial" w:eastAsia="Arial" w:hAnsi="Arial"/>
          <w:sz w:val="22"/>
          <w:szCs w:val="22"/>
        </w:rPr>
        <w:t xml:space="preserve">The relationship between the two:</w:t>
      </w:r>
    </w:p>
    <w:p>
      <w:pPr>
        <w:shd w:fill="F5F5F5" w:val="clear"/>
        <w:spacing w:before="160" w:after="160"/>
        <w:jc w:val="center"/>
      </w:pPr>
      <w:r>
        <w:rPr>
          <w:rFonts w:ascii="Courier New" w:cs="Courier New" w:eastAsia="Courier New" w:hAnsi="Courier New"/>
          <w:b/>
          <w:bCs/>
          <w:sz w:val="24"/>
          <w:szCs w:val="24"/>
        </w:rPr>
        <w:t xml:space="preserve">dot product = cos(θ) × ‖A‖ × ‖B‖</w:t>
      </w:r>
    </w:p>
    <w:p>
      <w:pPr>
        <w:spacing w:before="80" w:after="80"/>
      </w:pPr>
      <w:r>
        <w:rPr>
          <w:rFonts w:ascii="Arial" w:cs="Arial" w:eastAsia="Arial" w:hAnsi="Arial"/>
          <w:sz w:val="22"/>
          <w:szCs w:val="22"/>
        </w:rPr>
        <w:t xml:space="preserve">Dot product captures both direction (angle) and magnitude, whereas cosine similarity captures direction only.</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Cosine Similarity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Dot Product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Normalised vectors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result</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Unnormalised vectors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Ignores magnitude</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Affected by magnitude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use 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text embeddings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magnitude carries meaning</w:t>
            </w:r>
          </w:p>
        </w:tc>
      </w:tr>
    </w:tbl>
    <w:p>
      <w:pPr>
        <w:spacing w:before="80" w:after="80"/>
      </w:pPr>
      <w:r>
        <w:rPr>
          <w:rFonts w:ascii="Arial" w:cs="Arial" w:eastAsia="Arial" w:hAnsi="Arial"/>
          <w:sz w:val="22"/>
          <w:szCs w:val="22"/>
        </w:rPr>
        <w:t xml:space="preserve"/>
      </w:r>
    </w:p>
    <w:p>
      <w:pPr>
        <w:pBdr>
          <w:left w:val="single" w:color="2E75B6" w:sz="12"/>
        </w:pBdr>
        <w:spacing w:before="120" w:after="120"/>
        <w:ind w:left="360"/>
      </w:pPr>
      <w:r>
        <w:rPr>
          <w:rFonts w:ascii="Arial" w:cs="Arial" w:eastAsia="Arial" w:hAnsi="Arial"/>
          <w:i/>
          <w:iCs/>
          <w:sz w:val="22"/>
          <w:szCs w:val="22"/>
        </w:rPr>
        <w:t xml:space="preserve">Practical note: Most modern embedding models output unit-normalised vectors, so dot product == cosine similarity. Vector databases like Pinecone default to dot product as it requires one less computation.</w:t>
      </w:r>
    </w:p>
    <w:p>
      <w:pPr>
        <w:spacing w:before="80" w:after="80"/>
      </w:pPr>
      <w:r>
        <w:rPr>
          <w:rFonts w:ascii="Arial" w:cs="Arial" w:eastAsia="Arial" w:hAnsi="Arial"/>
          <w:sz w:val="22"/>
          <w:szCs w:val="22"/>
        </w:rPr>
        <w:t xml:space="preserve"/>
      </w:r>
    </w:p>
    <w:p>
      <w:pPr>
        <w:pStyle w:val="Heading1"/>
        <w:spacing w:before="320" w:after="160"/>
      </w:pPr>
      <w:r>
        <w:rPr>
          <w:rFonts w:ascii="Arial" w:cs="Arial" w:eastAsia="Arial" w:hAnsi="Arial"/>
          <w:b/>
          <w:bCs/>
          <w:color w:val="2E75B6"/>
          <w:sz w:val="32"/>
          <w:szCs w:val="32"/>
        </w:rPr>
        <w:t xml:space="preserve">3. Vector Notation: What ‖A‖ Means</w:t>
      </w:r>
    </w:p>
    <w:p>
      <w:pPr>
        <w:spacing w:before="80" w:after="80"/>
      </w:pPr>
      <w:r>
        <w:rPr>
          <w:rFonts w:ascii="Arial" w:cs="Arial" w:eastAsia="Arial" w:hAnsi="Arial"/>
          <w:sz w:val="22"/>
          <w:szCs w:val="22"/>
        </w:rPr>
        <w:t xml:space="preserve">The double bar notation ‖A‖ means the magnitude (length) of vector A, also called the norm.</w:t>
      </w:r>
    </w:p>
    <w:p>
      <w:pPr>
        <w:shd w:fill="F5F5F5" w:val="clear"/>
        <w:spacing w:before="160" w:after="160"/>
        <w:jc w:val="center"/>
      </w:pPr>
      <w:r>
        <w:rPr>
          <w:rFonts w:ascii="Courier New" w:cs="Courier New" w:eastAsia="Courier New" w:hAnsi="Courier New"/>
          <w:b/>
          <w:bCs/>
          <w:sz w:val="24"/>
          <w:szCs w:val="24"/>
        </w:rPr>
        <w:t xml:space="preserve">‖A‖ = √(A1² + A2² + A3² + … + An²)</w:t>
      </w:r>
    </w:p>
    <w:p>
      <w:pPr>
        <w:spacing w:before="80" w:after="80"/>
      </w:pPr>
      <w:r>
        <w:rPr>
          <w:rFonts w:ascii="Arial" w:cs="Arial" w:eastAsia="Arial" w:hAnsi="Arial"/>
          <w:sz w:val="22"/>
          <w:szCs w:val="22"/>
        </w:rPr>
        <w:t xml:space="preserve">This is simply Pythagoras extended to n dimensions — the length of the hypotenuse given all sides. For example:</w:t>
      </w:r>
    </w:p>
    <w:p>
      <w:pPr>
        <w:shd w:fill="F5F5F5" w:val="clear"/>
        <w:spacing w:before="160" w:after="160"/>
        <w:jc w:val="center"/>
      </w:pPr>
      <w:r>
        <w:rPr>
          <w:rFonts w:ascii="Courier New" w:cs="Courier New" w:eastAsia="Courier New" w:hAnsi="Courier New"/>
          <w:b/>
          <w:bCs/>
          <w:sz w:val="24"/>
          <w:szCs w:val="24"/>
        </w:rPr>
        <w:t xml:space="preserve">A = [3, 4]  →  ‖A‖ = √(3² + 4²) = √25 = 5</w:t>
      </w:r>
    </w:p>
    <w:p>
      <w:pPr>
        <w:spacing w:before="80" w:after="80"/>
      </w:pPr>
      <w:r>
        <w:rPr>
          <w:rFonts w:ascii="Arial" w:cs="Arial" w:eastAsia="Arial" w:hAnsi="Arial"/>
          <w:sz w:val="22"/>
          <w:szCs w:val="22"/>
        </w:rPr>
        <w:t xml:space="preserve">So when you see ‖A‖ = 1, it means the vector has length exactly 1 — which is the definition of unit normalised.</w:t>
      </w:r>
    </w:p>
    <w:p>
      <w:pPr>
        <w:spacing w:before="80" w:after="80"/>
      </w:pPr>
      <w:r>
        <w:rPr>
          <w:rFonts w:ascii="Arial" w:cs="Arial" w:eastAsia="Arial" w:hAnsi="Arial"/>
          <w:sz w:val="22"/>
          <w:szCs w:val="22"/>
        </w:rPr>
        <w:t xml:space="preserve"/>
      </w:r>
    </w:p>
    <w:p>
      <w:pPr>
        <w:pStyle w:val="Heading1"/>
        <w:spacing w:before="320" w:after="160"/>
      </w:pPr>
      <w:r>
        <w:rPr>
          <w:rFonts w:ascii="Arial" w:cs="Arial" w:eastAsia="Arial" w:hAnsi="Arial"/>
          <w:b/>
          <w:bCs/>
          <w:color w:val="2E75B6"/>
          <w:sz w:val="32"/>
          <w:szCs w:val="32"/>
        </w:rPr>
        <w:t xml:space="preserve">4. Unit Normalisation (L2 Normalisation)</w:t>
      </w:r>
    </w:p>
    <w:p>
      <w:pPr>
        <w:pStyle w:val="Heading2"/>
        <w:spacing w:before="240" w:after="120"/>
      </w:pPr>
      <w:r>
        <w:rPr>
          <w:rFonts w:ascii="Arial" w:cs="Arial" w:eastAsia="Arial" w:hAnsi="Arial"/>
          <w:b/>
          <w:bCs/>
          <w:color w:val="1F4E79"/>
          <w:sz w:val="26"/>
          <w:szCs w:val="26"/>
        </w:rPr>
        <w:t xml:space="preserve">In Plain Terms</w:t>
      </w:r>
    </w:p>
    <w:p>
      <w:pPr>
        <w:spacing w:before="80" w:after="80"/>
      </w:pPr>
      <w:r>
        <w:rPr>
          <w:rFonts w:ascii="Arial" w:cs="Arial" w:eastAsia="Arial" w:hAnsi="Arial"/>
          <w:sz w:val="22"/>
          <w:szCs w:val="22"/>
        </w:rPr>
        <w:t xml:space="preserve">Think of every embedding vector as an arrow pointing in some direction in space.</w:t>
      </w:r>
    </w:p>
    <w:p>
      <w:pPr>
        <w:spacing w:before="80" w:after="80"/>
      </w:pPr>
      <w:r>
        <w:rPr>
          <w:rFonts w:ascii="Arial" w:cs="Arial" w:eastAsia="Arial" w:hAnsi="Arial"/>
          <w:sz w:val="22"/>
          <w:szCs w:val="22"/>
        </w:rPr>
        <w:t xml:space="preserve">Without normalisation, arrows can be different lengths. A long document might produce a long arrow; a short sentence a short one.</w:t>
      </w:r>
    </w:p>
    <w:p>
      <w:pPr>
        <w:spacing w:before="80" w:after="80"/>
      </w:pPr>
      <w:r>
        <w:rPr>
          <w:rFonts w:ascii="Arial" w:cs="Arial" w:eastAsia="Arial" w:hAnsi="Arial"/>
          <w:sz w:val="22"/>
          <w:szCs w:val="22"/>
        </w:rPr>
        <w:t xml:space="preserve">Unit normalised means you take every arrow — no matter how long or short it was originally — and shrink or stretch it so it is exactly length 1. The direction stays exactly the same. You have not changed what it means or what it is pointing at. You have just made all arrows the same length.</w:t>
      </w:r>
    </w:p>
    <w:p>
      <w:pPr>
        <w:spacing w:before="80" w:after="80"/>
      </w:pPr>
      <w:r>
        <w:rPr>
          <w:rFonts w:ascii="Arial" w:cs="Arial" w:eastAsia="Arial" w:hAnsi="Arial"/>
          <w:sz w:val="22"/>
          <w:szCs w:val="22"/>
        </w:rPr>
        <w:t xml:space="preserve"/>
      </w:r>
    </w:p>
    <w:p>
      <w:pPr>
        <w:pBdr>
          <w:left w:val="single" w:color="2E75B6" w:sz="12"/>
        </w:pBdr>
        <w:spacing w:before="120" w:after="120"/>
        <w:ind w:left="360"/>
      </w:pPr>
      <w:r>
        <w:rPr>
          <w:rFonts w:ascii="Arial" w:cs="Arial" w:eastAsia="Arial" w:hAnsi="Arial"/>
          <w:i/>
          <w:iCs/>
          <w:sz w:val="22"/>
          <w:szCs w:val="22"/>
        </w:rPr>
        <w:t xml:space="preserve">Real world analogy: think of compass directions. It does not matter if you drew the arrow 1cm or 10cm on paper — north is still north. Unit normalising is like saying “all arrows are exactly 1cm; we only care about the direction they point.”</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F4E79"/>
          <w:sz w:val="26"/>
          <w:szCs w:val="26"/>
        </w:rPr>
        <w:t xml:space="preserve">The Formula</w:t>
      </w:r>
    </w:p>
    <w:p>
      <w:pPr>
        <w:spacing w:before="80" w:after="80"/>
      </w:pPr>
      <w:r>
        <w:rPr>
          <w:rFonts w:ascii="Arial" w:cs="Arial" w:eastAsia="Arial" w:hAnsi="Arial"/>
          <w:sz w:val="22"/>
          <w:szCs w:val="22"/>
        </w:rPr>
        <w:t xml:space="preserve">To normalise any vector, divide each element by its magnitude:</w:t>
      </w:r>
    </w:p>
    <w:p>
      <w:pPr>
        <w:shd w:fill="F5F5F5" w:val="clear"/>
        <w:spacing w:before="160" w:after="160"/>
        <w:jc w:val="center"/>
      </w:pPr>
      <w:r>
        <w:rPr>
          <w:rFonts w:ascii="Courier New" w:cs="Courier New" w:eastAsia="Courier New" w:hAnsi="Courier New"/>
          <w:b/>
          <w:bCs/>
          <w:sz w:val="24"/>
          <w:szCs w:val="24"/>
        </w:rPr>
        <w:t xml:space="preserve">Â = A / ‖A‖</w:t>
      </w:r>
    </w:p>
    <w:p>
      <w:pPr>
        <w:spacing w:before="80" w:after="80"/>
      </w:pPr>
      <w:r>
        <w:rPr>
          <w:rFonts w:ascii="Arial" w:cs="Arial" w:eastAsia="Arial" w:hAnsi="Arial"/>
          <w:sz w:val="22"/>
          <w:szCs w:val="22"/>
        </w:rPr>
        <w:t xml:space="preserve">Example: A = [3, 4]</w:t>
      </w:r>
    </w:p>
    <w:p>
      <w:pPr>
        <w:shd w:fill="F5F5F5" w:val="clear"/>
        <w:spacing w:before="160" w:after="160"/>
        <w:jc w:val="center"/>
      </w:pPr>
      <w:r>
        <w:rPr>
          <w:rFonts w:ascii="Courier New" w:cs="Courier New" w:eastAsia="Courier New" w:hAnsi="Courier New"/>
          <w:b/>
          <w:bCs/>
          <w:sz w:val="24"/>
          <w:szCs w:val="24"/>
        </w:rPr>
        <w:t xml:space="preserve">‖A‖ = 5    →    Â = [3/5, 4/5] = [0.6, 0.8]</w:t>
      </w:r>
    </w:p>
    <w:p>
      <w:pPr>
        <w:shd w:fill="F5F5F5" w:val="clear"/>
        <w:spacing w:before="160" w:after="160"/>
        <w:jc w:val="center"/>
      </w:pPr>
      <w:r>
        <w:rPr>
          <w:rFonts w:ascii="Courier New" w:cs="Courier New" w:eastAsia="Courier New" w:hAnsi="Courier New"/>
          <w:b/>
          <w:bCs/>
          <w:sz w:val="24"/>
          <w:szCs w:val="24"/>
        </w:rPr>
        <w:t xml:space="preserve">Verify: √(0.6² + 0.8²) = √(0.36 + 0.64) = √1.0 = 1  ✓</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F4E79"/>
          <w:sz w:val="26"/>
          <w:szCs w:val="26"/>
        </w:rPr>
        <w:t xml:space="preserve">L2 Normalisation vs Unit Normalisation</w:t>
      </w:r>
    </w:p>
    <w:p>
      <w:pPr>
        <w:spacing w:before="80" w:after="80"/>
      </w:pPr>
      <w:r>
        <w:rPr>
          <w:rFonts w:ascii="Arial" w:cs="Arial" w:eastAsia="Arial" w:hAnsi="Arial"/>
          <w:sz w:val="22"/>
          <w:szCs w:val="22"/>
        </w:rPr>
        <w:t xml:space="preserve">These are the same thing. L2 is simply the technical name.</w:t>
      </w:r>
    </w:p>
    <w:p>
      <w:pPr>
        <w:spacing w:before="80" w:after="80"/>
      </w:pPr>
      <w:r>
        <w:rPr>
          <w:rFonts w:ascii="Arial" w:cs="Arial" w:eastAsia="Arial" w:hAnsi="Arial"/>
          <w:sz w:val="22"/>
          <w:szCs w:val="22"/>
        </w:rPr>
        <w:t xml:space="preserve">The “L2” refers to the L2 norm, which is the Euclidean length formula used above. It is called L2 because it squares the elements (power of 2) before summing. There are other norms — L1 (sum of absolute values), L∞ (maximum value) — but L2 is by far the most common in machine learning and embeddings. When someone says “unit normalised” in an ML context, they almost always mean L2 normalised.</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normalised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has length exactly 1</w:t>
            </w:r>
          </w:p>
        </w:tc>
      </w:tr>
      <w:tr>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L2 normalised</w:t>
            </w:r>
          </w:p>
        </w:tc>
        <w:tc>
          <w:tcPr>
            <w:tcW w:type="dxa" w:w="46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Same thing — normalised using the L2 (Euclidean) norm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norm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√ΣAi² formula for vector length</w:t>
            </w:r>
          </w:p>
        </w:tc>
      </w:tr>
    </w:tbl>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color w:val="1F4E79"/>
          <w:sz w:val="26"/>
          <w:szCs w:val="26"/>
        </w:rPr>
        <w:t xml:space="preserve">Why Embedding Models Use It</w:t>
      </w:r>
    </w:p>
    <w:p>
      <w:pPr>
        <w:spacing w:before="80" w:after="80"/>
      </w:pPr>
      <w:r>
        <w:rPr>
          <w:rFonts w:ascii="Arial" w:cs="Arial" w:eastAsia="Arial" w:hAnsi="Arial"/>
          <w:sz w:val="22"/>
          <w:szCs w:val="22"/>
        </w:rPr>
        <w:t xml:space="preserve">By normalising outputs, the model strips out any information about vector length and forces all similarity comparisons to be purely about direction — which is what you want when comparing semantic meaning.</w:t>
      </w:r>
    </w:p>
    <w:p>
      <w:pPr>
        <w:spacing w:before="80" w:after="80"/>
      </w:pPr>
      <w:r>
        <w:rPr>
          <w:rFonts w:ascii="Arial" w:cs="Arial" w:eastAsia="Arial" w:hAnsi="Arial"/>
          <w:sz w:val="22"/>
          <w:szCs w:val="22"/>
        </w:rPr>
        <w:t xml:space="preserve">The side benefit is that the maths gets simpler and faster: dot product and cosine similarity become identical, which matters at scale when doing millions of similarity lookups.</w:t>
      </w:r>
    </w:p>
    <w:p>
      <w:pPr>
        <w:spacing w:before="80" w:after="80"/>
      </w:pPr>
      <w:r>
        <w:rPr>
          <w:rFonts w:ascii="Arial" w:cs="Arial" w:eastAsia="Arial" w:hAnsi="Arial"/>
          <w:sz w:val="22"/>
          <w:szCs w:val="22"/>
        </w:rPr>
        <w:t xml:space="preserve"/>
      </w:r>
    </w:p>
    <w:p>
      <w:pPr>
        <w:pStyle w:val="Heading1"/>
        <w:spacing w:before="320" w:after="160"/>
      </w:pPr>
      <w:r>
        <w:rPr>
          <w:rFonts w:ascii="Arial" w:cs="Arial" w:eastAsia="Arial" w:hAnsi="Arial"/>
          <w:b/>
          <w:bCs/>
          <w:color w:val="2E75B6"/>
          <w:sz w:val="32"/>
          <w:szCs w:val="32"/>
        </w:rPr>
        <w:t xml:space="preserve">5. OpenAI Embeddings</w:t>
      </w:r>
    </w:p>
    <w:p>
      <w:pPr>
        <w:spacing w:before="80" w:after="80"/>
      </w:pPr>
      <w:r>
        <w:rPr>
          <w:rFonts w:ascii="Arial" w:cs="Arial" w:eastAsia="Arial" w:hAnsi="Arial"/>
          <w:sz w:val="22"/>
          <w:szCs w:val="22"/>
        </w:rPr>
        <w:t xml:space="preserve">OpenAI's embedding models (text-embedding-3-small, text-embedding-3-large, and text-embedding-ada-002) all output unit-normalised vectors. This is confirmed in OpenAI's official documentation:</w:t>
      </w:r>
    </w:p>
    <w:p>
      <w:pPr>
        <w:pBdr>
          <w:left w:val="single" w:color="2E75B6" w:sz="12"/>
        </w:pBdr>
        <w:spacing w:before="120" w:after="120"/>
        <w:ind w:left="360"/>
      </w:pPr>
      <w:r>
        <w:rPr>
          <w:rFonts w:ascii="Arial" w:cs="Arial" w:eastAsia="Arial" w:hAnsi="Arial"/>
          <w:i/>
          <w:iCs/>
          <w:sz w:val="22"/>
          <w:szCs w:val="22"/>
        </w:rPr>
        <w:t xml:space="preserve">"OpenAI embeddings are normalized to length 1, which means that cosine similarity can be computed slightly faster using just a dot product, and cosine similarity and Euclidean distance will result in identical rankings." — OpenAI Docs</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 Normalised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text-embedding-3-small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1536 (configurable)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text-embedding-3-large</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3072 (configurable)</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text-embedding-ada-002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bl>
    <w:p>
      <w:pPr>
        <w:spacing w:before="80" w:after="80"/>
      </w:pPr>
      <w:r>
        <w:rPr>
          <w:rFonts w:ascii="Arial" w:cs="Arial" w:eastAsia="Arial" w:hAnsi="Arial"/>
          <w:sz w:val="22"/>
          <w:szCs w:val="22"/>
        </w:rPr>
        <w:t xml:space="preserve"/>
      </w:r>
    </w:p>
    <w:p>
      <w:pPr>
        <w:pBdr>
          <w:left w:val="single" w:color="2E75B6" w:sz="12"/>
        </w:pBdr>
        <w:spacing w:before="120" w:after="120"/>
        <w:ind w:left="360"/>
      </w:pPr>
      <w:r>
        <w:rPr>
          <w:rFonts w:ascii="Arial" w:cs="Arial" w:eastAsia="Arial" w:hAnsi="Arial"/>
          <w:i/>
          <w:iCs/>
          <w:sz w:val="22"/>
          <w:szCs w:val="22"/>
        </w:rPr>
        <w:t xml:space="preserve">Gotcha: if you manually truncate dimensions, the resulting shorter vector is no longer unit-normalised and must be re-normalised manually. If you use the API's built-in dimensions parameter, re-normalisation is handled automatically.</w:t>
      </w:r>
    </w:p>
    <w:p>
      <w:pPr>
        <w:spacing w:before="80" w:after="80"/>
      </w:pPr>
      <w:r>
        <w:rPr>
          <w:rFonts w:ascii="Arial" w:cs="Arial" w:eastAsia="Arial" w:hAnsi="Arial"/>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2026-03-01T23:58:04.559Z</dcterms:created>
  <dcterms:modified xsi:type="dcterms:W3CDTF">2026-03-01T23:58:04.560Z</dcterms:modified>
</cp:coreProperties>
</file>

<file path=docProps/custom.xml><?xml version="1.0" encoding="utf-8"?>
<Properties xmlns="http://schemas.openxmlformats.org/officeDocument/2006/custom-properties" xmlns:vt="http://schemas.openxmlformats.org/officeDocument/2006/docPropsVTypes"/>
</file>