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26C9AE3A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 w:rsidRPr="000959FF">
        <w:rPr>
          <w:rFonts w:ascii="Georgia" w:hAnsi="Georgia"/>
          <w:color w:val="002060"/>
          <w:sz w:val="52"/>
        </w:rPr>
        <w:t xml:space="preserve">Sample </w:t>
      </w: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template</w:t>
      </w:r>
      <w:r w:rsidR="00360E72">
        <w:rPr>
          <w:rFonts w:ascii="Georgia" w:hAnsi="Georgia"/>
          <w:color w:val="002060"/>
          <w:sz w:val="52"/>
        </w:rPr>
        <w:t xml:space="preserve"> </w:t>
      </w:r>
      <w:proofErr w:type="gramStart"/>
      <w:r w:rsidR="00360E72" w:rsidRPr="00360E72">
        <w:rPr>
          <w:rFonts w:ascii="Georgia" w:hAnsi="Georgia"/>
          <w:color w:val="002060"/>
          <w:sz w:val="52"/>
        </w:rPr>
        <w:t>{</w:t>
      </w:r>
      <w:r w:rsidR="00360E72">
        <w:rPr>
          <w:rFonts w:ascii="Georgia" w:hAnsi="Georgia"/>
          <w:color w:val="002060"/>
          <w:sz w:val="52"/>
        </w:rPr>
        <w:t xml:space="preserve"> </w:t>
      </w:r>
      <w:r w:rsidR="00360E72" w:rsidRPr="00360E72">
        <w:rPr>
          <w:rFonts w:ascii="Georgia" w:hAnsi="Georgia"/>
          <w:color w:val="002060"/>
          <w:sz w:val="52"/>
        </w:rPr>
        <w:t>process</w:t>
      </w:r>
      <w:proofErr w:type="gramEnd"/>
      <w:r w:rsidR="00360E72">
        <w:rPr>
          <w:rFonts w:ascii="Georgia" w:hAnsi="Georgia"/>
          <w:color w:val="002060"/>
          <w:sz w:val="52"/>
        </w:rPr>
        <w:t xml:space="preserve"> </w:t>
      </w:r>
      <w:r w:rsidR="00360E72" w:rsidRPr="00360E72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08E35849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template is designed to help you 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your processing. </w:t>
      </w:r>
      <w:r w:rsidR="00805A3A" w:rsidRPr="00D52E8A">
        <w:rPr>
          <w:rFonts w:cs="Times New Roman"/>
          <w:szCs w:val="23"/>
        </w:rPr>
        <w:t xml:space="preserve">It should be used alongside our </w:t>
      </w:r>
      <w:hyperlink r:id="rId8" w:history="1">
        <w:r w:rsidR="00805A3A" w:rsidRPr="005855E5">
          <w:rPr>
            <w:rStyle w:val="Hyperlink"/>
            <w:rFonts w:cs="Times New Roman"/>
            <w:szCs w:val="23"/>
          </w:rPr>
          <w:t>legitimate interests guidance</w:t>
        </w:r>
      </w:hyperlink>
      <w:r w:rsidR="00805A3A" w:rsidRPr="00D52E8A">
        <w:rPr>
          <w:rFonts w:cs="Times New Roman"/>
          <w:szCs w:val="23"/>
        </w:rPr>
        <w:t>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DC00D4" w14:textId="77777777" w:rsidR="008F0946" w:rsidRDefault="008F0946" w:rsidP="003A65E9">
            <w:pPr>
              <w:rPr>
                <w:szCs w:val="23"/>
                <w:lang w:val="en-US"/>
              </w:rPr>
            </w:pPr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5B01FEEF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769DFD2C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260685D6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6349182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30F0A8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1E8D1801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25DE8FF8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645DA02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20C9726B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B3737BA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4061D800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04A8548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48BFF21F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B86DC0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C571419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3AAE982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2ECD05C1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0A629BAD" w14:textId="77777777" w:rsidR="00856214" w:rsidRDefault="00856214" w:rsidP="00C65D0B">
            <w:pPr>
              <w:rPr>
                <w:szCs w:val="23"/>
                <w:lang w:val="en-US"/>
              </w:rPr>
            </w:pPr>
          </w:p>
          <w:p w14:paraId="684F2414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3F2812DE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F68B54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6F001EF7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2B0DB65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5DDA0A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2694DAF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3CD607B1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9F1F853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52D07EFD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3A48D0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AC3D6B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4611A7D0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3FAF82B" w14:textId="77777777" w:rsidR="00E16491" w:rsidRDefault="00E16491" w:rsidP="00C65D0B">
            <w:pPr>
              <w:rPr>
                <w:szCs w:val="23"/>
                <w:lang w:val="en-US"/>
              </w:rPr>
            </w:pPr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9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402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14DCFB59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7CA3420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E28BEF7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C32DB08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66097874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45EDCF9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6500657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70FEED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594A0FD5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094E4FE6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1C5BE527" w14:textId="77777777" w:rsidR="00DF5D7A" w:rsidRDefault="00DF5D7A" w:rsidP="00B35FCA">
            <w:pPr>
              <w:rPr>
                <w:szCs w:val="23"/>
                <w:lang w:val="en-US"/>
              </w:rPr>
            </w:pPr>
          </w:p>
          <w:p w14:paraId="0C72BE4C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28FB14C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43589505" w14:textId="77777777" w:rsidR="00B35FCA" w:rsidRDefault="00B35FCA" w:rsidP="00B35FCA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7FC8301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DEA10C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792E9D3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A2138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2788AD80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4174E11D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BECF8A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D0C778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51A9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1E7C19F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FBADD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7C487947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36192C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148AB0B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6BD69B29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230B6FC1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08CAFC55" w14:textId="77777777" w:rsidR="00DF5D7A" w:rsidRDefault="00DF5D7A" w:rsidP="00965AD4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3D893917" w14:textId="77777777" w:rsidR="00965AD4" w:rsidRPr="00D52E8A" w:rsidRDefault="00965AD4" w:rsidP="00AB06A8">
            <w:pPr>
              <w:rPr>
                <w:rFonts w:cs="Times New Roman"/>
                <w:szCs w:val="23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77777777" w:rsidR="00DF5D7A" w:rsidRPr="00DF5D7A" w:rsidRDefault="00DF5D7A" w:rsidP="00AB06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DF5D7A">
              <w:rPr>
                <w:rFonts w:cs="Times New Roman"/>
                <w:szCs w:val="23"/>
              </w:rPr>
              <w:t>Yes / No</w:t>
            </w:r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6868FD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</w:tcPr>
          <w:p w14:paraId="32FA9FD2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  <w:p w14:paraId="53D21760" w14:textId="77777777" w:rsidR="006868FD" w:rsidRPr="006868FD" w:rsidRDefault="006868FD" w:rsidP="00AB06A8">
            <w:pPr>
              <w:jc w:val="center"/>
              <w:rPr>
                <w:szCs w:val="23"/>
                <w:lang w:val="en-US"/>
              </w:rPr>
            </w:pPr>
            <w:r w:rsidRPr="006868FD">
              <w:rPr>
                <w:szCs w:val="23"/>
                <w:lang w:val="en-US"/>
              </w:rPr>
              <w:t>Yes / No</w:t>
            </w:r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8D112B6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77C797D2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3F184CF9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24DC5B3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1CA62451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CCC0B6C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ADEF977" w14:textId="77777777" w:rsidR="00344EE4" w:rsidRPr="006868FD" w:rsidRDefault="00344EE4" w:rsidP="00DB1CA3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  <w:tr w:rsidR="005D628E" w14:paraId="1948FBF7" w14:textId="77777777" w:rsidTr="005D628E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</w:tcPr>
          <w:p w14:paraId="273AE3FC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9AA15" w14:textId="77777777" w:rsidR="0047048A" w:rsidRDefault="0047048A" w:rsidP="008F0946">
      <w:pPr>
        <w:spacing w:line="240" w:lineRule="auto"/>
      </w:pPr>
      <w:r>
        <w:separator/>
      </w:r>
    </w:p>
  </w:endnote>
  <w:endnote w:type="continuationSeparator" w:id="0">
    <w:p w14:paraId="6A56EA78" w14:textId="77777777" w:rsidR="0047048A" w:rsidRDefault="0047048A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14C43" w14:textId="77777777" w:rsidR="0047048A" w:rsidRDefault="0047048A" w:rsidP="008F0946">
      <w:pPr>
        <w:spacing w:line="240" w:lineRule="auto"/>
      </w:pPr>
      <w:r>
        <w:separator/>
      </w:r>
    </w:p>
  </w:footnote>
  <w:footnote w:type="continuationSeparator" w:id="0">
    <w:p w14:paraId="196DCDB8" w14:textId="77777777" w:rsidR="0047048A" w:rsidRDefault="0047048A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939A1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213A98"/>
    <w:rsid w:val="00231A53"/>
    <w:rsid w:val="00247A32"/>
    <w:rsid w:val="002C7809"/>
    <w:rsid w:val="002D6343"/>
    <w:rsid w:val="002E3C51"/>
    <w:rsid w:val="002F429A"/>
    <w:rsid w:val="00344EE4"/>
    <w:rsid w:val="00360E72"/>
    <w:rsid w:val="003A65E9"/>
    <w:rsid w:val="003D19BE"/>
    <w:rsid w:val="00465CFD"/>
    <w:rsid w:val="0047048A"/>
    <w:rsid w:val="004872D9"/>
    <w:rsid w:val="00491957"/>
    <w:rsid w:val="004A73DB"/>
    <w:rsid w:val="004D6676"/>
    <w:rsid w:val="00501B68"/>
    <w:rsid w:val="00544E8E"/>
    <w:rsid w:val="00570D1C"/>
    <w:rsid w:val="005855E5"/>
    <w:rsid w:val="00595BFA"/>
    <w:rsid w:val="005A0038"/>
    <w:rsid w:val="005D628E"/>
    <w:rsid w:val="005E7E9C"/>
    <w:rsid w:val="00633BB7"/>
    <w:rsid w:val="006525F7"/>
    <w:rsid w:val="00666BFB"/>
    <w:rsid w:val="006868FD"/>
    <w:rsid w:val="006A538C"/>
    <w:rsid w:val="006B1D6E"/>
    <w:rsid w:val="006D5E42"/>
    <w:rsid w:val="007143E4"/>
    <w:rsid w:val="00746F4F"/>
    <w:rsid w:val="00805A3A"/>
    <w:rsid w:val="00856214"/>
    <w:rsid w:val="00897043"/>
    <w:rsid w:val="008F0946"/>
    <w:rsid w:val="00965AD4"/>
    <w:rsid w:val="00A11E59"/>
    <w:rsid w:val="00A30608"/>
    <w:rsid w:val="00A504A4"/>
    <w:rsid w:val="00AB06A8"/>
    <w:rsid w:val="00AE04A7"/>
    <w:rsid w:val="00AF16B0"/>
    <w:rsid w:val="00B255A8"/>
    <w:rsid w:val="00B325ED"/>
    <w:rsid w:val="00B35FCA"/>
    <w:rsid w:val="00B43FE6"/>
    <w:rsid w:val="00B64686"/>
    <w:rsid w:val="00B97A59"/>
    <w:rsid w:val="00BE3EF4"/>
    <w:rsid w:val="00C43AC2"/>
    <w:rsid w:val="00C65D0B"/>
    <w:rsid w:val="00C8021F"/>
    <w:rsid w:val="00CD5050"/>
    <w:rsid w:val="00D02354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3B4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lawful-basis/a-guide-to-lawful-basis/legitimate-interest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5</cp:revision>
  <dcterms:created xsi:type="dcterms:W3CDTF">2018-03-21T17:15:00Z</dcterms:created>
  <dcterms:modified xsi:type="dcterms:W3CDTF">2025-04-11T10:24:00Z</dcterms:modified>
</cp:coreProperties>
</file>