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10F4BC5E" w:rsidR="007F35EA" w:rsidRPr="00817AB6" w:rsidRDefault="00F72161"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AUSTRALIA</w:t>
      </w:r>
    </w:p>
    <w:tbl>
      <w:tblPr>
        <w:tblStyle w:val="TableGrid"/>
        <w:tblW w:w="8725" w:type="dxa"/>
        <w:tblLook w:val="04A0" w:firstRow="1" w:lastRow="0" w:firstColumn="1" w:lastColumn="0" w:noHBand="0" w:noVBand="1"/>
      </w:tblPr>
      <w:tblGrid>
        <w:gridCol w:w="1615"/>
        <w:gridCol w:w="1852"/>
        <w:gridCol w:w="1080"/>
        <w:gridCol w:w="4178"/>
      </w:tblGrid>
      <w:tr w:rsidR="002573C2" w:rsidRPr="002573C2" w14:paraId="4A7756FA" w14:textId="77777777" w:rsidTr="00F72161">
        <w:tc>
          <w:tcPr>
            <w:tcW w:w="3467" w:type="dxa"/>
            <w:gridSpan w:val="2"/>
          </w:tcPr>
          <w:p w14:paraId="3659CE9A" w14:textId="58A4BEDB" w:rsidR="002573C2" w:rsidRPr="00144558" w:rsidRDefault="00F72161"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Australia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78"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F72161">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852"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178"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F72161">
        <w:tc>
          <w:tcPr>
            <w:tcW w:w="1615" w:type="dxa"/>
          </w:tcPr>
          <w:p w14:paraId="3EBD18F3" w14:textId="754E298B" w:rsidR="002573C2" w:rsidRPr="00321BE6" w:rsidRDefault="001B6FCF"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17</w:t>
            </w:r>
          </w:p>
        </w:tc>
        <w:tc>
          <w:tcPr>
            <w:tcW w:w="1852" w:type="dxa"/>
          </w:tcPr>
          <w:p w14:paraId="7772FCDD" w14:textId="529CA65E" w:rsidR="002573C2" w:rsidRPr="00321BE6" w:rsidRDefault="001B6FCF"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5</w:t>
            </w:r>
          </w:p>
        </w:tc>
        <w:tc>
          <w:tcPr>
            <w:tcW w:w="1080" w:type="dxa"/>
          </w:tcPr>
          <w:p w14:paraId="115B9B48" w14:textId="4A53B2B9" w:rsidR="002573C2" w:rsidRPr="00321BE6" w:rsidRDefault="001B6FCF"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0.34A-</w:t>
            </w:r>
          </w:p>
        </w:tc>
        <w:tc>
          <w:tcPr>
            <w:tcW w:w="4178" w:type="dxa"/>
          </w:tcPr>
          <w:p w14:paraId="0260C957" w14:textId="0137AF70" w:rsidR="002573C2" w:rsidRPr="00321BE6" w:rsidRDefault="001B6FCF"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High</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725" w:type="dxa"/>
        <w:tblLook w:val="04A0" w:firstRow="1" w:lastRow="0" w:firstColumn="1" w:lastColumn="0" w:noHBand="0" w:noVBand="1"/>
      </w:tblPr>
      <w:tblGrid>
        <w:gridCol w:w="2245"/>
        <w:gridCol w:w="2070"/>
        <w:gridCol w:w="4410"/>
      </w:tblGrid>
      <w:tr w:rsidR="00321BE6" w:rsidRPr="002573C2" w14:paraId="10DB7960" w14:textId="77777777" w:rsidTr="0007532C">
        <w:tc>
          <w:tcPr>
            <w:tcW w:w="8725" w:type="dxa"/>
            <w:gridSpan w:val="3"/>
          </w:tcPr>
          <w:p w14:paraId="603FF65F" w14:textId="1486A71B" w:rsidR="00321BE6" w:rsidRPr="002573C2" w:rsidRDefault="00F72161"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Australia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07532C">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41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07532C">
        <w:tc>
          <w:tcPr>
            <w:tcW w:w="2245" w:type="dxa"/>
          </w:tcPr>
          <w:p w14:paraId="31D09404" w14:textId="12186497" w:rsidR="00321BE6" w:rsidRPr="00144558" w:rsidRDefault="00DD1AA8"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0.34A-</w:t>
            </w:r>
          </w:p>
        </w:tc>
        <w:tc>
          <w:tcPr>
            <w:tcW w:w="2070" w:type="dxa"/>
          </w:tcPr>
          <w:p w14:paraId="29CB3C9D" w14:textId="26712548" w:rsidR="00321BE6" w:rsidRPr="00144558" w:rsidRDefault="00DD1AA8"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0.34A-</w:t>
            </w:r>
          </w:p>
        </w:tc>
        <w:tc>
          <w:tcPr>
            <w:tcW w:w="4410" w:type="dxa"/>
          </w:tcPr>
          <w:p w14:paraId="74E120BC" w14:textId="2ADCDF9E" w:rsidR="00321BE6" w:rsidRPr="00144558" w:rsidRDefault="00DD1AA8"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0.35A</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585C4736"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DD1AA8">
        <w:rPr>
          <w:rFonts w:ascii="Times New Roman" w:hAnsi="Times New Roman" w:cs="Times New Roman"/>
          <w:sz w:val="20"/>
          <w:szCs w:val="20"/>
        </w:rPr>
        <w:t>Australia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DD1AA8">
        <w:rPr>
          <w:rFonts w:ascii="Times New Roman" w:hAnsi="Times New Roman" w:cs="Times New Roman"/>
          <w:sz w:val="20"/>
          <w:szCs w:val="20"/>
        </w:rPr>
        <w:t>Australia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32799FEA" w14:textId="1124547E" w:rsidR="00891AEC" w:rsidRDefault="00F72161"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Australia</w:t>
      </w:r>
      <w:r w:rsidR="00891AEC" w:rsidRPr="00817AB6">
        <w:rPr>
          <w:rStyle w:val="Strong"/>
          <w:rFonts w:ascii="Times New Roman" w:hAnsi="Times New Roman" w:cs="Times New Roman"/>
          <w:color w:val="7030A0"/>
          <w:sz w:val="32"/>
          <w:szCs w:val="32"/>
        </w:rPr>
        <w:t>—Economic Outlook</w:t>
      </w:r>
    </w:p>
    <w:p w14:paraId="1E8AB12D" w14:textId="2E7F9406" w:rsidR="00DD1AA8" w:rsidRPr="00AE5B75" w:rsidRDefault="00DD1AA8" w:rsidP="00DD1AA8">
      <w:pPr>
        <w:jc w:val="both"/>
        <w:rPr>
          <w:rFonts w:ascii="Times New Roman" w:eastAsia="Times New Roman" w:hAnsi="Times New Roman" w:cs="Times New Roman"/>
          <w:b/>
          <w:bCs/>
          <w:color w:val="313131"/>
          <w:sz w:val="20"/>
          <w:szCs w:val="20"/>
        </w:rPr>
      </w:pPr>
      <w:r w:rsidRPr="00AE5B75">
        <w:rPr>
          <w:rFonts w:ascii="Times New Roman" w:eastAsia="Times New Roman" w:hAnsi="Times New Roman" w:cs="Times New Roman"/>
          <w:color w:val="313131"/>
          <w:sz w:val="20"/>
          <w:szCs w:val="20"/>
        </w:rPr>
        <w:t xml:space="preserve">Australia is a highly developed economy, contributing 1.56% to global GDP. Its economic structure is characterized by a mix of resource extraction, agriculture, services, and technology-driven sectors. According </w:t>
      </w:r>
      <w:r w:rsidRPr="00AE5B75">
        <w:rPr>
          <w:rFonts w:ascii="Times New Roman" w:eastAsia="Times New Roman" w:hAnsi="Times New Roman" w:cs="Times New Roman"/>
          <w:color w:val="313131"/>
          <w:sz w:val="20"/>
          <w:szCs w:val="20"/>
        </w:rPr>
        <w:lastRenderedPageBreak/>
        <w:t>to Heart Score analysis, housing, health, energy, and education collectively contribute about 33.1% of the country’s GDP</w:t>
      </w:r>
      <w:r>
        <w:rPr>
          <w:rFonts w:ascii="Times New Roman" w:eastAsia="Times New Roman" w:hAnsi="Times New Roman" w:cs="Times New Roman"/>
          <w:color w:val="313131"/>
          <w:sz w:val="20"/>
          <w:szCs w:val="20"/>
        </w:rPr>
        <w:t xml:space="preserve"> in 2025</w:t>
      </w:r>
      <w:r w:rsidRPr="00AE5B75">
        <w:rPr>
          <w:rFonts w:ascii="Times New Roman" w:eastAsia="Times New Roman" w:hAnsi="Times New Roman" w:cs="Times New Roman"/>
          <w:color w:val="313131"/>
          <w:sz w:val="20"/>
          <w:szCs w:val="20"/>
        </w:rPr>
        <w:t>, showing a strong emphasis on social well-being and public infrastructure.</w:t>
      </w:r>
      <w:r w:rsidRPr="00AE5B75">
        <w:rPr>
          <w:rFonts w:ascii="Times New Roman" w:eastAsia="Times New Roman" w:hAnsi="Times New Roman" w:cs="Times New Roman"/>
          <w:color w:val="313131"/>
          <w:sz w:val="20"/>
          <w:szCs w:val="20"/>
        </w:rPr>
        <w:br/>
      </w:r>
    </w:p>
    <w:p w14:paraId="49BBCD23" w14:textId="77777777" w:rsidR="00DD1AA8" w:rsidRPr="00AE5B75" w:rsidRDefault="00DD1AA8" w:rsidP="00DD1AA8">
      <w:pPr>
        <w:jc w:val="both"/>
        <w:rPr>
          <w:rFonts w:ascii="Times New Roman" w:eastAsia="Times New Roman" w:hAnsi="Times New Roman" w:cs="Times New Roman"/>
          <w:color w:val="313131"/>
          <w:sz w:val="20"/>
          <w:szCs w:val="20"/>
        </w:rPr>
      </w:pPr>
      <w:r w:rsidRPr="00AE5B75">
        <w:rPr>
          <w:rFonts w:ascii="Times New Roman" w:eastAsia="Times New Roman" w:hAnsi="Times New Roman" w:cs="Times New Roman"/>
          <w:color w:val="313131"/>
          <w:sz w:val="20"/>
          <w:szCs w:val="20"/>
        </w:rPr>
        <w:t>The country keeps a low debt-to-GDP ratio (51.20%) and a steady trade surplus of approximately US$ 20 billion, underlining its strong fiscal management. Australia’s high affordability stems from stable incomes, quality public services, and effective social welfare systems, making it attractive for both residents and investors.</w:t>
      </w:r>
    </w:p>
    <w:p w14:paraId="002ECD68" w14:textId="6F5E697E" w:rsidR="00DD1AA8" w:rsidRPr="00DD1AA8" w:rsidRDefault="00DD1AA8" w:rsidP="002B5AF8">
      <w:pPr>
        <w:jc w:val="both"/>
        <w:rPr>
          <w:rFonts w:ascii="Times New Roman" w:eastAsia="Times New Roman" w:hAnsi="Times New Roman" w:cs="Times New Roman"/>
          <w:color w:val="313131"/>
          <w:sz w:val="20"/>
          <w:szCs w:val="20"/>
        </w:rPr>
      </w:pPr>
      <w:r w:rsidRPr="00AE5B75">
        <w:rPr>
          <w:rFonts w:ascii="Times New Roman" w:eastAsia="Times New Roman" w:hAnsi="Times New Roman" w:cs="Times New Roman"/>
          <w:color w:val="313131"/>
          <w:sz w:val="20"/>
          <w:szCs w:val="20"/>
        </w:rPr>
        <w:t>Despite this stability, Australia faces certain economic vulnerabilities. The heavy reliance on mining and commodity exports exposes it to fluctuations in global demand, especially from China. Transitioning to renewable energy and addressing environmental sustainability are urgent priorities. Additionally, regional trade tensions and global economic uncertainties caused by US disruptive economic and trade policies could change exports and investment. To enhance resilience, Australia must invest in infrastructure modernization, technological innovation, renewable energy projects, and higher education. Diversifying exports and strengthening trade relationships in Asia-Pacific and beyond will also secure long-term growth.</w:t>
      </w:r>
    </w:p>
    <w:p w14:paraId="208D7E8C" w14:textId="23470C06"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DD1AA8">
        <w:rPr>
          <w:rStyle w:val="Strong"/>
          <w:rFonts w:ascii="Times New Roman" w:hAnsi="Times New Roman" w:cs="Times New Roman"/>
          <w:b w:val="0"/>
          <w:bCs w:val="0"/>
          <w:color w:val="000000"/>
          <w:sz w:val="20"/>
          <w:szCs w:val="20"/>
        </w:rPr>
        <w:t>Australia</w:t>
      </w:r>
      <w:r w:rsidRPr="00081820">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1D615A35"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As per “HEART”</w:t>
      </w:r>
      <w:r w:rsidR="00805114" w:rsidRPr="00081820">
        <w:rPr>
          <w:rStyle w:val="Strong"/>
          <w:rFonts w:ascii="Times New Roman" w:hAnsi="Times New Roman" w:cs="Times New Roman"/>
          <w:b w:val="0"/>
          <w:bCs w:val="0"/>
          <w:color w:val="000000"/>
          <w:sz w:val="20"/>
          <w:szCs w:val="20"/>
        </w:rPr>
        <w:t xml:space="preserve"> Forecasting</w:t>
      </w:r>
      <w:r w:rsidRPr="00081820">
        <w:rPr>
          <w:rStyle w:val="Strong"/>
          <w:rFonts w:ascii="Times New Roman" w:hAnsi="Times New Roman" w:cs="Times New Roman"/>
          <w:b w:val="0"/>
          <w:bCs w:val="0"/>
          <w:color w:val="000000"/>
          <w:sz w:val="20"/>
          <w:szCs w:val="20"/>
        </w:rPr>
        <w:t xml:space="preserve">, </w:t>
      </w:r>
      <w:r w:rsidR="00DD1AA8">
        <w:rPr>
          <w:rStyle w:val="Strong"/>
          <w:rFonts w:ascii="Times New Roman" w:hAnsi="Times New Roman" w:cs="Times New Roman"/>
          <w:b w:val="0"/>
          <w:bCs w:val="0"/>
          <w:color w:val="000000"/>
          <w:sz w:val="20"/>
          <w:szCs w:val="20"/>
        </w:rPr>
        <w:t>Australia</w:t>
      </w:r>
      <w:r w:rsidRPr="00081820">
        <w:rPr>
          <w:rStyle w:val="Strong"/>
          <w:rFonts w:ascii="Times New Roman" w:hAnsi="Times New Roman" w:cs="Times New Roman"/>
          <w:b w:val="0"/>
          <w:bCs w:val="0"/>
          <w:color w:val="000000"/>
          <w:sz w:val="20"/>
          <w:szCs w:val="20"/>
        </w:rPr>
        <w:t>’s Econom</w:t>
      </w:r>
      <w:r w:rsidR="00F46074" w:rsidRPr="00081820">
        <w:rPr>
          <w:rStyle w:val="Strong"/>
          <w:rFonts w:ascii="Times New Roman" w:hAnsi="Times New Roman" w:cs="Times New Roman"/>
          <w:b w:val="0"/>
          <w:bCs w:val="0"/>
          <w:color w:val="000000"/>
          <w:sz w:val="20"/>
          <w:szCs w:val="20"/>
        </w:rPr>
        <w:t xml:space="preserve">ic </w:t>
      </w:r>
      <w:r w:rsidR="00DD1AA8">
        <w:rPr>
          <w:rStyle w:val="Strong"/>
          <w:rFonts w:ascii="Times New Roman" w:hAnsi="Times New Roman" w:cs="Times New Roman"/>
          <w:b w:val="0"/>
          <w:bCs w:val="0"/>
          <w:color w:val="000000"/>
          <w:sz w:val="20"/>
          <w:szCs w:val="20"/>
        </w:rPr>
        <w:t xml:space="preserve">Resilience and </w:t>
      </w:r>
      <w:r w:rsidR="003862A0">
        <w:rPr>
          <w:rStyle w:val="Strong"/>
          <w:rFonts w:ascii="Times New Roman" w:hAnsi="Times New Roman" w:cs="Times New Roman"/>
          <w:b w:val="0"/>
          <w:bCs w:val="0"/>
          <w:color w:val="000000"/>
          <w:sz w:val="20"/>
          <w:szCs w:val="20"/>
        </w:rPr>
        <w:t xml:space="preserve">High </w:t>
      </w:r>
      <w:r w:rsidR="00F46074" w:rsidRPr="00081820">
        <w:rPr>
          <w:rStyle w:val="Strong"/>
          <w:rFonts w:ascii="Times New Roman" w:hAnsi="Times New Roman" w:cs="Times New Roman"/>
          <w:b w:val="0"/>
          <w:bCs w:val="0"/>
          <w:color w:val="000000"/>
          <w:sz w:val="20"/>
          <w:szCs w:val="20"/>
        </w:rPr>
        <w:t>Affordability</w:t>
      </w:r>
      <w:r w:rsidR="00805114" w:rsidRPr="00081820">
        <w:rPr>
          <w:rStyle w:val="Strong"/>
          <w:rFonts w:ascii="Times New Roman" w:hAnsi="Times New Roman" w:cs="Times New Roman"/>
          <w:b w:val="0"/>
          <w:bCs w:val="0"/>
          <w:color w:val="000000"/>
          <w:sz w:val="20"/>
          <w:szCs w:val="20"/>
        </w:rPr>
        <w:t xml:space="preserve"> in the next </w:t>
      </w:r>
      <w:r w:rsidR="00DD1AA8">
        <w:rPr>
          <w:rStyle w:val="Strong"/>
          <w:rFonts w:ascii="Times New Roman" w:hAnsi="Times New Roman" w:cs="Times New Roman"/>
          <w:b w:val="0"/>
          <w:bCs w:val="0"/>
          <w:color w:val="000000"/>
          <w:sz w:val="20"/>
          <w:szCs w:val="20"/>
        </w:rPr>
        <w:t>two</w:t>
      </w:r>
      <w:r w:rsidR="00805114" w:rsidRPr="00081820">
        <w:rPr>
          <w:rStyle w:val="Strong"/>
          <w:rFonts w:ascii="Times New Roman" w:hAnsi="Times New Roman" w:cs="Times New Roman"/>
          <w:b w:val="0"/>
          <w:bCs w:val="0"/>
          <w:color w:val="000000"/>
          <w:sz w:val="20"/>
          <w:szCs w:val="20"/>
        </w:rPr>
        <w:t xml:space="preserve"> years till 202</w:t>
      </w:r>
      <w:r w:rsidR="00DD1AA8">
        <w:rPr>
          <w:rStyle w:val="Strong"/>
          <w:rFonts w:ascii="Times New Roman" w:hAnsi="Times New Roman" w:cs="Times New Roman"/>
          <w:b w:val="0"/>
          <w:bCs w:val="0"/>
          <w:color w:val="000000"/>
          <w:sz w:val="20"/>
          <w:szCs w:val="20"/>
        </w:rPr>
        <w:t>7</w:t>
      </w:r>
      <w:r w:rsidR="00805114" w:rsidRPr="00081820">
        <w:rPr>
          <w:rStyle w:val="Strong"/>
          <w:rFonts w:ascii="Times New Roman" w:hAnsi="Times New Roman" w:cs="Times New Roman"/>
          <w:b w:val="0"/>
          <w:bCs w:val="0"/>
          <w:color w:val="000000"/>
          <w:sz w:val="20"/>
          <w:szCs w:val="20"/>
        </w:rPr>
        <w:t xml:space="preserve"> will remain unchanged at </w:t>
      </w:r>
      <w:r w:rsidR="00DD1AA8">
        <w:rPr>
          <w:rStyle w:val="Strong"/>
          <w:rFonts w:ascii="Times New Roman" w:hAnsi="Times New Roman" w:cs="Times New Roman"/>
          <w:b w:val="0"/>
          <w:bCs w:val="0"/>
          <w:color w:val="000000"/>
          <w:sz w:val="20"/>
          <w:szCs w:val="20"/>
        </w:rPr>
        <w:t>0.34A-</w:t>
      </w:r>
      <w:r w:rsidR="003862A0">
        <w:rPr>
          <w:rStyle w:val="Strong"/>
          <w:rFonts w:ascii="Times New Roman" w:hAnsi="Times New Roman" w:cs="Times New Roman"/>
          <w:b w:val="0"/>
          <w:bCs w:val="0"/>
          <w:color w:val="000000"/>
          <w:sz w:val="20"/>
          <w:szCs w:val="20"/>
        </w:rPr>
        <w:t>.</w:t>
      </w:r>
      <w:r w:rsidR="00805114" w:rsidRPr="00081820">
        <w:rPr>
          <w:rStyle w:val="Strong"/>
          <w:rFonts w:ascii="Times New Roman" w:hAnsi="Times New Roman" w:cs="Times New Roman"/>
          <w:b w:val="0"/>
          <w:bCs w:val="0"/>
          <w:color w:val="000000"/>
          <w:sz w:val="20"/>
          <w:szCs w:val="20"/>
        </w:rPr>
        <w:t xml:space="preserve"> </w:t>
      </w:r>
      <w:r w:rsidR="003862A0">
        <w:rPr>
          <w:rStyle w:val="Strong"/>
          <w:rFonts w:ascii="Times New Roman" w:hAnsi="Times New Roman" w:cs="Times New Roman"/>
          <w:b w:val="0"/>
          <w:bCs w:val="0"/>
          <w:color w:val="000000"/>
          <w:sz w:val="20"/>
          <w:szCs w:val="20"/>
        </w:rPr>
        <w:t xml:space="preserve">In 2028, </w:t>
      </w:r>
      <w:r w:rsidR="00805114" w:rsidRPr="00081820">
        <w:rPr>
          <w:rStyle w:val="Strong"/>
          <w:rFonts w:ascii="Times New Roman" w:hAnsi="Times New Roman" w:cs="Times New Roman"/>
          <w:b w:val="0"/>
          <w:bCs w:val="0"/>
          <w:color w:val="000000"/>
          <w:sz w:val="20"/>
          <w:szCs w:val="20"/>
        </w:rPr>
        <w:t>however,</w:t>
      </w:r>
      <w:r w:rsidR="003862A0">
        <w:rPr>
          <w:rStyle w:val="Strong"/>
          <w:rFonts w:ascii="Times New Roman" w:hAnsi="Times New Roman" w:cs="Times New Roman"/>
          <w:b w:val="0"/>
          <w:bCs w:val="0"/>
          <w:color w:val="000000"/>
          <w:sz w:val="20"/>
          <w:szCs w:val="20"/>
        </w:rPr>
        <w:t xml:space="preserve"> due to expected reasonable GDP Growth and enhanced Heart related sector allocations to GDP, the economy is expected to improve both in terms of resilience and affordability with Heart Score expected to improve to 0.35A.</w:t>
      </w:r>
      <w:r w:rsidR="00F46074" w:rsidRPr="00081820">
        <w:rPr>
          <w:rStyle w:val="Strong"/>
          <w:rFonts w:ascii="Times New Roman" w:hAnsi="Times New Roman" w:cs="Times New Roman"/>
          <w:b w:val="0"/>
          <w:bCs w:val="0"/>
          <w:color w:val="000000"/>
          <w:sz w:val="20"/>
          <w:szCs w:val="20"/>
        </w:rPr>
        <w:t xml:space="preserve"> </w:t>
      </w:r>
    </w:p>
    <w:p w14:paraId="006CB4B5" w14:textId="74844D25" w:rsidR="002B5AF8" w:rsidRPr="00081820" w:rsidRDefault="002B5AF8" w:rsidP="002B5AF8">
      <w:pPr>
        <w:jc w:val="both"/>
        <w:rPr>
          <w:rStyle w:val="Strong"/>
          <w:rFonts w:ascii="Times New Roman" w:hAnsi="Times New Roman" w:cs="Times New Roman"/>
          <w:b w:val="0"/>
          <w:bCs w:val="0"/>
          <w:color w:val="000000"/>
          <w:sz w:val="20"/>
          <w:szCs w:val="20"/>
        </w:rPr>
      </w:pPr>
      <w:r w:rsidRPr="00081820">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DD1AA8">
        <w:rPr>
          <w:rStyle w:val="Strong"/>
          <w:rFonts w:ascii="Times New Roman" w:hAnsi="Times New Roman" w:cs="Times New Roman"/>
          <w:b w:val="0"/>
          <w:bCs w:val="0"/>
          <w:color w:val="000000"/>
          <w:sz w:val="20"/>
          <w:szCs w:val="20"/>
        </w:rPr>
        <w:t>Australian</w:t>
      </w:r>
      <w:r w:rsidRPr="00081820">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081820">
        <w:rPr>
          <w:rStyle w:val="Strong"/>
          <w:rFonts w:ascii="Times New Roman" w:hAnsi="Times New Roman" w:cs="Times New Roman"/>
          <w:b w:val="0"/>
          <w:bCs w:val="0"/>
          <w:color w:val="000000"/>
          <w:sz w:val="20"/>
          <w:szCs w:val="20"/>
        </w:rPr>
        <w:t>upskilling, reskilling,</w:t>
      </w:r>
      <w:r w:rsidRPr="00081820">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DD1AA8">
        <w:rPr>
          <w:rStyle w:val="Strong"/>
          <w:rFonts w:ascii="Times New Roman" w:hAnsi="Times New Roman" w:cs="Times New Roman"/>
          <w:b w:val="0"/>
          <w:bCs w:val="0"/>
          <w:color w:val="000000"/>
          <w:sz w:val="20"/>
          <w:szCs w:val="20"/>
        </w:rPr>
        <w:t>Australia</w:t>
      </w:r>
      <w:r w:rsidRPr="00081820">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 xml:space="preserve">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w:t>
      </w:r>
      <w:r w:rsidRPr="00817AB6">
        <w:rPr>
          <w:rStyle w:val="Strong"/>
          <w:rFonts w:ascii="Times New Roman" w:hAnsi="Times New Roman" w:cs="Times New Roman"/>
          <w:b w:val="0"/>
          <w:bCs w:val="0"/>
          <w:color w:val="000000"/>
          <w:sz w:val="20"/>
          <w:szCs w:val="20"/>
        </w:rPr>
        <w:lastRenderedPageBreak/>
        <w:t>help their citizens during those challenging moments through providing needed social support (as we have already mentioned in this summary analysis) and that too in a dignified manner.</w:t>
      </w:r>
    </w:p>
    <w:p w14:paraId="1D941FAD" w14:textId="59C3FEB4" w:rsidR="008C5BB8" w:rsidRDefault="00DD1AA8" w:rsidP="002B5AF8">
      <w:pPr>
        <w:jc w:val="both"/>
        <w:rPr>
          <w:rFonts w:ascii="Times New Roman" w:hAnsi="Times New Roman" w:cs="Times New Roman"/>
          <w:sz w:val="20"/>
          <w:szCs w:val="20"/>
        </w:rPr>
      </w:pPr>
      <w:r>
        <w:rPr>
          <w:rFonts w:ascii="Times New Roman" w:hAnsi="Times New Roman" w:cs="Times New Roman"/>
          <w:sz w:val="20"/>
          <w:szCs w:val="20"/>
        </w:rPr>
        <w:t>Australia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w:t>
      </w:r>
      <w:r w:rsidR="003862A0">
        <w:rPr>
          <w:rFonts w:ascii="Times New Roman" w:hAnsi="Times New Roman" w:cs="Times New Roman"/>
          <w:sz w:val="20"/>
          <w:szCs w:val="20"/>
        </w:rPr>
        <w:t xml:space="preserve"> continue to</w:t>
      </w:r>
      <w:r w:rsidR="008C5BB8" w:rsidRPr="00381C1E">
        <w:rPr>
          <w:rFonts w:ascii="Times New Roman" w:hAnsi="Times New Roman" w:cs="Times New Roman"/>
          <w:sz w:val="20"/>
          <w:szCs w:val="20"/>
        </w:rPr>
        <w:t xml:space="preserve"> invest in social determinants, modernize energy systems, and lessen dependency on external partners. These steps are essential for </w:t>
      </w:r>
      <w:r w:rsidR="003862A0">
        <w:rPr>
          <w:rFonts w:ascii="Times New Roman" w:hAnsi="Times New Roman" w:cs="Times New Roman"/>
          <w:sz w:val="20"/>
          <w:szCs w:val="20"/>
        </w:rPr>
        <w:t>ma</w:t>
      </w:r>
      <w:r w:rsidR="008C5BB8" w:rsidRPr="00381C1E">
        <w:rPr>
          <w:rFonts w:ascii="Times New Roman" w:hAnsi="Times New Roman" w:cs="Times New Roman"/>
          <w:sz w:val="20"/>
          <w:szCs w:val="20"/>
        </w:rPr>
        <w:t>i</w:t>
      </w:r>
      <w:r w:rsidR="003862A0">
        <w:rPr>
          <w:rFonts w:ascii="Times New Roman" w:hAnsi="Times New Roman" w:cs="Times New Roman"/>
          <w:sz w:val="20"/>
          <w:szCs w:val="20"/>
        </w:rPr>
        <w:t>ntaining and augmenting</w:t>
      </w:r>
      <w:r w:rsidR="008C5BB8" w:rsidRPr="00381C1E">
        <w:rPr>
          <w:rFonts w:ascii="Times New Roman" w:hAnsi="Times New Roman" w:cs="Times New Roman"/>
          <w:sz w:val="20"/>
          <w:szCs w:val="20"/>
        </w:rPr>
        <w:t xml:space="preserve"> affordability, resilience, and long-term sustainable growth.</w:t>
      </w:r>
      <w:r w:rsidR="008C5BB8">
        <w:rPr>
          <w:rFonts w:ascii="Times New Roman" w:hAnsi="Times New Roman" w:cs="Times New Roman"/>
          <w:sz w:val="20"/>
          <w:szCs w:val="20"/>
        </w:rPr>
        <w:t xml:space="preserve"> </w:t>
      </w:r>
    </w:p>
    <w:p w14:paraId="5E606B0B" w14:textId="7B17A701" w:rsidR="002B5AF8" w:rsidRPr="006529B5" w:rsidRDefault="002B5AF8"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DD1AA8">
        <w:rPr>
          <w:rStyle w:val="Strong"/>
          <w:rFonts w:ascii="Times New Roman" w:hAnsi="Times New Roman" w:cs="Times New Roman"/>
          <w:b w:val="0"/>
          <w:bCs w:val="0"/>
          <w:color w:val="000000"/>
          <w:sz w:val="20"/>
          <w:szCs w:val="20"/>
        </w:rPr>
        <w:t>Australia</w:t>
      </w:r>
      <w:r w:rsidRPr="00795070">
        <w:rPr>
          <w:rStyle w:val="Strong"/>
          <w:rFonts w:ascii="Times New Roman" w:hAnsi="Times New Roman" w:cs="Times New Roman"/>
          <w:b w:val="0"/>
          <w:bCs w:val="0"/>
          <w:color w:val="000000"/>
          <w:sz w:val="20"/>
          <w:szCs w:val="20"/>
        </w:rPr>
        <w:t xml:space="preserve"> being</w:t>
      </w:r>
      <w:r>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w:t>
      </w:r>
      <w:r>
        <w:rPr>
          <w:rStyle w:val="Strong"/>
          <w:rFonts w:ascii="Times New Roman" w:hAnsi="Times New Roman" w:cs="Times New Roman"/>
          <w:b w:val="0"/>
          <w:bCs w:val="0"/>
          <w:color w:val="000000"/>
          <w:sz w:val="20"/>
          <w:szCs w:val="20"/>
        </w:rPr>
        <w:t>leading</w:t>
      </w:r>
      <w:r w:rsidRPr="00795070">
        <w:rPr>
          <w:rStyle w:val="Strong"/>
          <w:rFonts w:ascii="Times New Roman" w:hAnsi="Times New Roman" w:cs="Times New Roman"/>
          <w:b w:val="0"/>
          <w:bCs w:val="0"/>
          <w:color w:val="000000"/>
          <w:sz w:val="20"/>
          <w:szCs w:val="20"/>
        </w:rPr>
        <w:t xml:space="preserve"> oil </w:t>
      </w:r>
      <w:r w:rsidR="003862A0">
        <w:rPr>
          <w:rStyle w:val="Strong"/>
          <w:rFonts w:ascii="Times New Roman" w:hAnsi="Times New Roman" w:cs="Times New Roman"/>
          <w:b w:val="0"/>
          <w:bCs w:val="0"/>
          <w:color w:val="000000"/>
          <w:sz w:val="20"/>
          <w:szCs w:val="20"/>
        </w:rPr>
        <w:t>consumers</w:t>
      </w:r>
      <w:r w:rsidRPr="00795070">
        <w:rPr>
          <w:rStyle w:val="Strong"/>
          <w:rFonts w:ascii="Times New Roman" w:hAnsi="Times New Roman" w:cs="Times New Roman"/>
          <w:b w:val="0"/>
          <w:bCs w:val="0"/>
          <w:color w:val="000000"/>
          <w:sz w:val="20"/>
          <w:szCs w:val="20"/>
        </w:rPr>
        <w:t xml:space="preserve"> of the </w:t>
      </w:r>
      <w:r w:rsidR="003862A0">
        <w:rPr>
          <w:rStyle w:val="Strong"/>
          <w:rFonts w:ascii="Times New Roman" w:hAnsi="Times New Roman" w:cs="Times New Roman"/>
          <w:b w:val="0"/>
          <w:bCs w:val="0"/>
          <w:color w:val="000000"/>
          <w:sz w:val="20"/>
          <w:szCs w:val="20"/>
        </w:rPr>
        <w:t>region</w:t>
      </w:r>
      <w:r w:rsidRPr="00795070">
        <w:rPr>
          <w:rStyle w:val="Strong"/>
          <w:rFonts w:ascii="Times New Roman" w:hAnsi="Times New Roman" w:cs="Times New Roman"/>
          <w:b w:val="0"/>
          <w:bCs w:val="0"/>
          <w:color w:val="000000"/>
          <w:sz w:val="20"/>
          <w:szCs w:val="20"/>
        </w:rPr>
        <w:t xml:space="preserve">. </w:t>
      </w:r>
      <w:r w:rsidR="009B444D">
        <w:rPr>
          <w:rStyle w:val="Strong"/>
          <w:rFonts w:ascii="Times New Roman" w:hAnsi="Times New Roman" w:cs="Times New Roman"/>
          <w:b w:val="0"/>
          <w:bCs w:val="0"/>
          <w:color w:val="000000"/>
          <w:sz w:val="20"/>
          <w:szCs w:val="20"/>
        </w:rPr>
        <w:t>Besides, recent development in Iran which is yet another oil supplier and its hostile relations with USA if escalates would be dangerous to the world economy.</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 xml:space="preserve">As such </w:t>
      </w:r>
      <w:r w:rsidR="00DD1AA8">
        <w:rPr>
          <w:rStyle w:val="Strong"/>
          <w:rFonts w:ascii="Times New Roman" w:hAnsi="Times New Roman" w:cs="Times New Roman"/>
          <w:b w:val="0"/>
          <w:bCs w:val="0"/>
          <w:color w:val="000000"/>
          <w:sz w:val="20"/>
          <w:szCs w:val="20"/>
        </w:rPr>
        <w:t>Australia</w:t>
      </w:r>
      <w:r w:rsidRPr="00795070">
        <w:rPr>
          <w:rStyle w:val="Strong"/>
          <w:rFonts w:ascii="Times New Roman" w:hAnsi="Times New Roman" w:cs="Times New Roman"/>
          <w:b w:val="0"/>
          <w:bCs w:val="0"/>
          <w:color w:val="000000"/>
          <w:sz w:val="20"/>
          <w:szCs w:val="20"/>
        </w:rPr>
        <w:t xml:space="preserve"> must be well prepared to adjust its</w:t>
      </w:r>
      <w:r>
        <w:rPr>
          <w:rStyle w:val="Strong"/>
          <w:rFonts w:ascii="Times New Roman" w:hAnsi="Times New Roman" w:cs="Times New Roman"/>
          <w:b w:val="0"/>
          <w:bCs w:val="0"/>
          <w:color w:val="000000"/>
          <w:sz w:val="20"/>
          <w:szCs w:val="20"/>
        </w:rPr>
        <w:t xml:space="preserve"> </w:t>
      </w:r>
      <w:r w:rsidRPr="00795070">
        <w:rPr>
          <w:rStyle w:val="Strong"/>
          <w:rFonts w:ascii="Times New Roman" w:hAnsi="Times New Roman" w:cs="Times New Roman"/>
          <w:b w:val="0"/>
          <w:bCs w:val="0"/>
          <w:color w:val="000000"/>
          <w:sz w:val="20"/>
          <w:szCs w:val="20"/>
        </w:rPr>
        <w:t>economy according to</w:t>
      </w:r>
      <w:r>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000A1F6E" w14:textId="77777777" w:rsidR="00DD1AA8" w:rsidRPr="00AE5B75" w:rsidRDefault="00DD1AA8" w:rsidP="00DD1AA8">
      <w:pPr>
        <w:jc w:val="both"/>
        <w:rPr>
          <w:rFonts w:ascii="Times New Roman" w:hAnsi="Times New Roman" w:cs="Times New Roman"/>
          <w:sz w:val="20"/>
          <w:szCs w:val="20"/>
        </w:rPr>
      </w:pPr>
      <w:r w:rsidRPr="00AE5B75">
        <w:rPr>
          <w:rFonts w:ascii="Times New Roman" w:eastAsia="Times New Roman" w:hAnsi="Times New Roman" w:cs="Times New Roman"/>
          <w:color w:val="313131"/>
          <w:sz w:val="20"/>
          <w:szCs w:val="20"/>
        </w:rPr>
        <w:t>Australia enjoys economic stability with high affordability and resilience. Strategic investments in innovation, energy transition, and trade diversification will safeguard its economic future.</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5E492" w14:textId="77777777" w:rsidR="00830186" w:rsidRDefault="00830186" w:rsidP="001D22B5">
      <w:pPr>
        <w:spacing w:after="0" w:line="240" w:lineRule="auto"/>
      </w:pPr>
      <w:r>
        <w:separator/>
      </w:r>
    </w:p>
  </w:endnote>
  <w:endnote w:type="continuationSeparator" w:id="0">
    <w:p w14:paraId="0630A615" w14:textId="77777777" w:rsidR="00830186" w:rsidRDefault="00830186"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6497C" w14:textId="77777777" w:rsidR="00830186" w:rsidRDefault="00830186" w:rsidP="001D22B5">
      <w:pPr>
        <w:spacing w:after="0" w:line="240" w:lineRule="auto"/>
      </w:pPr>
      <w:r>
        <w:separator/>
      </w:r>
    </w:p>
  </w:footnote>
  <w:footnote w:type="continuationSeparator" w:id="0">
    <w:p w14:paraId="0A3D31E6" w14:textId="77777777" w:rsidR="00830186" w:rsidRDefault="00830186"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1820"/>
    <w:rsid w:val="00084008"/>
    <w:rsid w:val="000A33EE"/>
    <w:rsid w:val="000C2898"/>
    <w:rsid w:val="000C7DAB"/>
    <w:rsid w:val="000D43FD"/>
    <w:rsid w:val="000E29C3"/>
    <w:rsid w:val="000E4D44"/>
    <w:rsid w:val="000F17E2"/>
    <w:rsid w:val="00102234"/>
    <w:rsid w:val="00102F96"/>
    <w:rsid w:val="00103334"/>
    <w:rsid w:val="001065BF"/>
    <w:rsid w:val="0012124C"/>
    <w:rsid w:val="00125101"/>
    <w:rsid w:val="001329D7"/>
    <w:rsid w:val="00144558"/>
    <w:rsid w:val="0015074B"/>
    <w:rsid w:val="00180959"/>
    <w:rsid w:val="00181E36"/>
    <w:rsid w:val="00187D17"/>
    <w:rsid w:val="001971D0"/>
    <w:rsid w:val="001A0503"/>
    <w:rsid w:val="001A3D5A"/>
    <w:rsid w:val="001A64C8"/>
    <w:rsid w:val="001A677D"/>
    <w:rsid w:val="001B010F"/>
    <w:rsid w:val="001B6FCF"/>
    <w:rsid w:val="001C0EE6"/>
    <w:rsid w:val="001C69AF"/>
    <w:rsid w:val="001D0F7D"/>
    <w:rsid w:val="001D22B5"/>
    <w:rsid w:val="001D33D6"/>
    <w:rsid w:val="00203984"/>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7120"/>
    <w:rsid w:val="003862A0"/>
    <w:rsid w:val="00394668"/>
    <w:rsid w:val="003951F1"/>
    <w:rsid w:val="00395F94"/>
    <w:rsid w:val="003977C2"/>
    <w:rsid w:val="003A2329"/>
    <w:rsid w:val="003A7CF3"/>
    <w:rsid w:val="003B31EC"/>
    <w:rsid w:val="003C0648"/>
    <w:rsid w:val="003C123D"/>
    <w:rsid w:val="003C56E3"/>
    <w:rsid w:val="003E0275"/>
    <w:rsid w:val="003E43FC"/>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23550"/>
    <w:rsid w:val="00526C2F"/>
    <w:rsid w:val="00531871"/>
    <w:rsid w:val="00535815"/>
    <w:rsid w:val="005370D9"/>
    <w:rsid w:val="005420B3"/>
    <w:rsid w:val="005471A1"/>
    <w:rsid w:val="005519C2"/>
    <w:rsid w:val="00552405"/>
    <w:rsid w:val="005571C8"/>
    <w:rsid w:val="00562BE6"/>
    <w:rsid w:val="00573B9D"/>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A055F"/>
    <w:rsid w:val="007C3A9A"/>
    <w:rsid w:val="007D1CD2"/>
    <w:rsid w:val="007D29BD"/>
    <w:rsid w:val="007D30A9"/>
    <w:rsid w:val="007D4A1E"/>
    <w:rsid w:val="007E4B43"/>
    <w:rsid w:val="007F35EA"/>
    <w:rsid w:val="007F51BF"/>
    <w:rsid w:val="00805114"/>
    <w:rsid w:val="00806E97"/>
    <w:rsid w:val="00813626"/>
    <w:rsid w:val="00817AB6"/>
    <w:rsid w:val="00825419"/>
    <w:rsid w:val="0082609D"/>
    <w:rsid w:val="00830186"/>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900C3A"/>
    <w:rsid w:val="009026DE"/>
    <w:rsid w:val="00903C4F"/>
    <w:rsid w:val="00914601"/>
    <w:rsid w:val="00922E3F"/>
    <w:rsid w:val="00923BEA"/>
    <w:rsid w:val="00927227"/>
    <w:rsid w:val="00931148"/>
    <w:rsid w:val="00934E22"/>
    <w:rsid w:val="0093624B"/>
    <w:rsid w:val="00950BFA"/>
    <w:rsid w:val="00955A27"/>
    <w:rsid w:val="0095797B"/>
    <w:rsid w:val="009677B2"/>
    <w:rsid w:val="009770EB"/>
    <w:rsid w:val="009939F8"/>
    <w:rsid w:val="009962C3"/>
    <w:rsid w:val="009974EB"/>
    <w:rsid w:val="009A3B1B"/>
    <w:rsid w:val="009A7C31"/>
    <w:rsid w:val="009B006F"/>
    <w:rsid w:val="009B233D"/>
    <w:rsid w:val="009B278C"/>
    <w:rsid w:val="009B444D"/>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C41E4"/>
    <w:rsid w:val="00AD6009"/>
    <w:rsid w:val="00AE193F"/>
    <w:rsid w:val="00AE5B75"/>
    <w:rsid w:val="00AF41D1"/>
    <w:rsid w:val="00B06FC7"/>
    <w:rsid w:val="00B128C3"/>
    <w:rsid w:val="00B16988"/>
    <w:rsid w:val="00B1715C"/>
    <w:rsid w:val="00B24F2C"/>
    <w:rsid w:val="00B27892"/>
    <w:rsid w:val="00B30E43"/>
    <w:rsid w:val="00B33BC0"/>
    <w:rsid w:val="00B34ED4"/>
    <w:rsid w:val="00B46B99"/>
    <w:rsid w:val="00B47730"/>
    <w:rsid w:val="00B51A19"/>
    <w:rsid w:val="00B60648"/>
    <w:rsid w:val="00B636A7"/>
    <w:rsid w:val="00B645A5"/>
    <w:rsid w:val="00B704DB"/>
    <w:rsid w:val="00B713E5"/>
    <w:rsid w:val="00B7763E"/>
    <w:rsid w:val="00B84272"/>
    <w:rsid w:val="00B851F0"/>
    <w:rsid w:val="00B97C5C"/>
    <w:rsid w:val="00BA0CC0"/>
    <w:rsid w:val="00BB0FA6"/>
    <w:rsid w:val="00BB21C7"/>
    <w:rsid w:val="00BB2729"/>
    <w:rsid w:val="00BB4645"/>
    <w:rsid w:val="00BC0C32"/>
    <w:rsid w:val="00BD2C66"/>
    <w:rsid w:val="00BD71EE"/>
    <w:rsid w:val="00BE65D4"/>
    <w:rsid w:val="00BF26A4"/>
    <w:rsid w:val="00BF2CAE"/>
    <w:rsid w:val="00BF5DB2"/>
    <w:rsid w:val="00C00FC4"/>
    <w:rsid w:val="00C06F7E"/>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B0604"/>
    <w:rsid w:val="00CB0664"/>
    <w:rsid w:val="00CB4817"/>
    <w:rsid w:val="00CB6E5A"/>
    <w:rsid w:val="00CC1C8B"/>
    <w:rsid w:val="00CC4C78"/>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D1AA8"/>
    <w:rsid w:val="00DE5A66"/>
    <w:rsid w:val="00DF1FBA"/>
    <w:rsid w:val="00DF4B4A"/>
    <w:rsid w:val="00DF61E4"/>
    <w:rsid w:val="00E17276"/>
    <w:rsid w:val="00E20A14"/>
    <w:rsid w:val="00E30B08"/>
    <w:rsid w:val="00E30E97"/>
    <w:rsid w:val="00E30F0F"/>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6074"/>
    <w:rsid w:val="00F51814"/>
    <w:rsid w:val="00F66FCB"/>
    <w:rsid w:val="00F72161"/>
    <w:rsid w:val="00F83631"/>
    <w:rsid w:val="00F83F75"/>
    <w:rsid w:val="00F84B89"/>
    <w:rsid w:val="00F90754"/>
    <w:rsid w:val="00F96036"/>
    <w:rsid w:val="00F9700D"/>
    <w:rsid w:val="00FA6D28"/>
    <w:rsid w:val="00FC12A9"/>
    <w:rsid w:val="00FC3463"/>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6</cp:revision>
  <cp:lastPrinted>2026-01-16T00:49:00Z</cp:lastPrinted>
  <dcterms:created xsi:type="dcterms:W3CDTF">2026-01-16T04:50:00Z</dcterms:created>
  <dcterms:modified xsi:type="dcterms:W3CDTF">2026-01-16T05:13:00Z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