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4EF8FEF7" w:rsidR="007F35EA" w:rsidRPr="00817AB6" w:rsidRDefault="008C3C3C"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SOUTH AFRICA</w:t>
      </w:r>
    </w:p>
    <w:tbl>
      <w:tblPr>
        <w:tblStyle w:val="TableGrid"/>
        <w:tblW w:w="8905" w:type="dxa"/>
        <w:tblLook w:val="04A0" w:firstRow="1" w:lastRow="0" w:firstColumn="1" w:lastColumn="0" w:noHBand="0" w:noVBand="1"/>
      </w:tblPr>
      <w:tblGrid>
        <w:gridCol w:w="1615"/>
        <w:gridCol w:w="2088"/>
        <w:gridCol w:w="1080"/>
        <w:gridCol w:w="4122"/>
      </w:tblGrid>
      <w:tr w:rsidR="002573C2" w:rsidRPr="002573C2" w14:paraId="4A7756FA" w14:textId="77777777" w:rsidTr="008C3C3C">
        <w:tc>
          <w:tcPr>
            <w:tcW w:w="3703" w:type="dxa"/>
            <w:gridSpan w:val="2"/>
          </w:tcPr>
          <w:p w14:paraId="3659CE9A" w14:textId="3644CA8A" w:rsidR="002573C2" w:rsidRPr="00144558" w:rsidRDefault="008C3C3C"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South Africa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122"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8C3C3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2088"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122"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8C3C3C">
        <w:tc>
          <w:tcPr>
            <w:tcW w:w="1615" w:type="dxa"/>
          </w:tcPr>
          <w:p w14:paraId="3EBD18F3" w14:textId="168BCBD4" w:rsidR="002573C2" w:rsidRPr="00321BE6" w:rsidRDefault="00A10D48"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13</w:t>
            </w:r>
          </w:p>
        </w:tc>
        <w:tc>
          <w:tcPr>
            <w:tcW w:w="2088" w:type="dxa"/>
          </w:tcPr>
          <w:p w14:paraId="7772FCDD" w14:textId="71319485" w:rsidR="002573C2" w:rsidRPr="00321BE6" w:rsidRDefault="00A10D48"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21</w:t>
            </w:r>
          </w:p>
        </w:tc>
        <w:tc>
          <w:tcPr>
            <w:tcW w:w="1080" w:type="dxa"/>
          </w:tcPr>
          <w:p w14:paraId="115B9B48" w14:textId="752881CD" w:rsidR="002573C2" w:rsidRPr="00321BE6" w:rsidRDefault="00A10D48"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0.40D-</w:t>
            </w:r>
          </w:p>
        </w:tc>
        <w:tc>
          <w:tcPr>
            <w:tcW w:w="4122" w:type="dxa"/>
          </w:tcPr>
          <w:p w14:paraId="0260C957" w14:textId="27E2A7B2" w:rsidR="002573C2" w:rsidRPr="00321BE6" w:rsidRDefault="00A10D48"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 xml:space="preserve">Satisfactory </w:t>
            </w:r>
            <w:r w:rsidR="002573C2" w:rsidRPr="00321BE6">
              <w:rPr>
                <w:rStyle w:val="Strong"/>
                <w:rFonts w:ascii="Times New Roman" w:hAnsi="Times New Roman" w:cs="Times New Roman"/>
                <w:b w:val="0"/>
                <w:bCs w:val="0"/>
                <w:color w:val="000000"/>
                <w:sz w:val="16"/>
                <w:szCs w:val="16"/>
              </w:rPr>
              <w:t>Economic Resilience with</w:t>
            </w:r>
            <w:r>
              <w:rPr>
                <w:rStyle w:val="Strong"/>
                <w:rFonts w:ascii="Times New Roman" w:hAnsi="Times New Roman" w:cs="Times New Roman"/>
                <w:b w:val="0"/>
                <w:bCs w:val="0"/>
                <w:color w:val="000000"/>
                <w:sz w:val="16"/>
                <w:szCs w:val="16"/>
              </w:rPr>
              <w:t xml:space="preserve"> Very Weak</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BC04E2">
        <w:tc>
          <w:tcPr>
            <w:tcW w:w="8905" w:type="dxa"/>
            <w:gridSpan w:val="3"/>
          </w:tcPr>
          <w:p w14:paraId="603FF65F" w14:textId="450FABC9" w:rsidR="00321BE6" w:rsidRPr="002573C2" w:rsidRDefault="008C3C3C"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South Africa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BC04E2">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59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BC04E2">
        <w:tc>
          <w:tcPr>
            <w:tcW w:w="2245" w:type="dxa"/>
          </w:tcPr>
          <w:p w14:paraId="31D09404" w14:textId="07808E9E" w:rsidR="00321BE6" w:rsidRPr="00144558" w:rsidRDefault="00692DD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0.41D-</w:t>
            </w:r>
          </w:p>
        </w:tc>
        <w:tc>
          <w:tcPr>
            <w:tcW w:w="2070" w:type="dxa"/>
          </w:tcPr>
          <w:p w14:paraId="29CB3C9D" w14:textId="671C0DC5" w:rsidR="00321BE6" w:rsidRPr="00144558" w:rsidRDefault="00692DD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0.41D-</w:t>
            </w:r>
          </w:p>
        </w:tc>
        <w:tc>
          <w:tcPr>
            <w:tcW w:w="4590" w:type="dxa"/>
          </w:tcPr>
          <w:p w14:paraId="74E120BC" w14:textId="59DA5AEA" w:rsidR="00321BE6" w:rsidRPr="00144558" w:rsidRDefault="00692DD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0.41D-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6697F102"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0E5FFF">
        <w:rPr>
          <w:rFonts w:ascii="Times New Roman" w:hAnsi="Times New Roman" w:cs="Times New Roman"/>
          <w:sz w:val="20"/>
          <w:szCs w:val="20"/>
        </w:rPr>
        <w:t>South Africa</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0E5FFF">
        <w:rPr>
          <w:rFonts w:ascii="Times New Roman" w:hAnsi="Times New Roman" w:cs="Times New Roman"/>
          <w:sz w:val="20"/>
          <w:szCs w:val="20"/>
        </w:rPr>
        <w:t>South Africa</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7357B867" w14:textId="77777777" w:rsidR="00FE73BE" w:rsidRDefault="00FE73BE" w:rsidP="0012124C">
      <w:pPr>
        <w:jc w:val="center"/>
        <w:rPr>
          <w:rStyle w:val="Strong"/>
          <w:rFonts w:ascii="Times New Roman" w:hAnsi="Times New Roman" w:cs="Times New Roman"/>
          <w:color w:val="7030A0"/>
          <w:sz w:val="32"/>
          <w:szCs w:val="32"/>
        </w:rPr>
      </w:pPr>
    </w:p>
    <w:p w14:paraId="479C113B" w14:textId="77777777" w:rsidR="00FE73BE" w:rsidRDefault="00FE73BE" w:rsidP="0012124C">
      <w:pPr>
        <w:jc w:val="center"/>
        <w:rPr>
          <w:rStyle w:val="Strong"/>
          <w:rFonts w:ascii="Times New Roman" w:hAnsi="Times New Roman" w:cs="Times New Roman"/>
          <w:color w:val="7030A0"/>
          <w:sz w:val="32"/>
          <w:szCs w:val="32"/>
        </w:rPr>
      </w:pPr>
    </w:p>
    <w:p w14:paraId="32799FEA" w14:textId="580E305F" w:rsidR="00891AEC" w:rsidRDefault="00541149"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lastRenderedPageBreak/>
        <w:t>South Africa</w:t>
      </w:r>
      <w:r w:rsidR="00891AEC" w:rsidRPr="00817AB6">
        <w:rPr>
          <w:rStyle w:val="Strong"/>
          <w:rFonts w:ascii="Times New Roman" w:hAnsi="Times New Roman" w:cs="Times New Roman"/>
          <w:color w:val="7030A0"/>
          <w:sz w:val="32"/>
          <w:szCs w:val="32"/>
        </w:rPr>
        <w:t>—Economic Outlook</w:t>
      </w:r>
    </w:p>
    <w:p w14:paraId="22F6D189" w14:textId="48260FB5" w:rsidR="003C25D5" w:rsidRPr="00DA7D31" w:rsidRDefault="003C25D5" w:rsidP="003C25D5">
      <w:pPr>
        <w:spacing w:before="240" w:after="240"/>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South Africa currently has the largest economy in Africa. The country is a permanent member of G-20 and recently</w:t>
      </w:r>
      <w:r w:rsidR="00856825" w:rsidRPr="00DA7D31">
        <w:rPr>
          <w:rFonts w:ascii="Times New Roman" w:eastAsia="Times New Roman" w:hAnsi="Times New Roman" w:cs="Times New Roman"/>
          <w:sz w:val="20"/>
          <w:szCs w:val="20"/>
        </w:rPr>
        <w:t xml:space="preserve"> (November 2025)</w:t>
      </w:r>
      <w:r w:rsidRPr="00DA7D31">
        <w:rPr>
          <w:rFonts w:ascii="Times New Roman" w:eastAsia="Times New Roman" w:hAnsi="Times New Roman" w:cs="Times New Roman"/>
          <w:sz w:val="20"/>
          <w:szCs w:val="20"/>
        </w:rPr>
        <w:t xml:space="preserve"> hosted annual G-20 summit in Johannesburg. South Africa is a mid-sized global economy with over $426 billions of GDP nominal representing 0.37% of the global economy also reflecting a relatively small but regionally influential economic presence.</w:t>
      </w:r>
    </w:p>
    <w:p w14:paraId="71D14ADC" w14:textId="77777777" w:rsidR="003C25D5" w:rsidRPr="00DA7D31" w:rsidRDefault="003C25D5" w:rsidP="003C25D5">
      <w:pPr>
        <w:spacing w:before="240" w:after="240"/>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With a population of 63 million, South Africa represents 0.78% of the world’s 8.184 billion people. Despite its population size, income levels remain moderate, with a Per Capita Income (PCI) of $6,661.15. However, after adjusting for inflation and purchasing conditions, the Adjusted PCI (APCI) falls to $6,434.67, signaling limited real purchasing power for the average citizens.</w:t>
      </w:r>
    </w:p>
    <w:p w14:paraId="0531CED0" w14:textId="77777777" w:rsidR="003C25D5" w:rsidRPr="00DA7D31" w:rsidRDefault="003C25D5" w:rsidP="003C25D5">
      <w:pPr>
        <w:spacing w:before="240" w:after="240"/>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Inflation is comparatively stable at 3.4%, and interest rates at 6.75% reflect moderate borrowing costs. South Africa’s total debt stands at over $355 billion after adjustments. Interest payments absorbing 5.26% of GDP. The Adjusted Debt-to-GDP ratio is comparatively high at 83.26%, indicating a heavy fiscal burden and long-term debt sustainability concerns.</w:t>
      </w:r>
    </w:p>
    <w:p w14:paraId="62D7C2D3" w14:textId="2DF0041F" w:rsidR="003C25D5" w:rsidRPr="00DA7D31" w:rsidRDefault="003C25D5" w:rsidP="003C25D5">
      <w:pPr>
        <w:spacing w:before="240" w:after="240"/>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 xml:space="preserve">In global trade, South Africa contributes 0.41% of the total global </w:t>
      </w:r>
      <w:r w:rsidR="00856825" w:rsidRPr="00DA7D31">
        <w:rPr>
          <w:rFonts w:ascii="Times New Roman" w:eastAsia="Times New Roman" w:hAnsi="Times New Roman" w:cs="Times New Roman"/>
          <w:sz w:val="20"/>
          <w:szCs w:val="20"/>
        </w:rPr>
        <w:t>trade. Trade</w:t>
      </w:r>
      <w:r w:rsidRPr="00DA7D31">
        <w:rPr>
          <w:rFonts w:ascii="Times New Roman" w:eastAsia="Times New Roman" w:hAnsi="Times New Roman" w:cs="Times New Roman"/>
          <w:sz w:val="20"/>
          <w:szCs w:val="20"/>
        </w:rPr>
        <w:t xml:space="preserve"> is a major driver of the economy, accounting for 59.10% of GDP — a very high level for a developing nation. Notably, the country records a positive trade balance of $38 billion, equal to 8.91% of GDP, demonstrating strong export performance relative to imports.</w:t>
      </w:r>
    </w:p>
    <w:p w14:paraId="0A59FA83" w14:textId="25045373" w:rsidR="003C25D5" w:rsidRPr="00DA7D31" w:rsidRDefault="003C25D5" w:rsidP="003C25D5">
      <w:pPr>
        <w:spacing w:before="240" w:after="240"/>
        <w:jc w:val="both"/>
        <w:rPr>
          <w:rFonts w:ascii="Times New Roman" w:eastAsia="Times New Roman" w:hAnsi="Times New Roman" w:cs="Times New Roman"/>
          <w:sz w:val="20"/>
          <w:szCs w:val="20"/>
        </w:rPr>
      </w:pPr>
      <w:r w:rsidRPr="00DA7D31">
        <w:rPr>
          <w:rFonts w:ascii="Times New Roman" w:eastAsia="Times New Roman" w:hAnsi="Times New Roman" w:cs="Times New Roman"/>
          <w:color w:val="000000"/>
          <w:sz w:val="20"/>
          <w:szCs w:val="20"/>
        </w:rPr>
        <w:t>According to Heart Score</w:t>
      </w:r>
      <w:r w:rsidR="00856825" w:rsidRPr="00DA7D31">
        <w:rPr>
          <w:rFonts w:ascii="Times New Roman" w:eastAsia="Times New Roman" w:hAnsi="Times New Roman" w:cs="Times New Roman"/>
          <w:color w:val="000000"/>
          <w:sz w:val="20"/>
          <w:szCs w:val="20"/>
        </w:rPr>
        <w:t xml:space="preserve"> 2025</w:t>
      </w:r>
      <w:r w:rsidRPr="00DA7D31">
        <w:rPr>
          <w:rFonts w:ascii="Times New Roman" w:eastAsia="Times New Roman" w:hAnsi="Times New Roman" w:cs="Times New Roman"/>
          <w:color w:val="000000"/>
          <w:sz w:val="20"/>
          <w:szCs w:val="20"/>
        </w:rPr>
        <w:t>, the four socio-economic segments of South Africa like Housing, Health, Energy and Education combined as Social Determinants contributed 36.46% of the national GDP and thus playing a significant role towards making South Africa economically robust.</w:t>
      </w:r>
    </w:p>
    <w:p w14:paraId="38EC2F9C" w14:textId="77777777" w:rsidR="003C25D5" w:rsidRPr="00DA7D31" w:rsidRDefault="003C25D5" w:rsidP="003C25D5">
      <w:pPr>
        <w:spacing w:before="240" w:after="240"/>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South Africa’s Human Development Index (HDI) is 0.741, placing it in the medium-high development range. However, with a GINI coefficient of 0.63 — one of the highest inequality levels globally — the Adjusted HDI (AHDI) drops dramatically to 0.111, showing that inequality sharply undermines real human development outcomes.</w:t>
      </w:r>
    </w:p>
    <w:p w14:paraId="57EB3A1A" w14:textId="77777777" w:rsidR="003C25D5" w:rsidRPr="00DA7D31" w:rsidRDefault="003C25D5" w:rsidP="003C25D5">
      <w:pPr>
        <w:spacing w:before="240" w:after="240"/>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The Heart Value (HV) stands at 0.40, reflecting satisfactory level of economic resilience. However, The Heart Affordability Value, calculated through APCI × AHDI, is only $707.81, which is graded D-, indicating severe affordability constraints for citizens. When combined, the final Heart Score is 0.40D-, placing South Africa on the satisfactory level of resilience with acute affordability, and quality-of-life rankings.</w:t>
      </w:r>
    </w:p>
    <w:p w14:paraId="7620EDC1" w14:textId="7408407E" w:rsidR="003C25D5" w:rsidRPr="00DA7D31" w:rsidRDefault="003C25D5" w:rsidP="003C25D5">
      <w:pPr>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 xml:space="preserve">South Africa is a mid-sized global economy driven by a strong and sophisticated financial services sector, significant natural resources like minerals and a large manufacturing base. The country, however, severely weakened by high inequality which is one of the highest in the world and relatively moderate concentration on all four social segments of HEART: Housing, Health, Energy and Education. This sure indicates that South Africa faces interconnected economic challenges, primarily defined by the “triple challenges” of high unemployment, poverty, and severe inequality. These issues are further compounded by low economic growth and governance related matters.  </w:t>
      </w:r>
    </w:p>
    <w:p w14:paraId="684DFE0C" w14:textId="7B9F1E73" w:rsidR="003C25D5" w:rsidRPr="00DA7D31" w:rsidRDefault="003C25D5" w:rsidP="003C25D5">
      <w:pPr>
        <w:jc w:val="both"/>
        <w:rPr>
          <w:rFonts w:ascii="Times New Roman" w:eastAsia="Times New Roman" w:hAnsi="Times New Roman" w:cs="Times New Roman"/>
          <w:sz w:val="20"/>
          <w:szCs w:val="20"/>
        </w:rPr>
      </w:pPr>
      <w:r w:rsidRPr="00DA7D31">
        <w:rPr>
          <w:rFonts w:ascii="Times New Roman" w:eastAsia="Times New Roman" w:hAnsi="Times New Roman" w:cs="Times New Roman"/>
          <w:sz w:val="20"/>
          <w:szCs w:val="20"/>
        </w:rPr>
        <w:t xml:space="preserve">South Africa needs to enhance its economic growth faster than the population growth, seriously concentrate more on inequality and governance and turn the country into an inclusive lean economy to overcome some of the economic challenges at the short to medium term. Also, the country needs to address fiscal anchor, besides, expanding its strong export base. This is also worth mentioning that currently, South Africa does not enjoy good political, economic, and diplomatic relations with USA—the biggest economy of the world. In </w:t>
      </w:r>
      <w:r w:rsidRPr="00DA7D31">
        <w:rPr>
          <w:rFonts w:ascii="Times New Roman" w:eastAsia="Times New Roman" w:hAnsi="Times New Roman" w:cs="Times New Roman"/>
          <w:sz w:val="20"/>
          <w:szCs w:val="20"/>
        </w:rPr>
        <w:lastRenderedPageBreak/>
        <w:t>fact, US President had boycotted the recently concluded G-20 summit held in Saunth Africa from November 20</w:t>
      </w:r>
      <w:r w:rsidRPr="00DA7D31">
        <w:rPr>
          <w:rFonts w:ascii="Times New Roman" w:eastAsia="Times New Roman" w:hAnsi="Times New Roman" w:cs="Times New Roman"/>
          <w:sz w:val="20"/>
          <w:szCs w:val="20"/>
          <w:vertAlign w:val="superscript"/>
        </w:rPr>
        <w:t>th</w:t>
      </w:r>
      <w:r w:rsidRPr="00DA7D31">
        <w:rPr>
          <w:rFonts w:ascii="Times New Roman" w:eastAsia="Times New Roman" w:hAnsi="Times New Roman" w:cs="Times New Roman"/>
          <w:sz w:val="20"/>
          <w:szCs w:val="20"/>
        </w:rPr>
        <w:t xml:space="preserve"> to 21 Novembr,2025 due to country’s alleged discrimination against its white citizens as what US President has claimed. The bilateral relations have further worsened when US President also made an announcement very recently that he will not invite South Africa to attend next year’s 2026 G-20 summit which is scheduled to be held in Miami USA. The ongoing trade war which USA has started with the entire world has further exacerbated South Africa’s problems. These are existential external economic challenges for which South Africa need</w:t>
      </w:r>
      <w:r w:rsidR="00856825" w:rsidRPr="00DA7D31">
        <w:rPr>
          <w:rFonts w:ascii="Times New Roman" w:eastAsia="Times New Roman" w:hAnsi="Times New Roman" w:cs="Times New Roman"/>
          <w:sz w:val="20"/>
          <w:szCs w:val="20"/>
        </w:rPr>
        <w:t>s</w:t>
      </w:r>
      <w:r w:rsidRPr="00DA7D31">
        <w:rPr>
          <w:rFonts w:ascii="Times New Roman" w:eastAsia="Times New Roman" w:hAnsi="Times New Roman" w:cs="Times New Roman"/>
          <w:sz w:val="20"/>
          <w:szCs w:val="20"/>
        </w:rPr>
        <w:t xml:space="preserve"> to tackle through economic diplomacy and national resolve. </w:t>
      </w:r>
    </w:p>
    <w:p w14:paraId="208D7E8C" w14:textId="723DCE74" w:rsidR="002B5AF8" w:rsidRPr="000E3AA0" w:rsidRDefault="00856825" w:rsidP="002B5AF8">
      <w:pPr>
        <w:jc w:val="both"/>
        <w:rPr>
          <w:rStyle w:val="Strong"/>
          <w:rFonts w:ascii="Times New Roman" w:eastAsia="Times New Roman" w:hAnsi="Times New Roman" w:cs="Times New Roman"/>
          <w:b w:val="0"/>
          <w:bCs w:val="0"/>
        </w:rPr>
      </w:pPr>
      <w:r>
        <w:rPr>
          <w:rStyle w:val="Strong"/>
          <w:rFonts w:ascii="Times New Roman" w:hAnsi="Times New Roman" w:cs="Times New Roman"/>
          <w:b w:val="0"/>
          <w:bCs w:val="0"/>
          <w:color w:val="000000"/>
          <w:sz w:val="20"/>
          <w:szCs w:val="20"/>
        </w:rPr>
        <w:t>B</w:t>
      </w:r>
      <w:r w:rsidR="002B5AF8" w:rsidRPr="00B04CD2">
        <w:rPr>
          <w:rStyle w:val="Strong"/>
          <w:rFonts w:ascii="Times New Roman" w:hAnsi="Times New Roman" w:cs="Times New Roman"/>
          <w:b w:val="0"/>
          <w:bCs w:val="0"/>
          <w:color w:val="000000"/>
          <w:sz w:val="20"/>
          <w:szCs w:val="20"/>
        </w:rPr>
        <w:t xml:space="preserve">ased upon the past seven years of economic data starting from pre-pandemic year of 2019 until 2025 being the base year, “HEART” has projected and forecasted the economic performance of </w:t>
      </w:r>
      <w:r w:rsidR="000E5FFF">
        <w:rPr>
          <w:rStyle w:val="Strong"/>
          <w:rFonts w:ascii="Times New Roman" w:hAnsi="Times New Roman" w:cs="Times New Roman"/>
          <w:b w:val="0"/>
          <w:bCs w:val="0"/>
          <w:color w:val="000000"/>
          <w:sz w:val="20"/>
          <w:szCs w:val="20"/>
        </w:rPr>
        <w:t>South Africa</w:t>
      </w:r>
      <w:r w:rsidR="002B5AF8"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726523F8"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0E5FFF">
        <w:rPr>
          <w:rStyle w:val="Strong"/>
          <w:rFonts w:ascii="Times New Roman" w:hAnsi="Times New Roman" w:cs="Times New Roman"/>
          <w:b w:val="0"/>
          <w:bCs w:val="0"/>
          <w:color w:val="000000"/>
          <w:sz w:val="20"/>
          <w:szCs w:val="20"/>
        </w:rPr>
        <w:t>South Africa</w:t>
      </w:r>
      <w:r w:rsidRPr="00B04CD2">
        <w:rPr>
          <w:rStyle w:val="Strong"/>
          <w:rFonts w:ascii="Times New Roman" w:hAnsi="Times New Roman" w:cs="Times New Roman"/>
          <w:b w:val="0"/>
          <w:bCs w:val="0"/>
          <w:color w:val="000000"/>
          <w:sz w:val="20"/>
          <w:szCs w:val="20"/>
        </w:rPr>
        <w:t>’s Econom</w:t>
      </w:r>
      <w:r w:rsidR="00F46074" w:rsidRPr="00B04CD2">
        <w:rPr>
          <w:rStyle w:val="Strong"/>
          <w:rFonts w:ascii="Times New Roman" w:hAnsi="Times New Roman" w:cs="Times New Roman"/>
          <w:b w:val="0"/>
          <w:bCs w:val="0"/>
          <w:color w:val="000000"/>
          <w:sz w:val="20"/>
          <w:szCs w:val="20"/>
        </w:rPr>
        <w:t xml:space="preserve">ic Affordability will </w:t>
      </w:r>
      <w:r w:rsidR="00856825">
        <w:rPr>
          <w:rStyle w:val="Strong"/>
          <w:rFonts w:ascii="Times New Roman" w:hAnsi="Times New Roman" w:cs="Times New Roman"/>
          <w:b w:val="0"/>
          <w:bCs w:val="0"/>
          <w:color w:val="000000"/>
          <w:sz w:val="20"/>
          <w:szCs w:val="20"/>
        </w:rPr>
        <w:t>remain unchanged at D- over the next three-year period and would only improves once the country would tackle and fix equality. Economic Resilience, however, is expected to improve moderately to 0.41 in 2026 and expected to be maintained in the next</w:t>
      </w:r>
      <w:r w:rsidR="00F26F20">
        <w:rPr>
          <w:rStyle w:val="Strong"/>
          <w:rFonts w:ascii="Times New Roman" w:hAnsi="Times New Roman" w:cs="Times New Roman"/>
          <w:b w:val="0"/>
          <w:bCs w:val="0"/>
          <w:color w:val="000000"/>
          <w:sz w:val="20"/>
          <w:szCs w:val="20"/>
        </w:rPr>
        <w:t xml:space="preserve"> two</w:t>
      </w:r>
      <w:r w:rsidR="00856825">
        <w:rPr>
          <w:rStyle w:val="Strong"/>
          <w:rFonts w:ascii="Times New Roman" w:hAnsi="Times New Roman" w:cs="Times New Roman"/>
          <w:b w:val="0"/>
          <w:bCs w:val="0"/>
          <w:color w:val="000000"/>
          <w:sz w:val="20"/>
          <w:szCs w:val="20"/>
        </w:rPr>
        <w:t xml:space="preserve"> years.</w:t>
      </w:r>
      <w:r w:rsidRPr="00B04CD2">
        <w:rPr>
          <w:rStyle w:val="Strong"/>
          <w:rFonts w:ascii="Times New Roman" w:hAnsi="Times New Roman" w:cs="Times New Roman"/>
          <w:b w:val="0"/>
          <w:bCs w:val="0"/>
          <w:color w:val="000000"/>
          <w:sz w:val="20"/>
          <w:szCs w:val="20"/>
        </w:rPr>
        <w:t xml:space="preserve"> </w:t>
      </w:r>
    </w:p>
    <w:p w14:paraId="006CB4B5" w14:textId="49AA8B62"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0E5FFF">
        <w:rPr>
          <w:rStyle w:val="Strong"/>
          <w:rFonts w:ascii="Times New Roman" w:hAnsi="Times New Roman" w:cs="Times New Roman"/>
          <w:b w:val="0"/>
          <w:bCs w:val="0"/>
          <w:color w:val="000000"/>
          <w:sz w:val="20"/>
          <w:szCs w:val="20"/>
        </w:rPr>
        <w:t>South Africa</w:t>
      </w:r>
      <w:r w:rsidR="000E3AA0">
        <w:rPr>
          <w:rStyle w:val="Strong"/>
          <w:rFonts w:ascii="Times New Roman" w:hAnsi="Times New Roman" w:cs="Times New Roman"/>
          <w:b w:val="0"/>
          <w:bCs w:val="0"/>
          <w:color w:val="000000"/>
          <w:sz w:val="20"/>
          <w:szCs w:val="20"/>
        </w:rPr>
        <w:t>’s</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0E5FFF">
        <w:rPr>
          <w:rStyle w:val="Strong"/>
          <w:rFonts w:ascii="Times New Roman" w:hAnsi="Times New Roman" w:cs="Times New Roman"/>
          <w:b w:val="0"/>
          <w:bCs w:val="0"/>
          <w:color w:val="000000"/>
          <w:sz w:val="20"/>
          <w:szCs w:val="20"/>
        </w:rPr>
        <w:t>South Africa</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4A4202A3" w:rsidR="008C5BB8" w:rsidRDefault="000E5FFF" w:rsidP="002B5AF8">
      <w:pPr>
        <w:jc w:val="both"/>
        <w:rPr>
          <w:rFonts w:ascii="Times New Roman" w:hAnsi="Times New Roman" w:cs="Times New Roman"/>
          <w:sz w:val="20"/>
          <w:szCs w:val="20"/>
        </w:rPr>
      </w:pPr>
      <w:r>
        <w:rPr>
          <w:rFonts w:ascii="Times New Roman" w:hAnsi="Times New Roman" w:cs="Times New Roman"/>
          <w:sz w:val="20"/>
          <w:szCs w:val="20"/>
        </w:rPr>
        <w:t>South Africa</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 invest in social determinants,</w:t>
      </w:r>
      <w:r w:rsidR="000E3AA0">
        <w:rPr>
          <w:rFonts w:ascii="Times New Roman" w:hAnsi="Times New Roman" w:cs="Times New Roman"/>
          <w:sz w:val="20"/>
          <w:szCs w:val="20"/>
        </w:rPr>
        <w:t xml:space="preserve"> </w:t>
      </w:r>
      <w:r w:rsidR="00F26F20">
        <w:rPr>
          <w:rFonts w:ascii="Times New Roman" w:hAnsi="Times New Roman" w:cs="Times New Roman"/>
          <w:sz w:val="20"/>
          <w:szCs w:val="20"/>
        </w:rPr>
        <w:t xml:space="preserve">substantially </w:t>
      </w:r>
      <w:r w:rsidR="008C5BB8" w:rsidRPr="00381C1E">
        <w:rPr>
          <w:rFonts w:ascii="Times New Roman" w:hAnsi="Times New Roman" w:cs="Times New Roman"/>
          <w:sz w:val="20"/>
          <w:szCs w:val="20"/>
        </w:rPr>
        <w:t>reduce inequality,</w:t>
      </w:r>
      <w:r w:rsidR="00F26F20">
        <w:rPr>
          <w:rFonts w:ascii="Times New Roman" w:hAnsi="Times New Roman" w:cs="Times New Roman"/>
          <w:sz w:val="20"/>
          <w:szCs w:val="20"/>
        </w:rPr>
        <w:t xml:space="preserve"> and optimize trade.</w:t>
      </w:r>
      <w:r w:rsidR="008C5BB8" w:rsidRPr="00381C1E">
        <w:rPr>
          <w:rFonts w:ascii="Times New Roman" w:hAnsi="Times New Roman" w:cs="Times New Roman"/>
          <w:sz w:val="20"/>
          <w:szCs w:val="20"/>
        </w:rPr>
        <w:t xml:space="preserve"> These steps are essential for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Pr>
          <w:rFonts w:ascii="Times New Roman" w:hAnsi="Times New Roman" w:cs="Times New Roman"/>
          <w:sz w:val="20"/>
          <w:szCs w:val="20"/>
        </w:rPr>
        <w:t>South Africa</w:t>
      </w:r>
      <w:r w:rsidR="00197834">
        <w:rPr>
          <w:rFonts w:ascii="Times New Roman" w:hAnsi="Times New Roman" w:cs="Times New Roman"/>
          <w:sz w:val="20"/>
          <w:szCs w:val="20"/>
        </w:rPr>
        <w:t>’s</w:t>
      </w:r>
      <w:r w:rsidR="008C5BB8">
        <w:rPr>
          <w:rFonts w:ascii="Times New Roman" w:hAnsi="Times New Roman" w:cs="Times New Roman"/>
          <w:sz w:val="20"/>
          <w:szCs w:val="20"/>
        </w:rPr>
        <w:t xml:space="preserve"> economy.</w:t>
      </w:r>
    </w:p>
    <w:p w14:paraId="5E606B0B" w14:textId="63B9E2BA"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lastRenderedPageBreak/>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0E5FFF">
        <w:rPr>
          <w:rStyle w:val="Strong"/>
          <w:rFonts w:ascii="Times New Roman" w:hAnsi="Times New Roman" w:cs="Times New Roman"/>
          <w:b w:val="0"/>
          <w:bCs w:val="0"/>
          <w:color w:val="000000"/>
          <w:sz w:val="20"/>
          <w:szCs w:val="20"/>
        </w:rPr>
        <w:t>South Africa</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w:t>
      </w:r>
      <w:r w:rsidR="00CD162D">
        <w:rPr>
          <w:rStyle w:val="Strong"/>
          <w:rFonts w:ascii="Times New Roman" w:hAnsi="Times New Roman" w:cs="Times New Roman"/>
          <w:b w:val="0"/>
          <w:bCs w:val="0"/>
          <w:color w:val="000000"/>
          <w:sz w:val="20"/>
          <w:szCs w:val="20"/>
        </w:rPr>
        <w:t>Recent developments and unrest in Iran and its deteriorating hostile relations USA and possible war between the two countries would further complicates the situation and might further destabilize the region.</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 xml:space="preserve">As such </w:t>
      </w:r>
      <w:r w:rsidR="000E5FFF">
        <w:rPr>
          <w:rStyle w:val="Strong"/>
          <w:rFonts w:ascii="Times New Roman" w:hAnsi="Times New Roman" w:cs="Times New Roman"/>
          <w:b w:val="0"/>
          <w:bCs w:val="0"/>
          <w:color w:val="000000"/>
          <w:sz w:val="20"/>
          <w:szCs w:val="20"/>
        </w:rPr>
        <w:t>South Africa</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7CDEB3A3"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The last but not the least the end of US trade war</w:t>
      </w:r>
      <w:r w:rsidR="00F26F20">
        <w:rPr>
          <w:rFonts w:ascii="Times New Roman" w:hAnsi="Times New Roman" w:cs="Times New Roman"/>
          <w:sz w:val="20"/>
          <w:szCs w:val="20"/>
        </w:rPr>
        <w:t xml:space="preserve"> as mentioned above</w:t>
      </w:r>
      <w:r w:rsidRPr="008D0C93">
        <w:rPr>
          <w:rFonts w:ascii="Times New Roman" w:hAnsi="Times New Roman" w:cs="Times New Roman"/>
          <w:sz w:val="20"/>
          <w:szCs w:val="20"/>
        </w:rPr>
        <w:t xml:space="preserve"> is also vital to get back economic stability in policies and to keep the global as well as </w:t>
      </w:r>
      <w:r w:rsidR="00F26F20">
        <w:rPr>
          <w:rFonts w:ascii="Times New Roman" w:hAnsi="Times New Roman" w:cs="Times New Roman"/>
          <w:sz w:val="20"/>
          <w:szCs w:val="20"/>
        </w:rPr>
        <w:t>South African</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E528A" w14:textId="77777777" w:rsidR="00E94EF1" w:rsidRDefault="00E94EF1" w:rsidP="001D22B5">
      <w:pPr>
        <w:spacing w:after="0" w:line="240" w:lineRule="auto"/>
      </w:pPr>
      <w:r>
        <w:separator/>
      </w:r>
    </w:p>
  </w:endnote>
  <w:endnote w:type="continuationSeparator" w:id="0">
    <w:p w14:paraId="53F8D5A7" w14:textId="77777777" w:rsidR="00E94EF1" w:rsidRDefault="00E94EF1"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83CBB" w14:textId="77777777" w:rsidR="00E94EF1" w:rsidRDefault="00E94EF1" w:rsidP="001D22B5">
      <w:pPr>
        <w:spacing w:after="0" w:line="240" w:lineRule="auto"/>
      </w:pPr>
      <w:r>
        <w:separator/>
      </w:r>
    </w:p>
  </w:footnote>
  <w:footnote w:type="continuationSeparator" w:id="0">
    <w:p w14:paraId="2A3DA7ED" w14:textId="77777777" w:rsidR="00E94EF1" w:rsidRDefault="00E94EF1"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3AA0"/>
    <w:rsid w:val="000E4D44"/>
    <w:rsid w:val="000E5FFF"/>
    <w:rsid w:val="000F17E2"/>
    <w:rsid w:val="00102234"/>
    <w:rsid w:val="00102F96"/>
    <w:rsid w:val="00103334"/>
    <w:rsid w:val="001065BF"/>
    <w:rsid w:val="0012124C"/>
    <w:rsid w:val="00125101"/>
    <w:rsid w:val="001329D7"/>
    <w:rsid w:val="00143E47"/>
    <w:rsid w:val="00144558"/>
    <w:rsid w:val="0015074B"/>
    <w:rsid w:val="00180959"/>
    <w:rsid w:val="00180FD8"/>
    <w:rsid w:val="00181E36"/>
    <w:rsid w:val="00187D17"/>
    <w:rsid w:val="001971D0"/>
    <w:rsid w:val="00197834"/>
    <w:rsid w:val="001A007B"/>
    <w:rsid w:val="001A0503"/>
    <w:rsid w:val="001A3D5A"/>
    <w:rsid w:val="001A4781"/>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7120"/>
    <w:rsid w:val="00394668"/>
    <w:rsid w:val="003951F1"/>
    <w:rsid w:val="00395F94"/>
    <w:rsid w:val="003977C2"/>
    <w:rsid w:val="003A2329"/>
    <w:rsid w:val="003A7CF3"/>
    <w:rsid w:val="003B31EC"/>
    <w:rsid w:val="003C0648"/>
    <w:rsid w:val="003C123D"/>
    <w:rsid w:val="003C25D5"/>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1456C"/>
    <w:rsid w:val="00521666"/>
    <w:rsid w:val="00523550"/>
    <w:rsid w:val="00526C2F"/>
    <w:rsid w:val="00531871"/>
    <w:rsid w:val="00535815"/>
    <w:rsid w:val="00541149"/>
    <w:rsid w:val="005420B3"/>
    <w:rsid w:val="005471A1"/>
    <w:rsid w:val="005519C2"/>
    <w:rsid w:val="00552405"/>
    <w:rsid w:val="005571C8"/>
    <w:rsid w:val="00562BE6"/>
    <w:rsid w:val="00573B9D"/>
    <w:rsid w:val="00575FBE"/>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176F"/>
    <w:rsid w:val="00612DEB"/>
    <w:rsid w:val="006314D2"/>
    <w:rsid w:val="0063615D"/>
    <w:rsid w:val="0064273D"/>
    <w:rsid w:val="00645106"/>
    <w:rsid w:val="00645727"/>
    <w:rsid w:val="006471E6"/>
    <w:rsid w:val="006529B5"/>
    <w:rsid w:val="006537FB"/>
    <w:rsid w:val="00656ED6"/>
    <w:rsid w:val="006602EF"/>
    <w:rsid w:val="006622E8"/>
    <w:rsid w:val="006724C0"/>
    <w:rsid w:val="006835B3"/>
    <w:rsid w:val="0068534F"/>
    <w:rsid w:val="00685DF9"/>
    <w:rsid w:val="00687DAB"/>
    <w:rsid w:val="00690D1F"/>
    <w:rsid w:val="00692DD4"/>
    <w:rsid w:val="006A1A5F"/>
    <w:rsid w:val="006B7655"/>
    <w:rsid w:val="006C0892"/>
    <w:rsid w:val="006C69B8"/>
    <w:rsid w:val="006D2DB7"/>
    <w:rsid w:val="006D76A5"/>
    <w:rsid w:val="006D7C67"/>
    <w:rsid w:val="006E2804"/>
    <w:rsid w:val="006E30DF"/>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4D44"/>
    <w:rsid w:val="007F51BF"/>
    <w:rsid w:val="00806E97"/>
    <w:rsid w:val="00817AB6"/>
    <w:rsid w:val="00825419"/>
    <w:rsid w:val="0082609D"/>
    <w:rsid w:val="00834ECB"/>
    <w:rsid w:val="00837879"/>
    <w:rsid w:val="008425AF"/>
    <w:rsid w:val="00850609"/>
    <w:rsid w:val="00856825"/>
    <w:rsid w:val="00861EAD"/>
    <w:rsid w:val="00865121"/>
    <w:rsid w:val="00870A72"/>
    <w:rsid w:val="00874864"/>
    <w:rsid w:val="00875ED8"/>
    <w:rsid w:val="0089167D"/>
    <w:rsid w:val="00891AEC"/>
    <w:rsid w:val="0089602D"/>
    <w:rsid w:val="008B0316"/>
    <w:rsid w:val="008C13DD"/>
    <w:rsid w:val="008C163E"/>
    <w:rsid w:val="008C3C3C"/>
    <w:rsid w:val="008C55FC"/>
    <w:rsid w:val="008C5BB8"/>
    <w:rsid w:val="008C636F"/>
    <w:rsid w:val="008D0C93"/>
    <w:rsid w:val="008E32A3"/>
    <w:rsid w:val="008F7F1D"/>
    <w:rsid w:val="00900C3A"/>
    <w:rsid w:val="009026DE"/>
    <w:rsid w:val="00903C4F"/>
    <w:rsid w:val="00907168"/>
    <w:rsid w:val="00914601"/>
    <w:rsid w:val="00922E3F"/>
    <w:rsid w:val="00923BEA"/>
    <w:rsid w:val="00927227"/>
    <w:rsid w:val="00931148"/>
    <w:rsid w:val="00934E22"/>
    <w:rsid w:val="0093624B"/>
    <w:rsid w:val="00950BFA"/>
    <w:rsid w:val="00955A27"/>
    <w:rsid w:val="0095797B"/>
    <w:rsid w:val="009677B2"/>
    <w:rsid w:val="009770EB"/>
    <w:rsid w:val="00992509"/>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10D48"/>
    <w:rsid w:val="00A17CC8"/>
    <w:rsid w:val="00A20B8A"/>
    <w:rsid w:val="00A22ED1"/>
    <w:rsid w:val="00A250A6"/>
    <w:rsid w:val="00A274E5"/>
    <w:rsid w:val="00A3120C"/>
    <w:rsid w:val="00A329A9"/>
    <w:rsid w:val="00A476BA"/>
    <w:rsid w:val="00A50211"/>
    <w:rsid w:val="00A51829"/>
    <w:rsid w:val="00A53059"/>
    <w:rsid w:val="00A62BA9"/>
    <w:rsid w:val="00A70F81"/>
    <w:rsid w:val="00A7439C"/>
    <w:rsid w:val="00A77AB0"/>
    <w:rsid w:val="00A84A6C"/>
    <w:rsid w:val="00A86A02"/>
    <w:rsid w:val="00AA1D8D"/>
    <w:rsid w:val="00AA2339"/>
    <w:rsid w:val="00AB1099"/>
    <w:rsid w:val="00AB55F0"/>
    <w:rsid w:val="00AC41E4"/>
    <w:rsid w:val="00AD6009"/>
    <w:rsid w:val="00AE193F"/>
    <w:rsid w:val="00AE5B75"/>
    <w:rsid w:val="00AE6C78"/>
    <w:rsid w:val="00AF41D1"/>
    <w:rsid w:val="00B04CD2"/>
    <w:rsid w:val="00B06FC7"/>
    <w:rsid w:val="00B128C3"/>
    <w:rsid w:val="00B16988"/>
    <w:rsid w:val="00B1715C"/>
    <w:rsid w:val="00B24F2C"/>
    <w:rsid w:val="00B27892"/>
    <w:rsid w:val="00B30E43"/>
    <w:rsid w:val="00B33BC0"/>
    <w:rsid w:val="00B34ED4"/>
    <w:rsid w:val="00B4693B"/>
    <w:rsid w:val="00B46B99"/>
    <w:rsid w:val="00B47730"/>
    <w:rsid w:val="00B51A19"/>
    <w:rsid w:val="00B60648"/>
    <w:rsid w:val="00B645A5"/>
    <w:rsid w:val="00B704DB"/>
    <w:rsid w:val="00B713E5"/>
    <w:rsid w:val="00B7763E"/>
    <w:rsid w:val="00B84272"/>
    <w:rsid w:val="00B851F0"/>
    <w:rsid w:val="00B97C5C"/>
    <w:rsid w:val="00BA0CC0"/>
    <w:rsid w:val="00BB0FA6"/>
    <w:rsid w:val="00BB21C7"/>
    <w:rsid w:val="00BB2729"/>
    <w:rsid w:val="00BB4645"/>
    <w:rsid w:val="00BC04E2"/>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162D"/>
    <w:rsid w:val="00CD7372"/>
    <w:rsid w:val="00CE1EB6"/>
    <w:rsid w:val="00D048A1"/>
    <w:rsid w:val="00D0787A"/>
    <w:rsid w:val="00D1346E"/>
    <w:rsid w:val="00D53A36"/>
    <w:rsid w:val="00D566E3"/>
    <w:rsid w:val="00D670C2"/>
    <w:rsid w:val="00D82BFF"/>
    <w:rsid w:val="00D91782"/>
    <w:rsid w:val="00D972DD"/>
    <w:rsid w:val="00DA3652"/>
    <w:rsid w:val="00DA7D31"/>
    <w:rsid w:val="00DB61AB"/>
    <w:rsid w:val="00DC07E4"/>
    <w:rsid w:val="00DE5A66"/>
    <w:rsid w:val="00DF1FBA"/>
    <w:rsid w:val="00DF4B4A"/>
    <w:rsid w:val="00DF57F2"/>
    <w:rsid w:val="00DF61E4"/>
    <w:rsid w:val="00E17276"/>
    <w:rsid w:val="00E20A14"/>
    <w:rsid w:val="00E30B08"/>
    <w:rsid w:val="00E30E97"/>
    <w:rsid w:val="00E31846"/>
    <w:rsid w:val="00E3317C"/>
    <w:rsid w:val="00E37A02"/>
    <w:rsid w:val="00E37F47"/>
    <w:rsid w:val="00E415E6"/>
    <w:rsid w:val="00E43A52"/>
    <w:rsid w:val="00E50FCC"/>
    <w:rsid w:val="00E51665"/>
    <w:rsid w:val="00E6106A"/>
    <w:rsid w:val="00E6299E"/>
    <w:rsid w:val="00E636BB"/>
    <w:rsid w:val="00E71B71"/>
    <w:rsid w:val="00E73B7F"/>
    <w:rsid w:val="00E8135B"/>
    <w:rsid w:val="00E841B0"/>
    <w:rsid w:val="00E84935"/>
    <w:rsid w:val="00E94EF1"/>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6F20"/>
    <w:rsid w:val="00F2777B"/>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E73BE"/>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16</cp:revision>
  <cp:lastPrinted>2026-01-16T00:49:00Z</cp:lastPrinted>
  <dcterms:created xsi:type="dcterms:W3CDTF">2026-01-16T20:18:00Z</dcterms:created>
  <dcterms:modified xsi:type="dcterms:W3CDTF">2026-01-16T21:09:00Z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