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Risk Model - Submission</w:t>
      </w:r>
    </w:p>
    <w:p>
      <w:pPr>
        <w:pStyle w:val="Heading1"/>
      </w:pPr>
      <w:r>
        <w:t>3. Model Methodology</w:t>
      </w:r>
    </w:p>
    <w:p>
      <w:r>
        <w:t>The model utilizes a Logistic Regression framework.</w:t>
      </w:r>
    </w:p>
    <w:p>
      <w:pPr>
        <w:pStyle w:val="Heading2"/>
      </w:pPr>
      <w:r>
        <w:t>3.1 Variable Selection</w:t>
      </w:r>
    </w:p>
    <w:p>
      <w:pPr>
        <w:jc w:val="left"/>
      </w:pPr>
      <w:r>
        <w:rPr>
          <w:b/>
          <w:sz w:val="22"/>
        </w:rPr>
        <w:t>Table 1: Final Model Variable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Name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Information Value</w:t>
            </w:r>
          </w:p>
        </w:tc>
      </w:tr>
      <w:tr>
        <w:tc>
          <w:tcPr>
            <w:tcW w:type="dxa" w:w="2880"/>
          </w:tcPr>
          <w:p>
            <w:r>
              <w:t>FICO_Score</w:t>
            </w:r>
          </w:p>
        </w:tc>
        <w:tc>
          <w:tcPr>
            <w:tcW w:type="dxa" w:w="2880"/>
          </w:tcPr>
          <w:p>
            <w:r>
              <w:t>Bureau Data</w:t>
            </w:r>
          </w:p>
        </w:tc>
        <w:tc>
          <w:tcPr>
            <w:tcW w:type="dxa" w:w="2880"/>
          </w:tcPr>
          <w:p>
            <w:r>
              <w:t>0.45</w:t>
            </w:r>
          </w:p>
        </w:tc>
      </w:tr>
      <w:tr>
        <w:tc>
          <w:tcPr>
            <w:tcW w:type="dxa" w:w="2880"/>
          </w:tcPr>
          <w:p>
            <w:r>
              <w:t>DTI_Ratio</w:t>
            </w:r>
          </w:p>
        </w:tc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0.22</w:t>
            </w:r>
          </w:p>
        </w:tc>
      </w:tr>
    </w:tbl>
    <w:p/>
    <w:p>
      <w:pPr>
        <w:pStyle w:val="Heading1"/>
      </w:pPr>
      <w:r>
        <w:t>4. Development Testing &amp; Performance</w:t>
      </w:r>
    </w:p>
    <w:p>
      <w:pPr>
        <w:jc w:val="left"/>
      </w:pPr>
      <w:r>
        <w:rPr>
          <w:b/>
          <w:sz w:val="22"/>
        </w:rPr>
        <w:t>Table 2: Model Performance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In-Sample</w:t>
            </w:r>
          </w:p>
        </w:tc>
        <w:tc>
          <w:tcPr>
            <w:tcW w:type="dxa" w:w="2880"/>
          </w:tcPr>
          <w:p>
            <w:r>
              <w:t>Out-of-Sample</w:t>
            </w:r>
          </w:p>
        </w:tc>
      </w:tr>
      <w:tr>
        <w:tc>
          <w:tcPr>
            <w:tcW w:type="dxa" w:w="2880"/>
          </w:tcPr>
          <w:p>
            <w:r>
              <w:t>Gini</w:t>
            </w:r>
          </w:p>
        </w:tc>
        <w:tc>
          <w:tcPr>
            <w:tcW w:type="dxa" w:w="2880"/>
          </w:tcPr>
          <w:p>
            <w:r>
              <w:t>0.65</w:t>
            </w:r>
          </w:p>
        </w:tc>
        <w:tc>
          <w:tcPr>
            <w:tcW w:type="dxa" w:w="2880"/>
          </w:tcPr>
          <w:p>
            <w:r>
              <w:t>0.62</w:t>
            </w:r>
          </w:p>
        </w:tc>
      </w:tr>
      <w:tr>
        <w:tc>
          <w:tcPr>
            <w:tcW w:type="dxa" w:w="2880"/>
          </w:tcPr>
          <w:p>
            <w:r>
              <w:t>AUC</w:t>
            </w:r>
          </w:p>
        </w:tc>
        <w:tc>
          <w:tcPr>
            <w:tcW w:type="dxa" w:w="2880"/>
          </w:tcPr>
          <w:p>
            <w:r>
              <w:t>0.82</w:t>
            </w:r>
          </w:p>
        </w:tc>
        <w:tc>
          <w:tcPr>
            <w:tcW w:type="dxa" w:w="2880"/>
          </w:tcPr>
          <w:p>
            <w:r>
              <w:t>0.80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