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19CE7" w14:textId="18AEFF01" w:rsidR="00BF2A1E" w:rsidRPr="001A2556" w:rsidRDefault="00BF2A1E" w:rsidP="00844242">
      <w:pPr>
        <w:jc w:val="center"/>
        <w:rPr>
          <w:rFonts w:ascii="Arial" w:hAnsi="Arial" w:cs="Arial"/>
          <w:b/>
          <w:bCs/>
          <w:sz w:val="22"/>
          <w:szCs w:val="22"/>
          <w:u w:val="single"/>
        </w:rPr>
      </w:pPr>
      <w:r w:rsidRPr="001A2556">
        <w:rPr>
          <w:rFonts w:ascii="Arial" w:hAnsi="Arial" w:cs="Arial"/>
          <w:b/>
          <w:bCs/>
          <w:sz w:val="22"/>
          <w:szCs w:val="22"/>
          <w:u w:val="single"/>
        </w:rPr>
        <w:t xml:space="preserve">The integration of the data scientist into the team: </w:t>
      </w:r>
      <w:r w:rsidR="00844242">
        <w:rPr>
          <w:rFonts w:ascii="Arial" w:hAnsi="Arial" w:cs="Arial"/>
          <w:b/>
          <w:bCs/>
          <w:sz w:val="22"/>
          <w:szCs w:val="22"/>
          <w:u w:val="single"/>
        </w:rPr>
        <w:t xml:space="preserve">implications and </w:t>
      </w:r>
      <w:r w:rsidRPr="001A2556">
        <w:rPr>
          <w:rFonts w:ascii="Arial" w:hAnsi="Arial" w:cs="Arial"/>
          <w:b/>
          <w:bCs/>
          <w:sz w:val="22"/>
          <w:szCs w:val="22"/>
          <w:u w:val="single"/>
        </w:rPr>
        <w:t xml:space="preserve">challenges </w:t>
      </w:r>
    </w:p>
    <w:p w14:paraId="6426B926" w14:textId="77777777" w:rsidR="00BF2A1E" w:rsidRPr="001A2556" w:rsidRDefault="00BF2A1E">
      <w:pPr>
        <w:rPr>
          <w:rFonts w:ascii="Arial" w:hAnsi="Arial" w:cs="Arial"/>
          <w:sz w:val="22"/>
          <w:szCs w:val="22"/>
        </w:rPr>
      </w:pPr>
    </w:p>
    <w:p w14:paraId="4F0CFBA6" w14:textId="7E6430C8" w:rsidR="0049160E" w:rsidRPr="001A2556" w:rsidRDefault="0049160E" w:rsidP="001A2556">
      <w:pPr>
        <w:jc w:val="center"/>
        <w:rPr>
          <w:rFonts w:ascii="Arial" w:hAnsi="Arial" w:cs="Arial"/>
          <w:b/>
          <w:bCs/>
          <w:sz w:val="22"/>
          <w:szCs w:val="22"/>
          <w:u w:val="single"/>
        </w:rPr>
      </w:pPr>
      <w:r w:rsidRPr="001A2556">
        <w:rPr>
          <w:rFonts w:ascii="Arial" w:hAnsi="Arial" w:cs="Arial"/>
          <w:b/>
          <w:bCs/>
          <w:sz w:val="22"/>
          <w:szCs w:val="22"/>
          <w:u w:val="single"/>
        </w:rPr>
        <w:t>Abstract</w:t>
      </w:r>
    </w:p>
    <w:p w14:paraId="401EF32F" w14:textId="2E156D53" w:rsidR="0049160E" w:rsidRPr="001A2556" w:rsidRDefault="001F5DAD" w:rsidP="00811C49">
      <w:pPr>
        <w:rPr>
          <w:rFonts w:ascii="Arial" w:hAnsi="Arial" w:cs="Arial"/>
          <w:sz w:val="22"/>
          <w:szCs w:val="22"/>
        </w:rPr>
      </w:pPr>
      <w:r w:rsidRPr="001A2556">
        <w:rPr>
          <w:rFonts w:ascii="Arial" w:hAnsi="Arial" w:cs="Arial"/>
          <w:sz w:val="22"/>
          <w:szCs w:val="22"/>
        </w:rPr>
        <w:t xml:space="preserve">Modern biomedical </w:t>
      </w:r>
      <w:r w:rsidR="00681F1B">
        <w:rPr>
          <w:rFonts w:ascii="Arial" w:hAnsi="Arial" w:cs="Arial"/>
          <w:sz w:val="22"/>
          <w:szCs w:val="22"/>
        </w:rPr>
        <w:t>research is</w:t>
      </w:r>
      <w:r w:rsidRPr="001A2556">
        <w:rPr>
          <w:rFonts w:ascii="Arial" w:hAnsi="Arial" w:cs="Arial"/>
          <w:sz w:val="22"/>
          <w:szCs w:val="22"/>
        </w:rPr>
        <w:t xml:space="preserve"> complex and require</w:t>
      </w:r>
      <w:r w:rsidR="008A6230">
        <w:rPr>
          <w:rFonts w:ascii="Arial" w:hAnsi="Arial" w:cs="Arial"/>
          <w:sz w:val="22"/>
          <w:szCs w:val="22"/>
        </w:rPr>
        <w:t>s</w:t>
      </w:r>
      <w:r w:rsidRPr="001A2556">
        <w:rPr>
          <w:rFonts w:ascii="Arial" w:hAnsi="Arial" w:cs="Arial"/>
          <w:sz w:val="22"/>
          <w:szCs w:val="22"/>
        </w:rPr>
        <w:t xml:space="preserve"> a cross section of experts collaborating </w:t>
      </w:r>
      <w:r w:rsidR="00BE492A">
        <w:rPr>
          <w:rFonts w:ascii="Arial" w:hAnsi="Arial" w:cs="Arial"/>
          <w:sz w:val="22"/>
          <w:szCs w:val="22"/>
        </w:rPr>
        <w:t>using multi-, inter</w:t>
      </w:r>
      <w:r w:rsidR="00F15EBE">
        <w:rPr>
          <w:rFonts w:ascii="Arial" w:hAnsi="Arial" w:cs="Arial"/>
          <w:sz w:val="22"/>
          <w:szCs w:val="22"/>
        </w:rPr>
        <w:t>-, or trans</w:t>
      </w:r>
      <w:r w:rsidR="00BE492A">
        <w:rPr>
          <w:rFonts w:ascii="Arial" w:hAnsi="Arial" w:cs="Arial"/>
          <w:sz w:val="22"/>
          <w:szCs w:val="22"/>
        </w:rPr>
        <w:t xml:space="preserve">disciplinary approaches </w:t>
      </w:r>
      <w:r w:rsidRPr="001A2556">
        <w:rPr>
          <w:rFonts w:ascii="Arial" w:hAnsi="Arial" w:cs="Arial"/>
          <w:sz w:val="22"/>
          <w:szCs w:val="22"/>
        </w:rPr>
        <w:t xml:space="preserve">to address </w:t>
      </w:r>
      <w:r w:rsidR="008A6230">
        <w:rPr>
          <w:rFonts w:ascii="Arial" w:hAnsi="Arial" w:cs="Arial"/>
          <w:sz w:val="22"/>
          <w:szCs w:val="22"/>
        </w:rPr>
        <w:t>scientific</w:t>
      </w:r>
      <w:r w:rsidRPr="001A2556">
        <w:rPr>
          <w:rFonts w:ascii="Arial" w:hAnsi="Arial" w:cs="Arial"/>
          <w:sz w:val="22"/>
          <w:szCs w:val="22"/>
        </w:rPr>
        <w:t xml:space="preserve"> questions.  </w:t>
      </w:r>
      <w:r w:rsidR="00501738">
        <w:rPr>
          <w:rFonts w:ascii="Arial" w:hAnsi="Arial" w:cs="Arial"/>
          <w:sz w:val="22"/>
          <w:szCs w:val="22"/>
        </w:rPr>
        <w:t xml:space="preserve">Known as team science, </w:t>
      </w:r>
      <w:r w:rsidR="00E07694">
        <w:rPr>
          <w:rFonts w:ascii="Arial" w:hAnsi="Arial" w:cs="Arial"/>
          <w:sz w:val="22"/>
          <w:szCs w:val="22"/>
        </w:rPr>
        <w:t>such approaches have</w:t>
      </w:r>
      <w:r w:rsidR="00051ACE">
        <w:rPr>
          <w:rFonts w:ascii="Arial" w:hAnsi="Arial" w:cs="Arial"/>
          <w:sz w:val="22"/>
          <w:szCs w:val="22"/>
        </w:rPr>
        <w:t xml:space="preserve"> </w:t>
      </w:r>
      <w:r w:rsidR="00BE492A">
        <w:rPr>
          <w:rFonts w:ascii="Arial" w:hAnsi="Arial" w:cs="Arial"/>
          <w:sz w:val="22"/>
          <w:szCs w:val="22"/>
        </w:rPr>
        <w:t>become so critical it has given rise to a new field – the science of team science</w:t>
      </w:r>
      <w:r w:rsidRPr="001A2556">
        <w:rPr>
          <w:rFonts w:ascii="Arial" w:hAnsi="Arial" w:cs="Arial"/>
          <w:sz w:val="22"/>
          <w:szCs w:val="22"/>
        </w:rPr>
        <w:t>.</w:t>
      </w:r>
      <w:r w:rsidR="00BA68F9" w:rsidRPr="001A2556">
        <w:rPr>
          <w:rFonts w:ascii="Arial" w:hAnsi="Arial" w:cs="Arial"/>
          <w:sz w:val="22"/>
          <w:szCs w:val="22"/>
        </w:rPr>
        <w:t xml:space="preserve">  In </w:t>
      </w:r>
      <w:r w:rsidR="001A2556" w:rsidRPr="001A2556">
        <w:rPr>
          <w:rFonts w:ascii="Arial" w:hAnsi="Arial" w:cs="Arial"/>
          <w:sz w:val="22"/>
          <w:szCs w:val="22"/>
        </w:rPr>
        <w:t>bio</w:t>
      </w:r>
      <w:r w:rsidR="00BA68F9" w:rsidRPr="001A2556">
        <w:rPr>
          <w:rFonts w:ascii="Arial" w:hAnsi="Arial" w:cs="Arial"/>
          <w:sz w:val="22"/>
          <w:szCs w:val="22"/>
        </w:rPr>
        <w:t xml:space="preserve">medical research, </w:t>
      </w:r>
      <w:r w:rsidR="001B5756">
        <w:rPr>
          <w:rFonts w:ascii="Arial" w:hAnsi="Arial" w:cs="Arial"/>
          <w:sz w:val="22"/>
          <w:szCs w:val="22"/>
        </w:rPr>
        <w:t xml:space="preserve">data scientists </w:t>
      </w:r>
      <w:r w:rsidR="00811C49">
        <w:rPr>
          <w:rFonts w:ascii="Arial" w:hAnsi="Arial" w:cs="Arial"/>
          <w:sz w:val="22"/>
          <w:szCs w:val="22"/>
        </w:rPr>
        <w:t>often</w:t>
      </w:r>
      <w:r w:rsidR="00A217F3">
        <w:rPr>
          <w:rFonts w:ascii="Arial" w:hAnsi="Arial" w:cs="Arial"/>
          <w:sz w:val="22"/>
          <w:szCs w:val="22"/>
        </w:rPr>
        <w:t xml:space="preserve"> </w:t>
      </w:r>
      <w:r w:rsidR="001B5756">
        <w:rPr>
          <w:rFonts w:ascii="Arial" w:hAnsi="Arial" w:cs="Arial"/>
          <w:sz w:val="22"/>
          <w:szCs w:val="22"/>
        </w:rPr>
        <w:t xml:space="preserve">play a critical role in </w:t>
      </w:r>
      <w:r w:rsidR="00BA68F9" w:rsidRPr="001A2556">
        <w:rPr>
          <w:rFonts w:ascii="Arial" w:hAnsi="Arial" w:cs="Arial"/>
          <w:sz w:val="22"/>
          <w:szCs w:val="22"/>
        </w:rPr>
        <w:t>team</w:t>
      </w:r>
      <w:r w:rsidR="001E1729">
        <w:rPr>
          <w:rFonts w:ascii="Arial" w:hAnsi="Arial" w:cs="Arial"/>
          <w:sz w:val="22"/>
          <w:szCs w:val="22"/>
        </w:rPr>
        <w:t xml:space="preserve">-based collaborations. </w:t>
      </w:r>
      <w:r w:rsidR="0096064E">
        <w:rPr>
          <w:rFonts w:ascii="Arial" w:hAnsi="Arial" w:cs="Arial"/>
          <w:sz w:val="22"/>
          <w:szCs w:val="22"/>
        </w:rPr>
        <w:t>Integration of data scientist</w:t>
      </w:r>
      <w:r w:rsidR="00925C2D">
        <w:rPr>
          <w:rFonts w:ascii="Arial" w:hAnsi="Arial" w:cs="Arial"/>
          <w:sz w:val="22"/>
          <w:szCs w:val="22"/>
        </w:rPr>
        <w:t xml:space="preserve">s into </w:t>
      </w:r>
      <w:r w:rsidR="009F7A97">
        <w:rPr>
          <w:rFonts w:ascii="Arial" w:hAnsi="Arial" w:cs="Arial"/>
          <w:sz w:val="22"/>
          <w:szCs w:val="22"/>
        </w:rPr>
        <w:t xml:space="preserve">research </w:t>
      </w:r>
      <w:r w:rsidR="0096064E">
        <w:rPr>
          <w:rFonts w:ascii="Arial" w:hAnsi="Arial" w:cs="Arial"/>
          <w:sz w:val="22"/>
          <w:szCs w:val="22"/>
        </w:rPr>
        <w:t>team</w:t>
      </w:r>
      <w:r w:rsidR="00925C2D">
        <w:rPr>
          <w:rFonts w:ascii="Arial" w:hAnsi="Arial" w:cs="Arial"/>
          <w:sz w:val="22"/>
          <w:szCs w:val="22"/>
        </w:rPr>
        <w:t>s</w:t>
      </w:r>
      <w:r w:rsidR="00BA68F9" w:rsidRPr="001A2556">
        <w:rPr>
          <w:rFonts w:ascii="Arial" w:hAnsi="Arial" w:cs="Arial"/>
          <w:sz w:val="22"/>
          <w:szCs w:val="22"/>
        </w:rPr>
        <w:t xml:space="preserve"> has multiple advantages to </w:t>
      </w:r>
      <w:r w:rsidR="001E1729">
        <w:rPr>
          <w:rFonts w:ascii="Arial" w:hAnsi="Arial" w:cs="Arial"/>
          <w:sz w:val="22"/>
          <w:szCs w:val="22"/>
        </w:rPr>
        <w:t xml:space="preserve">the </w:t>
      </w:r>
      <w:r w:rsidR="00BA68F9" w:rsidRPr="001A2556">
        <w:rPr>
          <w:rFonts w:ascii="Arial" w:hAnsi="Arial" w:cs="Arial"/>
          <w:sz w:val="22"/>
          <w:szCs w:val="22"/>
        </w:rPr>
        <w:t>clinical and</w:t>
      </w:r>
      <w:r w:rsidR="001E1729">
        <w:rPr>
          <w:rFonts w:ascii="Arial" w:hAnsi="Arial" w:cs="Arial"/>
          <w:sz w:val="22"/>
          <w:szCs w:val="22"/>
        </w:rPr>
        <w:t xml:space="preserve"> translational investigator as well as</w:t>
      </w:r>
      <w:r w:rsidR="00BA68F9" w:rsidRPr="001A2556">
        <w:rPr>
          <w:rFonts w:ascii="Arial" w:hAnsi="Arial" w:cs="Arial"/>
          <w:sz w:val="22"/>
          <w:szCs w:val="22"/>
        </w:rPr>
        <w:t xml:space="preserve"> to the data scientist.  Clinical and translational investigators benefit from </w:t>
      </w:r>
      <w:r w:rsidR="008A41D1">
        <w:rPr>
          <w:rFonts w:ascii="Arial" w:hAnsi="Arial" w:cs="Arial"/>
          <w:sz w:val="22"/>
          <w:szCs w:val="22"/>
        </w:rPr>
        <w:t xml:space="preserve">having </w:t>
      </w:r>
      <w:r w:rsidR="00BA68F9" w:rsidRPr="001A2556">
        <w:rPr>
          <w:rFonts w:ascii="Arial" w:hAnsi="Arial" w:cs="Arial"/>
          <w:sz w:val="22"/>
          <w:szCs w:val="22"/>
        </w:rPr>
        <w:t>an invested dedicated collaborator who can assume principal responsibility for essential data-related activities, while the data scientist can build a career developing tools that are relevant and data-driven.</w:t>
      </w:r>
      <w:r w:rsidR="001121A5" w:rsidRPr="001A2556">
        <w:rPr>
          <w:rFonts w:ascii="Arial" w:hAnsi="Arial" w:cs="Arial"/>
          <w:sz w:val="22"/>
          <w:szCs w:val="22"/>
        </w:rPr>
        <w:t xml:space="preserve"> </w:t>
      </w:r>
      <w:r w:rsidR="003554C4">
        <w:rPr>
          <w:rFonts w:ascii="Arial" w:hAnsi="Arial" w:cs="Arial"/>
          <w:sz w:val="22"/>
          <w:szCs w:val="22"/>
        </w:rPr>
        <w:t>Participation in t</w:t>
      </w:r>
      <w:r w:rsidR="001121A5" w:rsidRPr="001A2556">
        <w:rPr>
          <w:rFonts w:ascii="Arial" w:hAnsi="Arial" w:cs="Arial"/>
          <w:sz w:val="22"/>
          <w:szCs w:val="22"/>
        </w:rPr>
        <w:t>eam science, however, can pose challenges</w:t>
      </w:r>
      <w:r w:rsidR="00DD4A23" w:rsidRPr="001A2556">
        <w:rPr>
          <w:rFonts w:ascii="Arial" w:hAnsi="Arial" w:cs="Arial"/>
          <w:sz w:val="22"/>
          <w:szCs w:val="22"/>
        </w:rPr>
        <w:t xml:space="preserve">.  </w:t>
      </w:r>
      <w:r w:rsidR="001A2556" w:rsidRPr="001A2556">
        <w:rPr>
          <w:rFonts w:ascii="Arial" w:hAnsi="Arial" w:cs="Arial"/>
          <w:bCs/>
          <w:sz w:val="22"/>
          <w:szCs w:val="22"/>
        </w:rPr>
        <w:t xml:space="preserve">One </w:t>
      </w:r>
      <w:r w:rsidR="001A2556">
        <w:rPr>
          <w:rFonts w:ascii="Arial" w:hAnsi="Arial" w:cs="Arial"/>
          <w:bCs/>
          <w:sz w:val="22"/>
          <w:szCs w:val="22"/>
        </w:rPr>
        <w:t xml:space="preserve">particular challenge </w:t>
      </w:r>
      <w:r w:rsidR="003554C4">
        <w:rPr>
          <w:rFonts w:ascii="Arial" w:hAnsi="Arial" w:cs="Arial"/>
          <w:bCs/>
          <w:sz w:val="22"/>
          <w:szCs w:val="22"/>
        </w:rPr>
        <w:t>is</w:t>
      </w:r>
      <w:r w:rsidR="001A2556" w:rsidRPr="001A2556">
        <w:rPr>
          <w:rFonts w:ascii="Arial" w:hAnsi="Arial" w:cs="Arial"/>
          <w:bCs/>
          <w:sz w:val="22"/>
          <w:szCs w:val="22"/>
        </w:rPr>
        <w:t xml:space="preserve"> the ability to appropriately evaluate the </w:t>
      </w:r>
      <w:r w:rsidR="001A2556">
        <w:rPr>
          <w:rFonts w:ascii="Arial" w:hAnsi="Arial" w:cs="Arial"/>
          <w:bCs/>
          <w:sz w:val="22"/>
          <w:szCs w:val="22"/>
        </w:rPr>
        <w:t>data scientist’s</w:t>
      </w:r>
      <w:r w:rsidR="001A2556" w:rsidRPr="001A2556">
        <w:rPr>
          <w:rFonts w:ascii="Arial" w:hAnsi="Arial" w:cs="Arial"/>
          <w:bCs/>
          <w:sz w:val="22"/>
          <w:szCs w:val="22"/>
        </w:rPr>
        <w:t xml:space="preserve"> scholarly contributions, necessary for promotion.  </w:t>
      </w:r>
      <w:r w:rsidR="005A105A">
        <w:rPr>
          <w:rFonts w:ascii="Arial" w:hAnsi="Arial" w:cs="Arial"/>
          <w:bCs/>
          <w:sz w:val="22"/>
          <w:szCs w:val="22"/>
        </w:rPr>
        <w:t xml:space="preserve">Only a minority of academic health centers have attempted to address this challenge. In order for team science to thrive on </w:t>
      </w:r>
      <w:r w:rsidR="00D85C81">
        <w:rPr>
          <w:rFonts w:ascii="Arial" w:hAnsi="Arial" w:cs="Arial"/>
          <w:bCs/>
          <w:sz w:val="22"/>
          <w:szCs w:val="22"/>
        </w:rPr>
        <w:t xml:space="preserve">academic </w:t>
      </w:r>
      <w:r w:rsidR="005A105A">
        <w:rPr>
          <w:rFonts w:ascii="Arial" w:hAnsi="Arial" w:cs="Arial"/>
          <w:bCs/>
          <w:sz w:val="22"/>
          <w:szCs w:val="22"/>
        </w:rPr>
        <w:t>campus</w:t>
      </w:r>
      <w:r w:rsidR="00D85C81">
        <w:rPr>
          <w:rFonts w:ascii="Arial" w:hAnsi="Arial" w:cs="Arial"/>
          <w:bCs/>
          <w:sz w:val="22"/>
          <w:szCs w:val="22"/>
        </w:rPr>
        <w:t>es</w:t>
      </w:r>
      <w:r w:rsidR="005A105A">
        <w:rPr>
          <w:rFonts w:ascii="Arial" w:hAnsi="Arial" w:cs="Arial"/>
          <w:bCs/>
          <w:sz w:val="22"/>
          <w:szCs w:val="22"/>
        </w:rPr>
        <w:t xml:space="preserve">, </w:t>
      </w:r>
      <w:r w:rsidR="00D85C81">
        <w:rPr>
          <w:rFonts w:ascii="Arial" w:hAnsi="Arial" w:cs="Arial"/>
          <w:bCs/>
          <w:sz w:val="22"/>
          <w:szCs w:val="22"/>
        </w:rPr>
        <w:t xml:space="preserve">leaders of </w:t>
      </w:r>
      <w:r w:rsidR="005A105A" w:rsidRPr="001A2556">
        <w:rPr>
          <w:rFonts w:ascii="Arial" w:hAnsi="Arial" w:cs="Arial"/>
          <w:bCs/>
          <w:sz w:val="22"/>
          <w:szCs w:val="22"/>
        </w:rPr>
        <w:t>institution</w:t>
      </w:r>
      <w:r w:rsidR="00D85C81">
        <w:rPr>
          <w:rFonts w:ascii="Arial" w:hAnsi="Arial" w:cs="Arial"/>
          <w:bCs/>
          <w:sz w:val="22"/>
          <w:szCs w:val="22"/>
        </w:rPr>
        <w:t>s</w:t>
      </w:r>
      <w:r w:rsidR="005A105A" w:rsidRPr="001A2556">
        <w:rPr>
          <w:rFonts w:ascii="Arial" w:hAnsi="Arial" w:cs="Arial"/>
          <w:bCs/>
          <w:sz w:val="22"/>
          <w:szCs w:val="22"/>
        </w:rPr>
        <w:t xml:space="preserve"> need to hire </w:t>
      </w:r>
      <w:r w:rsidR="005A105A">
        <w:rPr>
          <w:rFonts w:ascii="Arial" w:hAnsi="Arial" w:cs="Arial"/>
          <w:bCs/>
          <w:sz w:val="22"/>
          <w:szCs w:val="22"/>
        </w:rPr>
        <w:t xml:space="preserve">data science </w:t>
      </w:r>
      <w:r w:rsidR="005A105A" w:rsidRPr="001A2556">
        <w:rPr>
          <w:rFonts w:ascii="Arial" w:hAnsi="Arial" w:cs="Arial"/>
          <w:bCs/>
          <w:sz w:val="22"/>
          <w:szCs w:val="22"/>
        </w:rPr>
        <w:t xml:space="preserve">faculty for the purpose of doing team science, with </w:t>
      </w:r>
      <w:r w:rsidR="005A105A">
        <w:rPr>
          <w:rFonts w:ascii="Arial" w:hAnsi="Arial" w:cs="Arial"/>
          <w:bCs/>
          <w:sz w:val="22"/>
          <w:szCs w:val="22"/>
        </w:rPr>
        <w:t xml:space="preserve">novel </w:t>
      </w:r>
      <w:r w:rsidR="005A105A" w:rsidRPr="001A2556">
        <w:rPr>
          <w:rFonts w:ascii="Arial" w:hAnsi="Arial" w:cs="Arial"/>
          <w:bCs/>
          <w:sz w:val="22"/>
          <w:szCs w:val="22"/>
        </w:rPr>
        <w:t xml:space="preserve">systems in place that incentivize </w:t>
      </w:r>
      <w:r w:rsidR="005A105A">
        <w:rPr>
          <w:rFonts w:ascii="Arial" w:hAnsi="Arial" w:cs="Arial"/>
          <w:bCs/>
          <w:sz w:val="22"/>
          <w:szCs w:val="22"/>
        </w:rPr>
        <w:t xml:space="preserve">the data scientist’s </w:t>
      </w:r>
      <w:r w:rsidR="005A105A" w:rsidRPr="001A2556">
        <w:rPr>
          <w:rFonts w:ascii="Arial" w:hAnsi="Arial" w:cs="Arial"/>
          <w:bCs/>
          <w:sz w:val="22"/>
          <w:szCs w:val="22"/>
        </w:rPr>
        <w:t>engagement in team science and that allow for appropriate evaluation of performance.</w:t>
      </w:r>
      <w:r w:rsidR="005A105A">
        <w:rPr>
          <w:rFonts w:ascii="Arial" w:hAnsi="Arial" w:cs="Arial"/>
          <w:bCs/>
          <w:sz w:val="22"/>
          <w:szCs w:val="22"/>
        </w:rPr>
        <w:t xml:space="preserve"> </w:t>
      </w:r>
      <w:r w:rsidR="001A2556" w:rsidRPr="001A2556">
        <w:rPr>
          <w:rFonts w:ascii="Arial" w:hAnsi="Arial" w:cs="Arial"/>
          <w:bCs/>
          <w:sz w:val="22"/>
          <w:szCs w:val="22"/>
        </w:rPr>
        <w:t>Until such systems are adopted at the institutional level, the ability to conduct team science to address modern biomedical research with its increasingly complex data needs will be compromised.</w:t>
      </w:r>
      <w:r w:rsidR="005A105A">
        <w:rPr>
          <w:rFonts w:ascii="Arial" w:hAnsi="Arial" w:cs="Arial"/>
          <w:bCs/>
          <w:sz w:val="22"/>
          <w:szCs w:val="22"/>
        </w:rPr>
        <w:t xml:space="preserve"> Fostering team science </w:t>
      </w:r>
      <w:r w:rsidR="0096064E">
        <w:rPr>
          <w:rFonts w:ascii="Arial" w:hAnsi="Arial" w:cs="Arial"/>
          <w:bCs/>
          <w:sz w:val="22"/>
          <w:szCs w:val="22"/>
        </w:rPr>
        <w:t xml:space="preserve">on campuses by putting supportive systems in place </w:t>
      </w:r>
      <w:r w:rsidR="005A105A">
        <w:rPr>
          <w:rFonts w:ascii="Arial" w:hAnsi="Arial" w:cs="Arial"/>
          <w:bCs/>
          <w:sz w:val="22"/>
          <w:szCs w:val="22"/>
        </w:rPr>
        <w:t>will benefit not only clinical and translational investigators as well as data scientists, but also the larger academic institution.</w:t>
      </w:r>
    </w:p>
    <w:p w14:paraId="59CFB885" w14:textId="77777777" w:rsidR="00D0750E" w:rsidRDefault="00D0750E"/>
    <w:p w14:paraId="27A6AD1F" w14:textId="77777777" w:rsidR="00CA3E1B" w:rsidRDefault="00CA3E1B">
      <w:r>
        <w:br w:type="page"/>
      </w:r>
    </w:p>
    <w:p w14:paraId="74997EB1" w14:textId="30545AB3" w:rsidR="001F298B" w:rsidRPr="00DC4E7F" w:rsidRDefault="001F298B" w:rsidP="00E57892">
      <w:pPr>
        <w:rPr>
          <w:rFonts w:ascii="Arial" w:hAnsi="Arial" w:cs="Arial"/>
          <w:i/>
          <w:iCs/>
          <w:sz w:val="22"/>
          <w:szCs w:val="22"/>
        </w:rPr>
      </w:pPr>
      <w:r w:rsidRPr="00DC4E7F">
        <w:rPr>
          <w:rFonts w:ascii="Arial" w:hAnsi="Arial" w:cs="Arial"/>
          <w:i/>
          <w:iCs/>
          <w:sz w:val="22"/>
          <w:szCs w:val="22"/>
        </w:rPr>
        <w:lastRenderedPageBreak/>
        <w:t>The role of team science in solving modern scientific problems</w:t>
      </w:r>
    </w:p>
    <w:p w14:paraId="33286D8E" w14:textId="10A6B13F" w:rsidR="000F598E" w:rsidRDefault="00EA15E4" w:rsidP="000F598E">
      <w:pPr>
        <w:rPr>
          <w:rFonts w:ascii="Arial" w:hAnsi="Arial" w:cs="Arial"/>
          <w:sz w:val="22"/>
          <w:szCs w:val="22"/>
        </w:rPr>
      </w:pPr>
      <w:r w:rsidRPr="00902228">
        <w:rPr>
          <w:rFonts w:ascii="Arial" w:hAnsi="Arial" w:cs="Arial"/>
          <w:sz w:val="22"/>
          <w:szCs w:val="22"/>
        </w:rPr>
        <w:t>Team science</w:t>
      </w:r>
      <w:r w:rsidR="00161EEF">
        <w:rPr>
          <w:rFonts w:ascii="Arial" w:hAnsi="Arial" w:cs="Arial"/>
          <w:sz w:val="22"/>
          <w:szCs w:val="22"/>
        </w:rPr>
        <w:t xml:space="preserve"> is a collaborative effort </w:t>
      </w:r>
      <w:r w:rsidR="00794DE8">
        <w:rPr>
          <w:rFonts w:ascii="Arial" w:hAnsi="Arial" w:cs="Arial"/>
          <w:sz w:val="22"/>
          <w:szCs w:val="22"/>
        </w:rPr>
        <w:t>by</w:t>
      </w:r>
      <w:r w:rsidRPr="00902228">
        <w:rPr>
          <w:rFonts w:ascii="Arial" w:hAnsi="Arial" w:cs="Arial"/>
          <w:sz w:val="22"/>
          <w:szCs w:val="22"/>
        </w:rPr>
        <w:t xml:space="preserve"> scientists </w:t>
      </w:r>
      <w:r w:rsidR="004A16F1">
        <w:rPr>
          <w:rFonts w:ascii="Arial" w:hAnsi="Arial" w:cs="Arial"/>
          <w:sz w:val="22"/>
          <w:szCs w:val="22"/>
        </w:rPr>
        <w:t>that join</w:t>
      </w:r>
      <w:r w:rsidR="00161EEF">
        <w:rPr>
          <w:rFonts w:ascii="Arial" w:hAnsi="Arial" w:cs="Arial"/>
          <w:sz w:val="22"/>
          <w:szCs w:val="22"/>
        </w:rPr>
        <w:t xml:space="preserve"> together </w:t>
      </w:r>
      <w:r w:rsidR="00183E9C" w:rsidRPr="00902228">
        <w:rPr>
          <w:rFonts w:ascii="Arial" w:hAnsi="Arial" w:cs="Arial"/>
          <w:sz w:val="22"/>
          <w:szCs w:val="22"/>
        </w:rPr>
        <w:t xml:space="preserve">across multiple disciplines </w:t>
      </w:r>
      <w:r w:rsidR="00161EEF">
        <w:rPr>
          <w:rFonts w:ascii="Arial" w:hAnsi="Arial" w:cs="Arial"/>
          <w:sz w:val="22"/>
          <w:szCs w:val="22"/>
        </w:rPr>
        <w:t>to</w:t>
      </w:r>
      <w:r w:rsidR="00A010C9">
        <w:rPr>
          <w:rFonts w:ascii="Arial" w:hAnsi="Arial" w:cs="Arial"/>
          <w:sz w:val="22"/>
          <w:szCs w:val="22"/>
        </w:rPr>
        <w:t xml:space="preserve"> </w:t>
      </w:r>
      <w:r w:rsidRPr="00902228">
        <w:rPr>
          <w:rFonts w:ascii="Arial" w:hAnsi="Arial" w:cs="Arial"/>
          <w:sz w:val="22"/>
          <w:szCs w:val="22"/>
        </w:rPr>
        <w:t>solve scientific questions</w:t>
      </w:r>
      <w:r w:rsidR="00A52B78">
        <w:rPr>
          <w:rFonts w:ascii="Arial" w:hAnsi="Arial" w:cs="Arial"/>
          <w:sz w:val="22"/>
          <w:szCs w:val="22"/>
        </w:rPr>
        <w:t xml:space="preserve"> (1)</w:t>
      </w:r>
      <w:r w:rsidRPr="00902228">
        <w:rPr>
          <w:rFonts w:ascii="Arial" w:hAnsi="Arial" w:cs="Arial"/>
          <w:sz w:val="22"/>
          <w:szCs w:val="22"/>
        </w:rPr>
        <w:t xml:space="preserve">. </w:t>
      </w:r>
      <w:r w:rsidR="00737E8B">
        <w:rPr>
          <w:rFonts w:ascii="Arial" w:hAnsi="Arial" w:cs="Arial"/>
          <w:sz w:val="22"/>
          <w:szCs w:val="22"/>
        </w:rPr>
        <w:t>While there is still a p</w:t>
      </w:r>
      <w:r w:rsidR="006709CC">
        <w:rPr>
          <w:rFonts w:ascii="Arial" w:hAnsi="Arial" w:cs="Arial"/>
          <w:sz w:val="22"/>
          <w:szCs w:val="22"/>
        </w:rPr>
        <w:t>lace for the traditional single investigator-</w:t>
      </w:r>
      <w:r w:rsidR="00737E8B">
        <w:rPr>
          <w:rFonts w:ascii="Arial" w:hAnsi="Arial" w:cs="Arial"/>
          <w:sz w:val="22"/>
          <w:szCs w:val="22"/>
        </w:rPr>
        <w:t xml:space="preserve">led initiative, </w:t>
      </w:r>
      <w:r w:rsidR="00CB5233">
        <w:rPr>
          <w:rFonts w:ascii="Arial" w:hAnsi="Arial" w:cs="Arial"/>
          <w:sz w:val="22"/>
          <w:szCs w:val="22"/>
        </w:rPr>
        <w:t xml:space="preserve">there is a </w:t>
      </w:r>
      <w:r w:rsidR="00737E8B">
        <w:rPr>
          <w:rFonts w:ascii="Arial" w:hAnsi="Arial" w:cs="Arial"/>
          <w:sz w:val="22"/>
          <w:szCs w:val="22"/>
        </w:rPr>
        <w:t xml:space="preserve">trend toward </w:t>
      </w:r>
      <w:r w:rsidR="003E2280">
        <w:rPr>
          <w:rFonts w:ascii="Arial" w:hAnsi="Arial" w:cs="Arial"/>
          <w:sz w:val="22"/>
          <w:szCs w:val="22"/>
        </w:rPr>
        <w:t xml:space="preserve">such multi-, </w:t>
      </w:r>
      <w:r w:rsidR="00D74F12">
        <w:rPr>
          <w:rFonts w:ascii="Arial" w:hAnsi="Arial" w:cs="Arial"/>
          <w:sz w:val="22"/>
          <w:szCs w:val="22"/>
        </w:rPr>
        <w:t>inter</w:t>
      </w:r>
      <w:r w:rsidR="00D227FA">
        <w:rPr>
          <w:rFonts w:ascii="Arial" w:hAnsi="Arial" w:cs="Arial"/>
          <w:sz w:val="22"/>
          <w:szCs w:val="22"/>
        </w:rPr>
        <w:t>- and trans</w:t>
      </w:r>
      <w:r w:rsidR="00231F6C">
        <w:rPr>
          <w:rFonts w:ascii="Arial" w:hAnsi="Arial" w:cs="Arial"/>
          <w:sz w:val="22"/>
          <w:szCs w:val="22"/>
        </w:rPr>
        <w:t>disciplinary</w:t>
      </w:r>
      <w:r w:rsidR="00737E8B">
        <w:rPr>
          <w:rFonts w:ascii="Arial" w:hAnsi="Arial" w:cs="Arial"/>
          <w:sz w:val="22"/>
          <w:szCs w:val="22"/>
        </w:rPr>
        <w:t xml:space="preserve"> approaches</w:t>
      </w:r>
      <w:r w:rsidR="008C67A7">
        <w:rPr>
          <w:rFonts w:ascii="Arial" w:hAnsi="Arial" w:cs="Arial"/>
          <w:sz w:val="22"/>
          <w:szCs w:val="22"/>
        </w:rPr>
        <w:t xml:space="preserve">. </w:t>
      </w:r>
      <w:r w:rsidR="001E7AA4">
        <w:rPr>
          <w:rFonts w:ascii="Arial" w:hAnsi="Arial" w:cs="Arial"/>
          <w:sz w:val="22"/>
          <w:szCs w:val="22"/>
        </w:rPr>
        <w:t xml:space="preserve">This is largely due to a significant </w:t>
      </w:r>
      <w:r w:rsidR="008C67A7">
        <w:rPr>
          <w:rFonts w:ascii="Arial" w:hAnsi="Arial" w:cs="Arial"/>
          <w:sz w:val="22"/>
          <w:szCs w:val="22"/>
        </w:rPr>
        <w:t xml:space="preserve">increase, particularly in modern biomedical research, </w:t>
      </w:r>
      <w:r w:rsidR="001E7AA4">
        <w:rPr>
          <w:rFonts w:ascii="Arial" w:hAnsi="Arial" w:cs="Arial"/>
          <w:sz w:val="22"/>
          <w:szCs w:val="22"/>
        </w:rPr>
        <w:t xml:space="preserve">in </w:t>
      </w:r>
      <w:r w:rsidR="00C812A6">
        <w:rPr>
          <w:rFonts w:ascii="Arial" w:hAnsi="Arial" w:cs="Arial"/>
          <w:sz w:val="22"/>
          <w:szCs w:val="22"/>
        </w:rPr>
        <w:t>t</w:t>
      </w:r>
      <w:r w:rsidR="000651B3">
        <w:rPr>
          <w:rFonts w:ascii="Arial" w:hAnsi="Arial" w:cs="Arial"/>
          <w:sz w:val="22"/>
          <w:szCs w:val="22"/>
        </w:rPr>
        <w:t xml:space="preserve">he </w:t>
      </w:r>
      <w:r w:rsidR="0032581A">
        <w:rPr>
          <w:rFonts w:ascii="Arial" w:hAnsi="Arial" w:cs="Arial"/>
          <w:sz w:val="22"/>
          <w:szCs w:val="22"/>
        </w:rPr>
        <w:t xml:space="preserve">body of scientific knowledge, the </w:t>
      </w:r>
      <w:r w:rsidR="000651B3">
        <w:rPr>
          <w:rFonts w:ascii="Arial" w:hAnsi="Arial" w:cs="Arial"/>
          <w:sz w:val="22"/>
          <w:szCs w:val="22"/>
        </w:rPr>
        <w:t xml:space="preserve">complexity of research questions and the data </w:t>
      </w:r>
      <w:r w:rsidR="008C67A7">
        <w:rPr>
          <w:rFonts w:ascii="Arial" w:hAnsi="Arial" w:cs="Arial"/>
          <w:sz w:val="22"/>
          <w:szCs w:val="22"/>
        </w:rPr>
        <w:t xml:space="preserve">generated </w:t>
      </w:r>
      <w:r w:rsidR="000651B3">
        <w:rPr>
          <w:rFonts w:ascii="Arial" w:hAnsi="Arial" w:cs="Arial"/>
          <w:sz w:val="22"/>
          <w:szCs w:val="22"/>
        </w:rPr>
        <w:t xml:space="preserve">to </w:t>
      </w:r>
      <w:r w:rsidR="00FE7578">
        <w:rPr>
          <w:rFonts w:ascii="Arial" w:hAnsi="Arial" w:cs="Arial"/>
          <w:sz w:val="22"/>
          <w:szCs w:val="22"/>
        </w:rPr>
        <w:t>address</w:t>
      </w:r>
      <w:r w:rsidR="000651B3">
        <w:rPr>
          <w:rFonts w:ascii="Arial" w:hAnsi="Arial" w:cs="Arial"/>
          <w:sz w:val="22"/>
          <w:szCs w:val="22"/>
        </w:rPr>
        <w:t xml:space="preserve"> them </w:t>
      </w:r>
      <w:r w:rsidR="0068101F">
        <w:rPr>
          <w:rFonts w:ascii="Arial" w:hAnsi="Arial" w:cs="Arial"/>
          <w:sz w:val="22"/>
          <w:szCs w:val="22"/>
        </w:rPr>
        <w:t>(1)</w:t>
      </w:r>
      <w:r w:rsidR="00E57892">
        <w:rPr>
          <w:rFonts w:ascii="Arial" w:hAnsi="Arial" w:cs="Arial"/>
          <w:sz w:val="22"/>
          <w:szCs w:val="22"/>
        </w:rPr>
        <w:t>.</w:t>
      </w:r>
      <w:r w:rsidR="00C812A6">
        <w:rPr>
          <w:rFonts w:ascii="Arial" w:hAnsi="Arial" w:cs="Arial"/>
          <w:sz w:val="22"/>
          <w:szCs w:val="22"/>
        </w:rPr>
        <w:t xml:space="preserve"> </w:t>
      </w:r>
      <w:r w:rsidR="007712BD">
        <w:rPr>
          <w:rFonts w:ascii="Arial" w:hAnsi="Arial" w:cs="Arial"/>
          <w:sz w:val="22"/>
          <w:szCs w:val="22"/>
        </w:rPr>
        <w:t>Further, i</w:t>
      </w:r>
      <w:r w:rsidR="005E6516">
        <w:rPr>
          <w:rFonts w:ascii="Arial" w:hAnsi="Arial" w:cs="Arial"/>
          <w:sz w:val="22"/>
          <w:szCs w:val="22"/>
        </w:rPr>
        <w:t xml:space="preserve">n response to the </w:t>
      </w:r>
      <w:r w:rsidR="001E7AA4">
        <w:rPr>
          <w:rFonts w:ascii="Arial" w:hAnsi="Arial" w:cs="Arial"/>
          <w:sz w:val="22"/>
          <w:szCs w:val="22"/>
        </w:rPr>
        <w:t>growing</w:t>
      </w:r>
      <w:r w:rsidR="00836B1B">
        <w:rPr>
          <w:rFonts w:ascii="Arial" w:hAnsi="Arial" w:cs="Arial"/>
          <w:sz w:val="22"/>
          <w:szCs w:val="22"/>
        </w:rPr>
        <w:t xml:space="preserve"> complexity of the scientific landscape, </w:t>
      </w:r>
      <w:r w:rsidR="000651B3" w:rsidRPr="00F47228">
        <w:rPr>
          <w:rFonts w:ascii="Arial" w:hAnsi="Arial" w:cs="Arial"/>
          <w:sz w:val="22"/>
          <w:szCs w:val="22"/>
        </w:rPr>
        <w:t>individual labs</w:t>
      </w:r>
      <w:r w:rsidR="00AC25FE">
        <w:rPr>
          <w:rFonts w:ascii="Arial" w:hAnsi="Arial" w:cs="Arial"/>
          <w:sz w:val="22"/>
          <w:szCs w:val="22"/>
        </w:rPr>
        <w:t xml:space="preserve"> </w:t>
      </w:r>
      <w:r w:rsidR="008C5EC4">
        <w:rPr>
          <w:rFonts w:ascii="Arial" w:hAnsi="Arial" w:cs="Arial"/>
          <w:sz w:val="22"/>
          <w:szCs w:val="22"/>
        </w:rPr>
        <w:t xml:space="preserve">have </w:t>
      </w:r>
      <w:r w:rsidR="00AC25FE">
        <w:rPr>
          <w:rFonts w:ascii="Arial" w:hAnsi="Arial" w:cs="Arial"/>
          <w:sz w:val="22"/>
          <w:szCs w:val="22"/>
        </w:rPr>
        <w:t>become more specialized</w:t>
      </w:r>
      <w:r w:rsidR="00F47228" w:rsidRPr="00F47228">
        <w:rPr>
          <w:rFonts w:ascii="Arial" w:hAnsi="Arial" w:cs="Arial"/>
          <w:sz w:val="22"/>
          <w:szCs w:val="22"/>
        </w:rPr>
        <w:t>.</w:t>
      </w:r>
      <w:r w:rsidR="00F47228">
        <w:rPr>
          <w:rFonts w:ascii="Arial" w:hAnsi="Arial" w:cs="Arial"/>
          <w:sz w:val="22"/>
          <w:szCs w:val="22"/>
        </w:rPr>
        <w:t xml:space="preserve"> </w:t>
      </w:r>
      <w:r w:rsidR="00C94700">
        <w:rPr>
          <w:rFonts w:ascii="Arial" w:hAnsi="Arial" w:cs="Arial"/>
          <w:sz w:val="22"/>
          <w:szCs w:val="22"/>
        </w:rPr>
        <w:t xml:space="preserve">Thus, today, </w:t>
      </w:r>
      <w:r w:rsidR="004C6EE8">
        <w:rPr>
          <w:rFonts w:ascii="Arial" w:hAnsi="Arial" w:cs="Arial"/>
          <w:sz w:val="22"/>
          <w:szCs w:val="22"/>
        </w:rPr>
        <w:t>addressing</w:t>
      </w:r>
      <w:r w:rsidR="00EA6F48">
        <w:rPr>
          <w:rFonts w:ascii="Arial" w:hAnsi="Arial" w:cs="Arial"/>
          <w:sz w:val="22"/>
          <w:szCs w:val="22"/>
        </w:rPr>
        <w:t xml:space="preserve"> scientific problems often requires extensive knowledge </w:t>
      </w:r>
      <w:r w:rsidR="00BC1088">
        <w:rPr>
          <w:rFonts w:ascii="Arial" w:hAnsi="Arial" w:cs="Arial"/>
          <w:sz w:val="22"/>
          <w:szCs w:val="22"/>
        </w:rPr>
        <w:t>across a range of</w:t>
      </w:r>
      <w:r w:rsidR="00EA6F48">
        <w:rPr>
          <w:rFonts w:ascii="Arial" w:hAnsi="Arial" w:cs="Arial"/>
          <w:sz w:val="22"/>
          <w:szCs w:val="22"/>
        </w:rPr>
        <w:t xml:space="preserve"> perspectives </w:t>
      </w:r>
      <w:r w:rsidR="006B5519">
        <w:rPr>
          <w:rFonts w:ascii="Arial" w:hAnsi="Arial" w:cs="Arial"/>
          <w:sz w:val="22"/>
          <w:szCs w:val="22"/>
        </w:rPr>
        <w:t xml:space="preserve">to </w:t>
      </w:r>
      <w:r w:rsidR="009E50C2">
        <w:rPr>
          <w:rFonts w:ascii="Arial" w:hAnsi="Arial" w:cs="Arial"/>
          <w:sz w:val="22"/>
          <w:szCs w:val="22"/>
        </w:rPr>
        <w:t>fully comprehend</w:t>
      </w:r>
      <w:r w:rsidR="00C94700">
        <w:rPr>
          <w:rFonts w:ascii="Arial" w:hAnsi="Arial" w:cs="Arial"/>
          <w:sz w:val="22"/>
          <w:szCs w:val="22"/>
        </w:rPr>
        <w:t xml:space="preserve"> </w:t>
      </w:r>
      <w:r w:rsidR="00996736">
        <w:rPr>
          <w:rFonts w:ascii="Arial" w:hAnsi="Arial" w:cs="Arial"/>
          <w:sz w:val="22"/>
          <w:szCs w:val="22"/>
        </w:rPr>
        <w:t xml:space="preserve">the </w:t>
      </w:r>
      <w:r w:rsidR="004D56B8">
        <w:rPr>
          <w:rFonts w:ascii="Arial" w:hAnsi="Arial" w:cs="Arial"/>
          <w:sz w:val="22"/>
          <w:szCs w:val="22"/>
        </w:rPr>
        <w:t>salient issues</w:t>
      </w:r>
      <w:r w:rsidR="00C94700">
        <w:rPr>
          <w:rFonts w:ascii="Arial" w:hAnsi="Arial" w:cs="Arial"/>
          <w:sz w:val="22"/>
          <w:szCs w:val="22"/>
        </w:rPr>
        <w:t xml:space="preserve">. </w:t>
      </w:r>
      <w:r w:rsidR="000F598E">
        <w:rPr>
          <w:rFonts w:ascii="Arial" w:hAnsi="Arial" w:cs="Arial"/>
          <w:sz w:val="22"/>
          <w:szCs w:val="22"/>
        </w:rPr>
        <w:t>Further, l</w:t>
      </w:r>
      <w:r w:rsidR="003D22D2">
        <w:rPr>
          <w:rFonts w:ascii="Arial" w:hAnsi="Arial" w:cs="Arial"/>
          <w:sz w:val="22"/>
          <w:szCs w:val="22"/>
        </w:rPr>
        <w:t>everaging expertise outside the scientist’</w:t>
      </w:r>
      <w:r w:rsidR="009D428A">
        <w:rPr>
          <w:rFonts w:ascii="Arial" w:hAnsi="Arial" w:cs="Arial"/>
          <w:sz w:val="22"/>
          <w:szCs w:val="22"/>
        </w:rPr>
        <w:t xml:space="preserve">s lab and across multiple labs or disciplines </w:t>
      </w:r>
      <w:r w:rsidR="00367D73">
        <w:rPr>
          <w:rFonts w:ascii="Arial" w:hAnsi="Arial" w:cs="Arial"/>
          <w:sz w:val="22"/>
          <w:szCs w:val="22"/>
        </w:rPr>
        <w:t xml:space="preserve">in a deeply collaborative manner </w:t>
      </w:r>
      <w:r w:rsidR="009D428A">
        <w:rPr>
          <w:rFonts w:ascii="Arial" w:hAnsi="Arial" w:cs="Arial"/>
          <w:sz w:val="22"/>
          <w:szCs w:val="22"/>
        </w:rPr>
        <w:t>can prove</w:t>
      </w:r>
      <w:r w:rsidR="003D22D2">
        <w:rPr>
          <w:rFonts w:ascii="Arial" w:hAnsi="Arial" w:cs="Arial"/>
          <w:sz w:val="22"/>
          <w:szCs w:val="22"/>
        </w:rPr>
        <w:t xml:space="preserve"> efficient</w:t>
      </w:r>
      <w:r w:rsidR="00FE7578">
        <w:rPr>
          <w:rFonts w:ascii="Arial" w:hAnsi="Arial" w:cs="Arial"/>
          <w:sz w:val="22"/>
          <w:szCs w:val="22"/>
        </w:rPr>
        <w:t xml:space="preserve"> and advantageous</w:t>
      </w:r>
      <w:r w:rsidR="003D22D2">
        <w:rPr>
          <w:rFonts w:ascii="Arial" w:hAnsi="Arial" w:cs="Arial"/>
          <w:sz w:val="22"/>
          <w:szCs w:val="22"/>
        </w:rPr>
        <w:t>.</w:t>
      </w:r>
      <w:r w:rsidR="00C94700">
        <w:rPr>
          <w:rFonts w:ascii="Arial" w:hAnsi="Arial" w:cs="Arial"/>
          <w:sz w:val="22"/>
          <w:szCs w:val="22"/>
        </w:rPr>
        <w:t xml:space="preserve"> </w:t>
      </w:r>
    </w:p>
    <w:p w14:paraId="30FFA5D2" w14:textId="77777777" w:rsidR="000F598E" w:rsidRDefault="000F598E" w:rsidP="000F598E">
      <w:pPr>
        <w:rPr>
          <w:rFonts w:ascii="Arial" w:hAnsi="Arial" w:cs="Arial"/>
          <w:sz w:val="22"/>
          <w:szCs w:val="22"/>
        </w:rPr>
      </w:pPr>
    </w:p>
    <w:p w14:paraId="2224C981" w14:textId="65EA8298" w:rsidR="009D650B" w:rsidRDefault="000666CF" w:rsidP="00F44C83">
      <w:pPr>
        <w:rPr>
          <w:rFonts w:ascii="Arial" w:hAnsi="Arial" w:cs="Arial"/>
          <w:sz w:val="22"/>
          <w:szCs w:val="22"/>
        </w:rPr>
      </w:pPr>
      <w:r>
        <w:rPr>
          <w:rFonts w:ascii="Arial" w:hAnsi="Arial" w:cs="Arial"/>
          <w:sz w:val="22"/>
          <w:szCs w:val="22"/>
        </w:rPr>
        <w:t xml:space="preserve">An example of a study where such team-building may be beneficial includes one </w:t>
      </w:r>
      <w:r w:rsidR="00B107B7">
        <w:rPr>
          <w:rFonts w:ascii="Arial" w:hAnsi="Arial" w:cs="Arial"/>
          <w:sz w:val="22"/>
          <w:szCs w:val="22"/>
        </w:rPr>
        <w:t>initiated</w:t>
      </w:r>
      <w:r>
        <w:rPr>
          <w:rFonts w:ascii="Arial" w:hAnsi="Arial" w:cs="Arial"/>
          <w:sz w:val="22"/>
          <w:szCs w:val="22"/>
        </w:rPr>
        <w:t xml:space="preserve"> by a</w:t>
      </w:r>
      <w:r w:rsidR="0063599D">
        <w:rPr>
          <w:rFonts w:ascii="Arial" w:hAnsi="Arial" w:cs="Arial"/>
          <w:sz w:val="22"/>
          <w:szCs w:val="22"/>
        </w:rPr>
        <w:t xml:space="preserve"> clinical endocrinologist</w:t>
      </w:r>
      <w:r w:rsidR="000C1703">
        <w:rPr>
          <w:rFonts w:ascii="Arial" w:hAnsi="Arial" w:cs="Arial"/>
          <w:sz w:val="22"/>
          <w:szCs w:val="22"/>
        </w:rPr>
        <w:t xml:space="preserve"> interested in </w:t>
      </w:r>
      <w:r>
        <w:rPr>
          <w:rFonts w:ascii="Arial" w:hAnsi="Arial" w:cs="Arial"/>
          <w:sz w:val="22"/>
          <w:szCs w:val="22"/>
        </w:rPr>
        <w:t>determining</w:t>
      </w:r>
      <w:r w:rsidR="000C1703">
        <w:rPr>
          <w:rFonts w:ascii="Arial" w:hAnsi="Arial" w:cs="Arial"/>
          <w:sz w:val="22"/>
          <w:szCs w:val="22"/>
        </w:rPr>
        <w:t xml:space="preserve"> whether </w:t>
      </w:r>
      <w:r w:rsidR="00C94700">
        <w:rPr>
          <w:rFonts w:ascii="Arial" w:hAnsi="Arial" w:cs="Arial"/>
          <w:sz w:val="22"/>
          <w:szCs w:val="22"/>
        </w:rPr>
        <w:t>data from</w:t>
      </w:r>
      <w:r w:rsidR="000C1703">
        <w:rPr>
          <w:rFonts w:ascii="Arial" w:hAnsi="Arial" w:cs="Arial"/>
          <w:sz w:val="22"/>
          <w:szCs w:val="22"/>
        </w:rPr>
        <w:t xml:space="preserve"> continuous glucose monitoring </w:t>
      </w:r>
      <w:r w:rsidR="00C94700">
        <w:rPr>
          <w:rFonts w:ascii="Arial" w:hAnsi="Arial" w:cs="Arial"/>
          <w:sz w:val="22"/>
          <w:szCs w:val="22"/>
        </w:rPr>
        <w:t xml:space="preserve">devices </w:t>
      </w:r>
      <w:r w:rsidR="000C1703">
        <w:rPr>
          <w:rFonts w:ascii="Arial" w:hAnsi="Arial" w:cs="Arial"/>
          <w:sz w:val="22"/>
          <w:szCs w:val="22"/>
        </w:rPr>
        <w:t xml:space="preserve">can </w:t>
      </w:r>
      <w:r w:rsidR="00487B50">
        <w:rPr>
          <w:rFonts w:ascii="Arial" w:hAnsi="Arial" w:cs="Arial"/>
          <w:sz w:val="22"/>
          <w:szCs w:val="22"/>
        </w:rPr>
        <w:t>inform</w:t>
      </w:r>
      <w:r w:rsidR="004E17A8">
        <w:rPr>
          <w:rFonts w:ascii="Arial" w:hAnsi="Arial" w:cs="Arial"/>
          <w:sz w:val="22"/>
          <w:szCs w:val="22"/>
        </w:rPr>
        <w:t xml:space="preserve"> behavior to </w:t>
      </w:r>
      <w:r w:rsidR="005C2147">
        <w:rPr>
          <w:rFonts w:ascii="Arial" w:hAnsi="Arial" w:cs="Arial"/>
          <w:sz w:val="22"/>
          <w:szCs w:val="22"/>
        </w:rPr>
        <w:t xml:space="preserve">reduce </w:t>
      </w:r>
      <w:r w:rsidR="004E17A8">
        <w:rPr>
          <w:rFonts w:ascii="Arial" w:hAnsi="Arial" w:cs="Arial"/>
          <w:sz w:val="22"/>
          <w:szCs w:val="22"/>
        </w:rPr>
        <w:t>postprandial hyperglycemic events</w:t>
      </w:r>
      <w:r w:rsidR="00295682">
        <w:rPr>
          <w:rFonts w:ascii="Arial" w:hAnsi="Arial" w:cs="Arial"/>
          <w:sz w:val="22"/>
          <w:szCs w:val="22"/>
        </w:rPr>
        <w:t xml:space="preserve"> </w:t>
      </w:r>
      <w:r w:rsidR="003E1421">
        <w:rPr>
          <w:rFonts w:ascii="Arial" w:hAnsi="Arial" w:cs="Arial"/>
          <w:sz w:val="22"/>
          <w:szCs w:val="22"/>
        </w:rPr>
        <w:t>among diabetics</w:t>
      </w:r>
      <w:r>
        <w:rPr>
          <w:rFonts w:ascii="Arial" w:hAnsi="Arial" w:cs="Arial"/>
          <w:sz w:val="22"/>
          <w:szCs w:val="22"/>
        </w:rPr>
        <w:t>. The investigator</w:t>
      </w:r>
      <w:r w:rsidR="003E1421">
        <w:rPr>
          <w:rFonts w:ascii="Arial" w:hAnsi="Arial" w:cs="Arial"/>
          <w:sz w:val="22"/>
          <w:szCs w:val="22"/>
        </w:rPr>
        <w:t xml:space="preserve"> </w:t>
      </w:r>
      <w:r w:rsidR="000C1703">
        <w:rPr>
          <w:rFonts w:ascii="Arial" w:hAnsi="Arial" w:cs="Arial"/>
          <w:sz w:val="22"/>
          <w:szCs w:val="22"/>
        </w:rPr>
        <w:t xml:space="preserve">may </w:t>
      </w:r>
      <w:r w:rsidR="0063599D">
        <w:rPr>
          <w:rFonts w:ascii="Arial" w:hAnsi="Arial" w:cs="Arial"/>
          <w:sz w:val="22"/>
          <w:szCs w:val="22"/>
        </w:rPr>
        <w:t xml:space="preserve">consider </w:t>
      </w:r>
      <w:r w:rsidR="00C94700">
        <w:rPr>
          <w:rFonts w:ascii="Arial" w:hAnsi="Arial" w:cs="Arial"/>
          <w:sz w:val="22"/>
          <w:szCs w:val="22"/>
        </w:rPr>
        <w:t xml:space="preserve">a study team that </w:t>
      </w:r>
      <w:r w:rsidR="004E17A8">
        <w:rPr>
          <w:rFonts w:ascii="Arial" w:hAnsi="Arial" w:cs="Arial"/>
          <w:sz w:val="22"/>
          <w:szCs w:val="22"/>
        </w:rPr>
        <w:t xml:space="preserve">additionally </w:t>
      </w:r>
      <w:r w:rsidR="0063599D">
        <w:rPr>
          <w:rFonts w:ascii="Arial" w:hAnsi="Arial" w:cs="Arial"/>
          <w:sz w:val="22"/>
          <w:szCs w:val="22"/>
        </w:rPr>
        <w:t>incl</w:t>
      </w:r>
      <w:r w:rsidR="00C94700">
        <w:rPr>
          <w:rFonts w:ascii="Arial" w:hAnsi="Arial" w:cs="Arial"/>
          <w:sz w:val="22"/>
          <w:szCs w:val="22"/>
        </w:rPr>
        <w:t>udes</w:t>
      </w:r>
      <w:r w:rsidR="0063599D">
        <w:rPr>
          <w:rFonts w:ascii="Arial" w:hAnsi="Arial" w:cs="Arial"/>
          <w:sz w:val="22"/>
          <w:szCs w:val="22"/>
        </w:rPr>
        <w:t xml:space="preserve"> </w:t>
      </w:r>
      <w:r w:rsidR="003F0AA4">
        <w:rPr>
          <w:rFonts w:ascii="Arial" w:hAnsi="Arial" w:cs="Arial"/>
          <w:sz w:val="22"/>
          <w:szCs w:val="22"/>
        </w:rPr>
        <w:t>a biomedical engineer with knowledge of such devices</w:t>
      </w:r>
      <w:r w:rsidR="003D22D2">
        <w:rPr>
          <w:rFonts w:ascii="Arial" w:hAnsi="Arial" w:cs="Arial"/>
          <w:sz w:val="22"/>
          <w:szCs w:val="22"/>
        </w:rPr>
        <w:t xml:space="preserve"> and the type of data generated</w:t>
      </w:r>
      <w:r w:rsidR="003F0AA4">
        <w:rPr>
          <w:rFonts w:ascii="Arial" w:hAnsi="Arial" w:cs="Arial"/>
          <w:sz w:val="22"/>
          <w:szCs w:val="22"/>
        </w:rPr>
        <w:t xml:space="preserve">, </w:t>
      </w:r>
      <w:r w:rsidR="0063599D">
        <w:rPr>
          <w:rFonts w:ascii="Arial" w:hAnsi="Arial" w:cs="Arial"/>
          <w:sz w:val="22"/>
          <w:szCs w:val="22"/>
        </w:rPr>
        <w:t xml:space="preserve">an informatics expert who </w:t>
      </w:r>
      <w:r w:rsidR="003D22D2">
        <w:rPr>
          <w:rFonts w:ascii="Arial" w:hAnsi="Arial" w:cs="Arial"/>
          <w:sz w:val="22"/>
          <w:szCs w:val="22"/>
        </w:rPr>
        <w:t xml:space="preserve">can extract relevant signal from the continuous measurements, </w:t>
      </w:r>
      <w:r w:rsidR="0063599D">
        <w:rPr>
          <w:rFonts w:ascii="Arial" w:hAnsi="Arial" w:cs="Arial"/>
          <w:sz w:val="22"/>
          <w:szCs w:val="22"/>
        </w:rPr>
        <w:t>and a statistician with expertise in predictive modeling</w:t>
      </w:r>
      <w:r w:rsidR="003F0AA4">
        <w:rPr>
          <w:rFonts w:ascii="Arial" w:hAnsi="Arial" w:cs="Arial"/>
          <w:sz w:val="22"/>
          <w:szCs w:val="22"/>
        </w:rPr>
        <w:t xml:space="preserve"> who can also help design the study</w:t>
      </w:r>
      <w:r w:rsidR="0063599D">
        <w:rPr>
          <w:rFonts w:ascii="Arial" w:hAnsi="Arial" w:cs="Arial"/>
          <w:sz w:val="22"/>
          <w:szCs w:val="22"/>
        </w:rPr>
        <w:t>. Another example includes</w:t>
      </w:r>
      <w:r w:rsidR="009B5D6A">
        <w:rPr>
          <w:rFonts w:ascii="Arial" w:hAnsi="Arial" w:cs="Arial"/>
          <w:sz w:val="22"/>
          <w:szCs w:val="22"/>
        </w:rPr>
        <w:t xml:space="preserve"> </w:t>
      </w:r>
      <w:r>
        <w:rPr>
          <w:rFonts w:ascii="Arial" w:hAnsi="Arial" w:cs="Arial"/>
          <w:sz w:val="22"/>
          <w:szCs w:val="22"/>
        </w:rPr>
        <w:t>a study of</w:t>
      </w:r>
      <w:r w:rsidR="009B5D6A">
        <w:rPr>
          <w:rFonts w:ascii="Arial" w:hAnsi="Arial" w:cs="Arial"/>
          <w:sz w:val="22"/>
          <w:szCs w:val="22"/>
        </w:rPr>
        <w:t xml:space="preserve"> the role of microbes in </w:t>
      </w:r>
      <w:r w:rsidR="00CF5FF3">
        <w:rPr>
          <w:rFonts w:ascii="Arial" w:hAnsi="Arial" w:cs="Arial"/>
          <w:sz w:val="22"/>
          <w:szCs w:val="22"/>
        </w:rPr>
        <w:t>maintaining a healthy skin barrier</w:t>
      </w:r>
      <w:r w:rsidR="0063599D">
        <w:rPr>
          <w:rFonts w:ascii="Arial" w:hAnsi="Arial" w:cs="Arial"/>
          <w:sz w:val="22"/>
          <w:szCs w:val="22"/>
        </w:rPr>
        <w:t>, which</w:t>
      </w:r>
      <w:r w:rsidR="00D65A61">
        <w:rPr>
          <w:rFonts w:ascii="Arial" w:hAnsi="Arial" w:cs="Arial"/>
          <w:sz w:val="22"/>
          <w:szCs w:val="22"/>
        </w:rPr>
        <w:t xml:space="preserve"> </w:t>
      </w:r>
      <w:r w:rsidR="004A61AA">
        <w:rPr>
          <w:rFonts w:ascii="Arial" w:hAnsi="Arial" w:cs="Arial"/>
          <w:sz w:val="22"/>
          <w:szCs w:val="22"/>
        </w:rPr>
        <w:t>may</w:t>
      </w:r>
      <w:r w:rsidR="00D65A61">
        <w:rPr>
          <w:rFonts w:ascii="Arial" w:hAnsi="Arial" w:cs="Arial"/>
          <w:sz w:val="22"/>
          <w:szCs w:val="22"/>
        </w:rPr>
        <w:t xml:space="preserve"> require a team with expertise in </w:t>
      </w:r>
      <w:r w:rsidR="0063599D">
        <w:rPr>
          <w:rFonts w:ascii="Arial" w:hAnsi="Arial" w:cs="Arial"/>
          <w:sz w:val="22"/>
          <w:szCs w:val="22"/>
        </w:rPr>
        <w:t xml:space="preserve">clinical dermatology, </w:t>
      </w:r>
      <w:r w:rsidR="00D65A61">
        <w:rPr>
          <w:rFonts w:ascii="Arial" w:hAnsi="Arial" w:cs="Arial"/>
          <w:sz w:val="22"/>
          <w:szCs w:val="22"/>
        </w:rPr>
        <w:t xml:space="preserve">statistics, research informatics, </w:t>
      </w:r>
      <w:r w:rsidR="003E0FCF">
        <w:rPr>
          <w:rFonts w:ascii="Arial" w:hAnsi="Arial" w:cs="Arial"/>
          <w:sz w:val="22"/>
          <w:szCs w:val="22"/>
        </w:rPr>
        <w:t xml:space="preserve">systems biology, </w:t>
      </w:r>
      <w:r w:rsidR="00D65A61">
        <w:rPr>
          <w:rFonts w:ascii="Arial" w:hAnsi="Arial" w:cs="Arial"/>
          <w:sz w:val="22"/>
          <w:szCs w:val="22"/>
        </w:rPr>
        <w:t xml:space="preserve">molecular biology, </w:t>
      </w:r>
      <w:r w:rsidR="0063599D">
        <w:rPr>
          <w:rFonts w:ascii="Arial" w:hAnsi="Arial" w:cs="Arial"/>
          <w:sz w:val="22"/>
          <w:szCs w:val="22"/>
        </w:rPr>
        <w:t xml:space="preserve">and </w:t>
      </w:r>
      <w:r w:rsidR="00D65A61">
        <w:rPr>
          <w:rFonts w:ascii="Arial" w:hAnsi="Arial" w:cs="Arial"/>
          <w:sz w:val="22"/>
          <w:szCs w:val="22"/>
        </w:rPr>
        <w:t xml:space="preserve">genomics, as Dr. </w:t>
      </w:r>
      <w:r w:rsidR="00372AC0">
        <w:rPr>
          <w:rFonts w:ascii="Arial" w:hAnsi="Arial" w:cs="Arial"/>
          <w:sz w:val="22"/>
          <w:szCs w:val="22"/>
        </w:rPr>
        <w:t xml:space="preserve">Julie </w:t>
      </w:r>
      <w:r w:rsidR="00D65A61">
        <w:rPr>
          <w:rFonts w:ascii="Arial" w:hAnsi="Arial" w:cs="Arial"/>
          <w:sz w:val="22"/>
          <w:szCs w:val="22"/>
        </w:rPr>
        <w:t>Segre from the National Human Genome Research Institute assembled herself when addressing such questions</w:t>
      </w:r>
      <w:r w:rsidR="0068101F">
        <w:rPr>
          <w:rFonts w:ascii="Arial" w:hAnsi="Arial" w:cs="Arial"/>
          <w:sz w:val="22"/>
          <w:szCs w:val="22"/>
        </w:rPr>
        <w:t xml:space="preserve"> (2)</w:t>
      </w:r>
      <w:r w:rsidR="00E57892">
        <w:rPr>
          <w:rFonts w:ascii="Arial" w:hAnsi="Arial" w:cs="Arial"/>
          <w:sz w:val="22"/>
          <w:szCs w:val="22"/>
        </w:rPr>
        <w:t>.</w:t>
      </w:r>
      <w:r w:rsidR="00E57892" w:rsidRPr="00E57892">
        <w:rPr>
          <w:rFonts w:ascii="Arial" w:hAnsi="Arial" w:cs="Arial"/>
          <w:sz w:val="22"/>
          <w:szCs w:val="22"/>
          <w:vertAlign w:val="superscript"/>
        </w:rPr>
        <w:t xml:space="preserve"> </w:t>
      </w:r>
      <w:r w:rsidR="00E57892">
        <w:rPr>
          <w:rFonts w:ascii="Arial" w:hAnsi="Arial" w:cs="Arial"/>
          <w:sz w:val="22"/>
          <w:szCs w:val="22"/>
        </w:rPr>
        <w:t xml:space="preserve"> </w:t>
      </w:r>
      <w:r w:rsidR="003E0FCF">
        <w:rPr>
          <w:rFonts w:ascii="Arial" w:hAnsi="Arial" w:cs="Arial"/>
          <w:sz w:val="22"/>
          <w:szCs w:val="22"/>
        </w:rPr>
        <w:t xml:space="preserve"> </w:t>
      </w:r>
      <w:r w:rsidR="00EA15E4" w:rsidRPr="00902228">
        <w:rPr>
          <w:rFonts w:ascii="Arial" w:hAnsi="Arial" w:cs="Arial"/>
          <w:sz w:val="22"/>
          <w:szCs w:val="22"/>
        </w:rPr>
        <w:t xml:space="preserve">I am involved as a </w:t>
      </w:r>
      <w:r w:rsidR="003E39D1" w:rsidRPr="00902228">
        <w:rPr>
          <w:rFonts w:ascii="Arial" w:hAnsi="Arial" w:cs="Arial"/>
          <w:sz w:val="22"/>
          <w:szCs w:val="22"/>
        </w:rPr>
        <w:t xml:space="preserve">data scientist </w:t>
      </w:r>
      <w:r w:rsidR="00EA15E4" w:rsidRPr="00902228">
        <w:rPr>
          <w:rFonts w:ascii="Arial" w:hAnsi="Arial" w:cs="Arial"/>
          <w:sz w:val="22"/>
          <w:szCs w:val="22"/>
        </w:rPr>
        <w:t xml:space="preserve">in a randomized clinical trial of obese children to evaluate whether a </w:t>
      </w:r>
      <w:r w:rsidR="003F0AA4">
        <w:rPr>
          <w:rFonts w:ascii="Arial" w:hAnsi="Arial" w:cs="Arial"/>
          <w:sz w:val="22"/>
          <w:szCs w:val="22"/>
        </w:rPr>
        <w:t>new</w:t>
      </w:r>
      <w:r w:rsidR="00EA15E4" w:rsidRPr="00902228">
        <w:rPr>
          <w:rFonts w:ascii="Arial" w:hAnsi="Arial" w:cs="Arial"/>
          <w:sz w:val="22"/>
          <w:szCs w:val="22"/>
        </w:rPr>
        <w:t xml:space="preserve"> intervention </w:t>
      </w:r>
      <w:r w:rsidR="004E17A8">
        <w:rPr>
          <w:rFonts w:ascii="Arial" w:hAnsi="Arial" w:cs="Arial"/>
          <w:sz w:val="22"/>
          <w:szCs w:val="22"/>
        </w:rPr>
        <w:t>can reduce</w:t>
      </w:r>
      <w:r w:rsidR="00EA15E4" w:rsidRPr="00902228">
        <w:rPr>
          <w:rFonts w:ascii="Arial" w:hAnsi="Arial" w:cs="Arial"/>
          <w:sz w:val="22"/>
          <w:szCs w:val="22"/>
        </w:rPr>
        <w:t xml:space="preserve"> obesity.  One goal is to assess the role of physical activity – measured using accelerometers -- in reducing obesity.  The accelerometers generate over 180 million data points per person, and analyses </w:t>
      </w:r>
      <w:r w:rsidR="007E5F3E">
        <w:rPr>
          <w:rFonts w:ascii="Arial" w:hAnsi="Arial" w:cs="Arial"/>
          <w:sz w:val="22"/>
          <w:szCs w:val="22"/>
        </w:rPr>
        <w:t xml:space="preserve">involving such data </w:t>
      </w:r>
      <w:r w:rsidR="00EA15E4" w:rsidRPr="00902228">
        <w:rPr>
          <w:rFonts w:ascii="Arial" w:hAnsi="Arial" w:cs="Arial"/>
          <w:sz w:val="22"/>
          <w:szCs w:val="22"/>
        </w:rPr>
        <w:t xml:space="preserve">are not trivial. </w:t>
      </w:r>
      <w:r w:rsidR="00777F51">
        <w:rPr>
          <w:rFonts w:ascii="Arial" w:hAnsi="Arial" w:cs="Arial"/>
          <w:sz w:val="22"/>
          <w:szCs w:val="22"/>
        </w:rPr>
        <w:t>Our team includes</w:t>
      </w:r>
      <w:r w:rsidR="00BD414B">
        <w:rPr>
          <w:rFonts w:ascii="Arial" w:hAnsi="Arial" w:cs="Arial"/>
          <w:sz w:val="22"/>
          <w:szCs w:val="22"/>
        </w:rPr>
        <w:t xml:space="preserve"> </w:t>
      </w:r>
      <w:r w:rsidR="00EA15E4" w:rsidRPr="00902228">
        <w:rPr>
          <w:rFonts w:ascii="Arial" w:hAnsi="Arial" w:cs="Arial"/>
          <w:sz w:val="22"/>
          <w:szCs w:val="22"/>
        </w:rPr>
        <w:t xml:space="preserve">experts in preventive medicine, sleep medicine, </w:t>
      </w:r>
      <w:r w:rsidR="006A1FE2">
        <w:rPr>
          <w:rFonts w:ascii="Arial" w:hAnsi="Arial" w:cs="Arial"/>
          <w:sz w:val="22"/>
          <w:szCs w:val="22"/>
        </w:rPr>
        <w:t xml:space="preserve">and </w:t>
      </w:r>
      <w:r w:rsidR="00EA15E4" w:rsidRPr="00902228">
        <w:rPr>
          <w:rFonts w:ascii="Arial" w:hAnsi="Arial" w:cs="Arial"/>
          <w:sz w:val="22"/>
          <w:szCs w:val="22"/>
        </w:rPr>
        <w:t xml:space="preserve">exercise physiology, </w:t>
      </w:r>
      <w:r w:rsidR="00BD414B">
        <w:rPr>
          <w:rFonts w:ascii="Arial" w:hAnsi="Arial" w:cs="Arial"/>
          <w:sz w:val="22"/>
          <w:szCs w:val="22"/>
        </w:rPr>
        <w:t>as well as</w:t>
      </w:r>
      <w:r w:rsidR="00122EB7">
        <w:rPr>
          <w:rFonts w:ascii="Arial" w:hAnsi="Arial" w:cs="Arial"/>
          <w:sz w:val="22"/>
          <w:szCs w:val="22"/>
        </w:rPr>
        <w:t xml:space="preserve"> </w:t>
      </w:r>
      <w:r w:rsidR="006A1FE2">
        <w:rPr>
          <w:rFonts w:ascii="Arial" w:hAnsi="Arial" w:cs="Arial"/>
          <w:sz w:val="22"/>
          <w:szCs w:val="22"/>
        </w:rPr>
        <w:t>data scientists</w:t>
      </w:r>
      <w:r w:rsidR="00122EB7">
        <w:rPr>
          <w:rFonts w:ascii="Arial" w:hAnsi="Arial" w:cs="Arial"/>
          <w:sz w:val="22"/>
          <w:szCs w:val="22"/>
        </w:rPr>
        <w:t xml:space="preserve"> with expertise in </w:t>
      </w:r>
      <w:r w:rsidR="00EA15E4" w:rsidRPr="00902228">
        <w:rPr>
          <w:rFonts w:ascii="Arial" w:hAnsi="Arial" w:cs="Arial"/>
          <w:sz w:val="22"/>
          <w:szCs w:val="22"/>
        </w:rPr>
        <w:t xml:space="preserve">software engineering, clinical informatics, distributive computing, and biostatistics. </w:t>
      </w:r>
      <w:r w:rsidR="00505A79">
        <w:rPr>
          <w:rFonts w:ascii="Arial" w:hAnsi="Arial" w:cs="Arial"/>
          <w:sz w:val="22"/>
          <w:szCs w:val="22"/>
        </w:rPr>
        <w:t xml:space="preserve">Such teams </w:t>
      </w:r>
      <w:r>
        <w:rPr>
          <w:rFonts w:ascii="Arial" w:hAnsi="Arial" w:cs="Arial"/>
          <w:sz w:val="22"/>
          <w:szCs w:val="22"/>
        </w:rPr>
        <w:t>have proven to be</w:t>
      </w:r>
      <w:r w:rsidR="00505A79">
        <w:rPr>
          <w:rFonts w:ascii="Arial" w:hAnsi="Arial" w:cs="Arial"/>
          <w:sz w:val="22"/>
          <w:szCs w:val="22"/>
        </w:rPr>
        <w:t xml:space="preserve"> essential to addressing modern scientific problems.</w:t>
      </w:r>
    </w:p>
    <w:p w14:paraId="251F752F" w14:textId="77777777" w:rsidR="009D650B" w:rsidRDefault="009D650B" w:rsidP="003D22D2">
      <w:pPr>
        <w:rPr>
          <w:rFonts w:ascii="Arial" w:hAnsi="Arial" w:cs="Arial"/>
          <w:sz w:val="22"/>
          <w:szCs w:val="22"/>
        </w:rPr>
      </w:pPr>
    </w:p>
    <w:p w14:paraId="37524352" w14:textId="195D60B8" w:rsidR="00EA15E4" w:rsidRDefault="00894F7B" w:rsidP="00A83149">
      <w:pPr>
        <w:rPr>
          <w:rFonts w:ascii="Arial" w:hAnsi="Arial" w:cs="Arial"/>
          <w:sz w:val="22"/>
          <w:szCs w:val="22"/>
        </w:rPr>
      </w:pPr>
      <w:r>
        <w:rPr>
          <w:rFonts w:ascii="Arial" w:hAnsi="Arial" w:cs="Arial"/>
          <w:sz w:val="22"/>
          <w:szCs w:val="22"/>
        </w:rPr>
        <w:t xml:space="preserve">Team science </w:t>
      </w:r>
      <w:r w:rsidR="00992068">
        <w:rPr>
          <w:rFonts w:ascii="Arial" w:hAnsi="Arial" w:cs="Arial"/>
          <w:sz w:val="22"/>
          <w:szCs w:val="22"/>
        </w:rPr>
        <w:t xml:space="preserve">has been so critical to the success of many of today’s </w:t>
      </w:r>
      <w:r w:rsidR="00597234">
        <w:rPr>
          <w:rFonts w:ascii="Arial" w:hAnsi="Arial" w:cs="Arial"/>
          <w:sz w:val="22"/>
          <w:szCs w:val="22"/>
        </w:rPr>
        <w:t>scientific endeavors</w:t>
      </w:r>
      <w:r w:rsidR="00992068">
        <w:rPr>
          <w:rFonts w:ascii="Arial" w:hAnsi="Arial" w:cs="Arial"/>
          <w:sz w:val="22"/>
          <w:szCs w:val="22"/>
        </w:rPr>
        <w:t xml:space="preserve"> that </w:t>
      </w:r>
      <w:r w:rsidR="009D650B">
        <w:rPr>
          <w:rFonts w:ascii="Arial" w:hAnsi="Arial" w:cs="Arial"/>
          <w:sz w:val="22"/>
          <w:szCs w:val="22"/>
        </w:rPr>
        <w:t>a new field has emerged – the science of team science</w:t>
      </w:r>
      <w:r w:rsidR="0068101F">
        <w:rPr>
          <w:rFonts w:ascii="Arial" w:hAnsi="Arial" w:cs="Arial"/>
          <w:sz w:val="22"/>
          <w:szCs w:val="22"/>
        </w:rPr>
        <w:t xml:space="preserve"> (3)</w:t>
      </w:r>
      <w:r w:rsidR="00E57892">
        <w:rPr>
          <w:rFonts w:ascii="Arial" w:hAnsi="Arial" w:cs="Arial"/>
          <w:sz w:val="22"/>
          <w:szCs w:val="22"/>
        </w:rPr>
        <w:t>.</w:t>
      </w:r>
      <w:r w:rsidR="00E57892" w:rsidRPr="00E57892">
        <w:rPr>
          <w:rFonts w:ascii="Arial" w:hAnsi="Arial" w:cs="Arial"/>
          <w:sz w:val="22"/>
          <w:szCs w:val="22"/>
          <w:vertAlign w:val="superscript"/>
        </w:rPr>
        <w:t xml:space="preserve"> </w:t>
      </w:r>
      <w:r w:rsidR="00E57892">
        <w:rPr>
          <w:rFonts w:ascii="Arial" w:hAnsi="Arial" w:cs="Arial"/>
          <w:sz w:val="22"/>
          <w:szCs w:val="22"/>
        </w:rPr>
        <w:t xml:space="preserve"> </w:t>
      </w:r>
      <w:r w:rsidR="007A39A2">
        <w:rPr>
          <w:rFonts w:ascii="Arial" w:hAnsi="Arial" w:cs="Arial"/>
          <w:sz w:val="22"/>
          <w:szCs w:val="22"/>
        </w:rPr>
        <w:t xml:space="preserve">The science of team science </w:t>
      </w:r>
      <w:r w:rsidR="00AC5A8A">
        <w:rPr>
          <w:rFonts w:ascii="Arial" w:hAnsi="Arial" w:cs="Arial"/>
          <w:sz w:val="22"/>
          <w:szCs w:val="22"/>
        </w:rPr>
        <w:t xml:space="preserve">involves the </w:t>
      </w:r>
      <w:r w:rsidR="00CE77B1">
        <w:rPr>
          <w:rFonts w:ascii="Arial" w:hAnsi="Arial" w:cs="Arial"/>
          <w:sz w:val="22"/>
          <w:szCs w:val="22"/>
        </w:rPr>
        <w:t xml:space="preserve">study and development of </w:t>
      </w:r>
      <w:r w:rsidR="00AC5A8A">
        <w:rPr>
          <w:rFonts w:ascii="Arial" w:hAnsi="Arial" w:cs="Arial"/>
          <w:sz w:val="22"/>
          <w:szCs w:val="22"/>
        </w:rPr>
        <w:t xml:space="preserve">methods to understand and improve upon the </w:t>
      </w:r>
      <w:r w:rsidR="00CE77B1">
        <w:rPr>
          <w:rFonts w:ascii="Arial" w:hAnsi="Arial" w:cs="Arial"/>
          <w:sz w:val="22"/>
          <w:szCs w:val="22"/>
        </w:rPr>
        <w:t>process</w:t>
      </w:r>
      <w:r w:rsidR="006D757B">
        <w:rPr>
          <w:rFonts w:ascii="Arial" w:hAnsi="Arial" w:cs="Arial"/>
          <w:sz w:val="22"/>
          <w:szCs w:val="22"/>
        </w:rPr>
        <w:t xml:space="preserve"> and </w:t>
      </w:r>
      <w:r w:rsidR="00AC5A8A">
        <w:rPr>
          <w:rFonts w:ascii="Arial" w:hAnsi="Arial" w:cs="Arial"/>
          <w:sz w:val="22"/>
          <w:szCs w:val="22"/>
        </w:rPr>
        <w:t>outcome</w:t>
      </w:r>
      <w:r w:rsidR="006D757B">
        <w:rPr>
          <w:rFonts w:ascii="Arial" w:hAnsi="Arial" w:cs="Arial"/>
          <w:sz w:val="22"/>
          <w:szCs w:val="22"/>
        </w:rPr>
        <w:t>s</w:t>
      </w:r>
      <w:r w:rsidR="00AC5A8A">
        <w:rPr>
          <w:rFonts w:ascii="Arial" w:hAnsi="Arial" w:cs="Arial"/>
          <w:sz w:val="22"/>
          <w:szCs w:val="22"/>
        </w:rPr>
        <w:t xml:space="preserve"> of conducting team science. Conferences that discuss </w:t>
      </w:r>
      <w:r w:rsidR="008C1C15">
        <w:rPr>
          <w:rFonts w:ascii="Arial" w:hAnsi="Arial" w:cs="Arial"/>
          <w:sz w:val="22"/>
          <w:szCs w:val="22"/>
        </w:rPr>
        <w:t>new</w:t>
      </w:r>
      <w:r w:rsidR="00AC5A8A">
        <w:rPr>
          <w:rFonts w:ascii="Arial" w:hAnsi="Arial" w:cs="Arial"/>
          <w:sz w:val="22"/>
          <w:szCs w:val="22"/>
        </w:rPr>
        <w:t xml:space="preserve"> tools and strategies </w:t>
      </w:r>
      <w:r w:rsidR="003010BA">
        <w:rPr>
          <w:rFonts w:ascii="Arial" w:hAnsi="Arial" w:cs="Arial"/>
          <w:sz w:val="22"/>
          <w:szCs w:val="22"/>
        </w:rPr>
        <w:t xml:space="preserve">for successful </w:t>
      </w:r>
      <w:r w:rsidR="003867F0">
        <w:rPr>
          <w:rFonts w:ascii="Arial" w:hAnsi="Arial" w:cs="Arial"/>
          <w:sz w:val="22"/>
          <w:szCs w:val="22"/>
        </w:rPr>
        <w:t>cross-</w:t>
      </w:r>
      <w:r w:rsidR="003010BA">
        <w:rPr>
          <w:rFonts w:ascii="Arial" w:hAnsi="Arial" w:cs="Arial"/>
          <w:sz w:val="22"/>
          <w:szCs w:val="22"/>
        </w:rPr>
        <w:t xml:space="preserve">disciplinary </w:t>
      </w:r>
      <w:r w:rsidR="003867F0">
        <w:rPr>
          <w:rFonts w:ascii="Arial" w:hAnsi="Arial" w:cs="Arial"/>
          <w:sz w:val="22"/>
          <w:szCs w:val="22"/>
        </w:rPr>
        <w:t xml:space="preserve">(including multi-, inter-, and transdisciplinary) </w:t>
      </w:r>
      <w:r w:rsidR="003010BA">
        <w:rPr>
          <w:rFonts w:ascii="Arial" w:hAnsi="Arial" w:cs="Arial"/>
          <w:sz w:val="22"/>
          <w:szCs w:val="22"/>
        </w:rPr>
        <w:t xml:space="preserve">engagement </w:t>
      </w:r>
      <w:r w:rsidR="00AC5A8A">
        <w:rPr>
          <w:rFonts w:ascii="Arial" w:hAnsi="Arial" w:cs="Arial"/>
          <w:sz w:val="22"/>
          <w:szCs w:val="22"/>
        </w:rPr>
        <w:t xml:space="preserve">have </w:t>
      </w:r>
      <w:r w:rsidR="006D757B">
        <w:rPr>
          <w:rFonts w:ascii="Arial" w:hAnsi="Arial" w:cs="Arial"/>
          <w:sz w:val="22"/>
          <w:szCs w:val="22"/>
        </w:rPr>
        <w:t xml:space="preserve">been </w:t>
      </w:r>
      <w:r w:rsidR="008C1C15">
        <w:rPr>
          <w:rFonts w:ascii="Arial" w:hAnsi="Arial" w:cs="Arial"/>
          <w:sz w:val="22"/>
          <w:szCs w:val="22"/>
        </w:rPr>
        <w:t>established</w:t>
      </w:r>
      <w:r w:rsidR="00A83149">
        <w:rPr>
          <w:rFonts w:ascii="Arial" w:hAnsi="Arial" w:cs="Arial"/>
          <w:sz w:val="22"/>
          <w:szCs w:val="22"/>
        </w:rPr>
        <w:t xml:space="preserve"> including the annual International Science of Team Science Conference and the Interdisciplinary Network for Group Research </w:t>
      </w:r>
      <w:r w:rsidR="00091920">
        <w:rPr>
          <w:rFonts w:ascii="Arial" w:hAnsi="Arial" w:cs="Arial"/>
          <w:sz w:val="22"/>
          <w:szCs w:val="22"/>
        </w:rPr>
        <w:t xml:space="preserve">Conference. </w:t>
      </w:r>
      <w:r w:rsidR="003010BA">
        <w:rPr>
          <w:rFonts w:ascii="Arial" w:hAnsi="Arial" w:cs="Arial"/>
          <w:sz w:val="22"/>
          <w:szCs w:val="22"/>
        </w:rPr>
        <w:t xml:space="preserve">In addition, research articles </w:t>
      </w:r>
      <w:r w:rsidR="006F6748">
        <w:rPr>
          <w:rFonts w:ascii="Arial" w:hAnsi="Arial" w:cs="Arial"/>
          <w:sz w:val="22"/>
          <w:szCs w:val="22"/>
        </w:rPr>
        <w:t xml:space="preserve">in scientific journals </w:t>
      </w:r>
      <w:r w:rsidR="003010BA">
        <w:rPr>
          <w:rFonts w:ascii="Arial" w:hAnsi="Arial" w:cs="Arial"/>
          <w:sz w:val="22"/>
          <w:szCs w:val="22"/>
        </w:rPr>
        <w:t>that describe methods</w:t>
      </w:r>
      <w:r w:rsidR="006F6748">
        <w:rPr>
          <w:rFonts w:ascii="Arial" w:hAnsi="Arial" w:cs="Arial"/>
          <w:sz w:val="22"/>
          <w:szCs w:val="22"/>
        </w:rPr>
        <w:t xml:space="preserve"> for </w:t>
      </w:r>
      <w:r w:rsidR="003867F0">
        <w:rPr>
          <w:rFonts w:ascii="Arial" w:hAnsi="Arial" w:cs="Arial"/>
          <w:sz w:val="22"/>
          <w:szCs w:val="22"/>
        </w:rPr>
        <w:t>cross-disciplinary</w:t>
      </w:r>
      <w:r w:rsidR="00C07586">
        <w:rPr>
          <w:rFonts w:ascii="Arial" w:hAnsi="Arial" w:cs="Arial"/>
          <w:sz w:val="22"/>
          <w:szCs w:val="22"/>
        </w:rPr>
        <w:t xml:space="preserve"> </w:t>
      </w:r>
      <w:r w:rsidR="006F6748">
        <w:rPr>
          <w:rFonts w:ascii="Arial" w:hAnsi="Arial" w:cs="Arial"/>
          <w:sz w:val="22"/>
          <w:szCs w:val="22"/>
        </w:rPr>
        <w:t>collaboration are appearing</w:t>
      </w:r>
      <w:r w:rsidR="003010BA">
        <w:rPr>
          <w:rFonts w:ascii="Arial" w:hAnsi="Arial" w:cs="Arial"/>
          <w:sz w:val="22"/>
          <w:szCs w:val="22"/>
        </w:rPr>
        <w:t xml:space="preserve"> </w:t>
      </w:r>
      <w:r w:rsidR="00BC1EEA">
        <w:rPr>
          <w:rFonts w:ascii="Arial" w:hAnsi="Arial" w:cs="Arial"/>
          <w:sz w:val="22"/>
          <w:szCs w:val="22"/>
        </w:rPr>
        <w:t>(e.g.,</w:t>
      </w:r>
      <w:r w:rsidR="00E57892">
        <w:rPr>
          <w:rFonts w:ascii="Arial" w:hAnsi="Arial" w:cs="Arial"/>
          <w:sz w:val="22"/>
          <w:szCs w:val="22"/>
        </w:rPr>
        <w:t xml:space="preserve">See </w:t>
      </w:r>
      <w:r w:rsidR="00BF3662">
        <w:rPr>
          <w:rFonts w:ascii="Arial" w:hAnsi="Arial" w:cs="Arial"/>
          <w:sz w:val="22"/>
          <w:szCs w:val="22"/>
        </w:rPr>
        <w:t>van der Haar., 2017</w:t>
      </w:r>
      <w:r w:rsidR="00675A6F">
        <w:rPr>
          <w:rFonts w:ascii="Arial" w:hAnsi="Arial" w:cs="Arial"/>
          <w:sz w:val="22"/>
          <w:szCs w:val="22"/>
        </w:rPr>
        <w:t xml:space="preserve">, </w:t>
      </w:r>
      <w:r w:rsidR="00E57892" w:rsidRPr="00E57892">
        <w:rPr>
          <w:rFonts w:ascii="Arial" w:hAnsi="Arial" w:cs="Arial"/>
          <w:sz w:val="22"/>
          <w:szCs w:val="22"/>
        </w:rPr>
        <w:t>B</w:t>
      </w:r>
      <w:r w:rsidR="00E57892" w:rsidRPr="00E57892">
        <w:rPr>
          <w:rFonts w:ascii="Arial" w:eastAsia="Times New Roman" w:hAnsi="Arial" w:cs="Arial"/>
          <w:color w:val="222222"/>
          <w:sz w:val="22"/>
          <w:szCs w:val="22"/>
          <w:shd w:val="clear" w:color="auto" w:fill="FFFFFF"/>
        </w:rPr>
        <w:t>ör</w:t>
      </w:r>
      <w:r w:rsidR="00E57892" w:rsidRPr="00E57892">
        <w:rPr>
          <w:rFonts w:ascii="Arial" w:hAnsi="Arial" w:cs="Arial"/>
          <w:sz w:val="22"/>
          <w:szCs w:val="22"/>
        </w:rPr>
        <w:t>n</w:t>
      </w:r>
      <w:r w:rsidR="00E57892">
        <w:rPr>
          <w:rFonts w:ascii="Arial" w:hAnsi="Arial" w:cs="Arial"/>
          <w:sz w:val="22"/>
          <w:szCs w:val="22"/>
        </w:rPr>
        <w:t>er et al., 2010 and Bennett and Galdlin, 2010</w:t>
      </w:r>
      <w:r w:rsidR="00357410">
        <w:rPr>
          <w:rFonts w:ascii="Arial" w:hAnsi="Arial" w:cs="Arial"/>
          <w:sz w:val="22"/>
          <w:szCs w:val="22"/>
        </w:rPr>
        <w:t xml:space="preserve"> (4-6</w:t>
      </w:r>
      <w:r w:rsidR="005C0F63">
        <w:rPr>
          <w:rFonts w:ascii="Arial" w:hAnsi="Arial" w:cs="Arial"/>
          <w:sz w:val="22"/>
          <w:szCs w:val="22"/>
        </w:rPr>
        <w:t>)</w:t>
      </w:r>
      <w:r w:rsidR="00E57892">
        <w:rPr>
          <w:rFonts w:ascii="Arial" w:hAnsi="Arial" w:cs="Arial"/>
          <w:sz w:val="22"/>
          <w:szCs w:val="22"/>
        </w:rPr>
        <w:t>)</w:t>
      </w:r>
      <w:r w:rsidR="001D6D29">
        <w:rPr>
          <w:rFonts w:ascii="Arial" w:hAnsi="Arial" w:cs="Arial"/>
          <w:sz w:val="22"/>
          <w:szCs w:val="22"/>
        </w:rPr>
        <w:t>,</w:t>
      </w:r>
      <w:r w:rsidR="00BC1EEA">
        <w:rPr>
          <w:rFonts w:ascii="Arial" w:hAnsi="Arial" w:cs="Arial"/>
          <w:sz w:val="22"/>
          <w:szCs w:val="22"/>
        </w:rPr>
        <w:t xml:space="preserve"> and </w:t>
      </w:r>
      <w:r w:rsidR="00CD5234">
        <w:rPr>
          <w:rFonts w:ascii="Arial" w:hAnsi="Arial" w:cs="Arial"/>
          <w:sz w:val="22"/>
          <w:szCs w:val="22"/>
        </w:rPr>
        <w:t xml:space="preserve">field guides </w:t>
      </w:r>
      <w:r w:rsidR="008C1C15">
        <w:rPr>
          <w:rFonts w:ascii="Arial" w:hAnsi="Arial" w:cs="Arial"/>
          <w:sz w:val="22"/>
          <w:szCs w:val="22"/>
        </w:rPr>
        <w:t xml:space="preserve">on </w:t>
      </w:r>
      <w:r w:rsidR="00C365BD">
        <w:rPr>
          <w:rFonts w:ascii="Arial" w:hAnsi="Arial" w:cs="Arial"/>
          <w:sz w:val="22"/>
          <w:szCs w:val="22"/>
        </w:rPr>
        <w:t>ap</w:t>
      </w:r>
      <w:r w:rsidR="008C1C15">
        <w:rPr>
          <w:rFonts w:ascii="Arial" w:hAnsi="Arial" w:cs="Arial"/>
          <w:sz w:val="22"/>
          <w:szCs w:val="22"/>
        </w:rPr>
        <w:t>p</w:t>
      </w:r>
      <w:r w:rsidR="00C365BD">
        <w:rPr>
          <w:rFonts w:ascii="Arial" w:hAnsi="Arial" w:cs="Arial"/>
          <w:sz w:val="22"/>
          <w:szCs w:val="22"/>
        </w:rPr>
        <w:t>r</w:t>
      </w:r>
      <w:r w:rsidR="008C1C15">
        <w:rPr>
          <w:rFonts w:ascii="Arial" w:hAnsi="Arial" w:cs="Arial"/>
          <w:sz w:val="22"/>
          <w:szCs w:val="22"/>
        </w:rPr>
        <w:t>oaches</w:t>
      </w:r>
      <w:r w:rsidR="00D06450">
        <w:rPr>
          <w:rFonts w:ascii="Arial" w:hAnsi="Arial" w:cs="Arial"/>
          <w:sz w:val="22"/>
          <w:szCs w:val="22"/>
        </w:rPr>
        <w:t xml:space="preserve"> </w:t>
      </w:r>
      <w:r w:rsidR="00922CEB">
        <w:rPr>
          <w:rFonts w:ascii="Arial" w:hAnsi="Arial" w:cs="Arial"/>
          <w:sz w:val="22"/>
          <w:szCs w:val="22"/>
        </w:rPr>
        <w:t xml:space="preserve">to create </w:t>
      </w:r>
      <w:r w:rsidR="00CD5234">
        <w:rPr>
          <w:rFonts w:ascii="Arial" w:hAnsi="Arial" w:cs="Arial"/>
          <w:sz w:val="22"/>
          <w:szCs w:val="22"/>
        </w:rPr>
        <w:t>successful</w:t>
      </w:r>
      <w:r w:rsidR="00C365BD">
        <w:rPr>
          <w:rFonts w:ascii="Arial" w:hAnsi="Arial" w:cs="Arial"/>
          <w:sz w:val="22"/>
          <w:szCs w:val="22"/>
        </w:rPr>
        <w:t>ly</w:t>
      </w:r>
      <w:r w:rsidR="00CD5234">
        <w:rPr>
          <w:rFonts w:ascii="Arial" w:hAnsi="Arial" w:cs="Arial"/>
          <w:sz w:val="22"/>
          <w:szCs w:val="22"/>
        </w:rPr>
        <w:t xml:space="preserve"> productive team</w:t>
      </w:r>
      <w:r w:rsidR="00922CEB">
        <w:rPr>
          <w:rFonts w:ascii="Arial" w:hAnsi="Arial" w:cs="Arial"/>
          <w:sz w:val="22"/>
          <w:szCs w:val="22"/>
        </w:rPr>
        <w:t>s</w:t>
      </w:r>
      <w:r w:rsidR="00CD5234">
        <w:rPr>
          <w:rFonts w:ascii="Arial" w:hAnsi="Arial" w:cs="Arial"/>
          <w:sz w:val="22"/>
          <w:szCs w:val="22"/>
        </w:rPr>
        <w:t xml:space="preserve"> </w:t>
      </w:r>
      <w:r w:rsidR="00BC1EEA">
        <w:rPr>
          <w:rFonts w:ascii="Arial" w:hAnsi="Arial" w:cs="Arial"/>
          <w:sz w:val="22"/>
          <w:szCs w:val="22"/>
        </w:rPr>
        <w:t>have been developed</w:t>
      </w:r>
      <w:r w:rsidR="00357410">
        <w:rPr>
          <w:rFonts w:ascii="Arial" w:hAnsi="Arial" w:cs="Arial"/>
          <w:sz w:val="22"/>
          <w:szCs w:val="22"/>
        </w:rPr>
        <w:t xml:space="preserve"> (7</w:t>
      </w:r>
      <w:r w:rsidR="005C0F63">
        <w:rPr>
          <w:rFonts w:ascii="Arial" w:hAnsi="Arial" w:cs="Arial"/>
          <w:sz w:val="22"/>
          <w:szCs w:val="22"/>
        </w:rPr>
        <w:t>)</w:t>
      </w:r>
      <w:r w:rsidR="00E57892">
        <w:rPr>
          <w:rFonts w:ascii="Arial" w:hAnsi="Arial" w:cs="Arial"/>
          <w:sz w:val="22"/>
          <w:szCs w:val="22"/>
        </w:rPr>
        <w:t>.</w:t>
      </w:r>
      <w:r w:rsidR="00E57892" w:rsidRPr="00E57892">
        <w:rPr>
          <w:rFonts w:ascii="Arial" w:hAnsi="Arial" w:cs="Arial"/>
          <w:sz w:val="22"/>
          <w:szCs w:val="22"/>
          <w:vertAlign w:val="superscript"/>
        </w:rPr>
        <w:t xml:space="preserve"> </w:t>
      </w:r>
      <w:r w:rsidR="005C0F63">
        <w:rPr>
          <w:rFonts w:ascii="Arial" w:hAnsi="Arial" w:cs="Arial"/>
          <w:sz w:val="22"/>
          <w:szCs w:val="22"/>
        </w:rPr>
        <w:t xml:space="preserve"> </w:t>
      </w:r>
      <w:r w:rsidR="00EC7CB4">
        <w:rPr>
          <w:rFonts w:ascii="Arial" w:hAnsi="Arial" w:cs="Arial"/>
          <w:sz w:val="22"/>
          <w:szCs w:val="22"/>
        </w:rPr>
        <w:t xml:space="preserve">As the need for team science persists, the field for underlying tools and processes that guide </w:t>
      </w:r>
      <w:r w:rsidR="003867F0">
        <w:rPr>
          <w:rFonts w:ascii="Arial" w:hAnsi="Arial" w:cs="Arial"/>
          <w:sz w:val="22"/>
          <w:szCs w:val="22"/>
        </w:rPr>
        <w:t>cross-</w:t>
      </w:r>
      <w:r w:rsidR="00EC7CB4">
        <w:rPr>
          <w:rFonts w:ascii="Arial" w:hAnsi="Arial" w:cs="Arial"/>
          <w:sz w:val="22"/>
          <w:szCs w:val="22"/>
        </w:rPr>
        <w:t xml:space="preserve">disciplinary research will continue to grow. </w:t>
      </w:r>
    </w:p>
    <w:p w14:paraId="09F1D46F" w14:textId="77777777" w:rsidR="0033743C" w:rsidRDefault="0033743C" w:rsidP="00685A1E">
      <w:pPr>
        <w:rPr>
          <w:rFonts w:ascii="Arial" w:hAnsi="Arial" w:cs="Arial"/>
          <w:sz w:val="22"/>
          <w:szCs w:val="22"/>
        </w:rPr>
      </w:pPr>
    </w:p>
    <w:p w14:paraId="2F284B16" w14:textId="048844AF" w:rsidR="001F298B" w:rsidRPr="00DC4E7F" w:rsidRDefault="00D557CA" w:rsidP="00FF23CD">
      <w:pPr>
        <w:rPr>
          <w:rFonts w:ascii="Arial" w:hAnsi="Arial" w:cs="Arial"/>
          <w:i/>
          <w:iCs/>
          <w:sz w:val="22"/>
          <w:szCs w:val="22"/>
        </w:rPr>
      </w:pPr>
      <w:r>
        <w:rPr>
          <w:rFonts w:ascii="Arial" w:hAnsi="Arial" w:cs="Arial"/>
          <w:i/>
          <w:iCs/>
          <w:sz w:val="22"/>
          <w:szCs w:val="22"/>
        </w:rPr>
        <w:t xml:space="preserve">Data scientists </w:t>
      </w:r>
      <w:r w:rsidR="00FF23CD">
        <w:rPr>
          <w:rFonts w:ascii="Arial" w:hAnsi="Arial" w:cs="Arial"/>
          <w:i/>
          <w:iCs/>
          <w:sz w:val="22"/>
          <w:szCs w:val="22"/>
        </w:rPr>
        <w:t>as team scientists</w:t>
      </w:r>
    </w:p>
    <w:p w14:paraId="73F628F9" w14:textId="60E2C0FC" w:rsidR="00BE3436" w:rsidRDefault="001D063C" w:rsidP="00BE3436">
      <w:pPr>
        <w:rPr>
          <w:rFonts w:ascii="Arial" w:hAnsi="Arial" w:cs="Arial"/>
          <w:sz w:val="22"/>
          <w:szCs w:val="22"/>
        </w:rPr>
      </w:pPr>
      <w:r>
        <w:rPr>
          <w:rFonts w:ascii="Arial" w:hAnsi="Arial" w:cs="Arial"/>
          <w:sz w:val="22"/>
          <w:szCs w:val="22"/>
        </w:rPr>
        <w:t xml:space="preserve">Data scientists </w:t>
      </w:r>
      <w:r w:rsidR="007F198F">
        <w:rPr>
          <w:rFonts w:ascii="Arial" w:hAnsi="Arial" w:cs="Arial"/>
          <w:sz w:val="22"/>
          <w:szCs w:val="22"/>
        </w:rPr>
        <w:t xml:space="preserve">are natural </w:t>
      </w:r>
      <w:r w:rsidR="00DE329B">
        <w:rPr>
          <w:rFonts w:ascii="Arial" w:hAnsi="Arial" w:cs="Arial"/>
          <w:sz w:val="22"/>
          <w:szCs w:val="22"/>
        </w:rPr>
        <w:t xml:space="preserve">and </w:t>
      </w:r>
      <w:r w:rsidR="00CD6940">
        <w:rPr>
          <w:rFonts w:ascii="Arial" w:hAnsi="Arial" w:cs="Arial"/>
          <w:sz w:val="22"/>
          <w:szCs w:val="22"/>
        </w:rPr>
        <w:t xml:space="preserve">often </w:t>
      </w:r>
      <w:r w:rsidR="00DE329B">
        <w:rPr>
          <w:rFonts w:ascii="Arial" w:hAnsi="Arial" w:cs="Arial"/>
          <w:sz w:val="22"/>
          <w:szCs w:val="22"/>
        </w:rPr>
        <w:t xml:space="preserve">critically important </w:t>
      </w:r>
      <w:r w:rsidR="007F198F">
        <w:rPr>
          <w:rFonts w:ascii="Arial" w:hAnsi="Arial" w:cs="Arial"/>
          <w:sz w:val="22"/>
          <w:szCs w:val="22"/>
        </w:rPr>
        <w:t xml:space="preserve">candidates for membership of a team conducting </w:t>
      </w:r>
      <w:r w:rsidR="003867F0">
        <w:rPr>
          <w:rFonts w:ascii="Arial" w:hAnsi="Arial" w:cs="Arial"/>
          <w:sz w:val="22"/>
          <w:szCs w:val="22"/>
        </w:rPr>
        <w:t>cross-</w:t>
      </w:r>
      <w:r w:rsidR="007F198F">
        <w:rPr>
          <w:rFonts w:ascii="Arial" w:hAnsi="Arial" w:cs="Arial"/>
          <w:sz w:val="22"/>
          <w:szCs w:val="22"/>
        </w:rPr>
        <w:t>disciplinary research</w:t>
      </w:r>
      <w:r w:rsidR="00A20895">
        <w:rPr>
          <w:rFonts w:ascii="Arial" w:hAnsi="Arial" w:cs="Arial"/>
          <w:sz w:val="22"/>
          <w:szCs w:val="22"/>
        </w:rPr>
        <w:t xml:space="preserve">. </w:t>
      </w:r>
      <w:r w:rsidR="004D50B3">
        <w:rPr>
          <w:rFonts w:ascii="Arial" w:hAnsi="Arial" w:cs="Arial"/>
          <w:sz w:val="22"/>
          <w:szCs w:val="22"/>
        </w:rPr>
        <w:t>For example, a</w:t>
      </w:r>
      <w:r w:rsidR="00A20895">
        <w:rPr>
          <w:rFonts w:ascii="Arial" w:hAnsi="Arial" w:cs="Arial"/>
          <w:sz w:val="22"/>
          <w:szCs w:val="22"/>
        </w:rPr>
        <w:t xml:space="preserve">s shown in the examples above, </w:t>
      </w:r>
      <w:r w:rsidR="00E80CC9">
        <w:rPr>
          <w:rFonts w:ascii="Arial" w:hAnsi="Arial" w:cs="Arial"/>
          <w:sz w:val="22"/>
          <w:szCs w:val="22"/>
        </w:rPr>
        <w:t xml:space="preserve">most </w:t>
      </w:r>
      <w:r w:rsidR="007F198F">
        <w:rPr>
          <w:rFonts w:ascii="Arial" w:hAnsi="Arial" w:cs="Arial"/>
          <w:sz w:val="22"/>
          <w:szCs w:val="22"/>
        </w:rPr>
        <w:t>biomedical research</w:t>
      </w:r>
      <w:r w:rsidR="00E80CC9">
        <w:rPr>
          <w:rFonts w:ascii="Arial" w:hAnsi="Arial" w:cs="Arial"/>
          <w:sz w:val="22"/>
          <w:szCs w:val="22"/>
        </w:rPr>
        <w:t xml:space="preserve"> has</w:t>
      </w:r>
      <w:r w:rsidR="007F198F">
        <w:rPr>
          <w:rFonts w:ascii="Arial" w:hAnsi="Arial" w:cs="Arial"/>
          <w:sz w:val="22"/>
          <w:szCs w:val="22"/>
        </w:rPr>
        <w:t xml:space="preserve"> </w:t>
      </w:r>
      <w:r w:rsidR="00E80CC9">
        <w:rPr>
          <w:rFonts w:ascii="Arial" w:hAnsi="Arial" w:cs="Arial"/>
          <w:sz w:val="22"/>
          <w:szCs w:val="22"/>
        </w:rPr>
        <w:t xml:space="preserve">a </w:t>
      </w:r>
      <w:r w:rsidR="007F198F">
        <w:rPr>
          <w:rFonts w:ascii="Arial" w:hAnsi="Arial" w:cs="Arial"/>
          <w:sz w:val="22"/>
          <w:szCs w:val="22"/>
        </w:rPr>
        <w:t xml:space="preserve">great need for expertise </w:t>
      </w:r>
      <w:r w:rsidR="009A1F39">
        <w:rPr>
          <w:rFonts w:ascii="Arial" w:hAnsi="Arial" w:cs="Arial"/>
          <w:sz w:val="22"/>
          <w:szCs w:val="22"/>
        </w:rPr>
        <w:t xml:space="preserve">specifically </w:t>
      </w:r>
      <w:r w:rsidR="007F198F">
        <w:rPr>
          <w:rFonts w:ascii="Arial" w:hAnsi="Arial" w:cs="Arial"/>
          <w:sz w:val="22"/>
          <w:szCs w:val="22"/>
        </w:rPr>
        <w:t xml:space="preserve">in data science. </w:t>
      </w:r>
      <w:r w:rsidR="004D50B3">
        <w:rPr>
          <w:rFonts w:ascii="Arial" w:hAnsi="Arial" w:cs="Arial"/>
          <w:sz w:val="22"/>
          <w:szCs w:val="22"/>
        </w:rPr>
        <w:t xml:space="preserve">While developing skills and training in data science may not necessarily include a biomedical context, in practice, understanding the nuances of the methods applied to a biomedical context is essential and best done in a team environment with content expertise.  </w:t>
      </w:r>
      <w:r w:rsidR="00B00C79">
        <w:rPr>
          <w:rFonts w:ascii="Arial" w:hAnsi="Arial" w:cs="Arial"/>
          <w:sz w:val="22"/>
          <w:szCs w:val="22"/>
        </w:rPr>
        <w:t xml:space="preserve">For example, </w:t>
      </w:r>
      <w:r w:rsidR="006E041B">
        <w:rPr>
          <w:rFonts w:ascii="Arial" w:hAnsi="Arial" w:cs="Arial"/>
          <w:sz w:val="22"/>
          <w:szCs w:val="22"/>
        </w:rPr>
        <w:t xml:space="preserve">I </w:t>
      </w:r>
      <w:r w:rsidR="000233D9">
        <w:rPr>
          <w:rFonts w:ascii="Arial" w:hAnsi="Arial" w:cs="Arial"/>
          <w:sz w:val="22"/>
          <w:szCs w:val="22"/>
        </w:rPr>
        <w:t>w</w:t>
      </w:r>
      <w:r w:rsidR="004D50B3">
        <w:rPr>
          <w:rFonts w:ascii="Arial" w:hAnsi="Arial" w:cs="Arial"/>
          <w:sz w:val="22"/>
          <w:szCs w:val="22"/>
        </w:rPr>
        <w:t xml:space="preserve">as part of a group </w:t>
      </w:r>
      <w:r w:rsidR="00AD2275">
        <w:rPr>
          <w:rFonts w:ascii="Arial" w:hAnsi="Arial" w:cs="Arial"/>
          <w:sz w:val="22"/>
          <w:szCs w:val="22"/>
        </w:rPr>
        <w:t>of investigators studying</w:t>
      </w:r>
      <w:r w:rsidR="004D50B3">
        <w:rPr>
          <w:rFonts w:ascii="Arial" w:hAnsi="Arial" w:cs="Arial"/>
          <w:sz w:val="22"/>
          <w:szCs w:val="22"/>
        </w:rPr>
        <w:t xml:space="preserve"> the comparative effectiveness of HIV anti-retroviral agents on cardiovascular disease, </w:t>
      </w:r>
      <w:r w:rsidR="000233D9">
        <w:rPr>
          <w:rFonts w:ascii="Arial" w:hAnsi="Arial" w:cs="Arial"/>
          <w:sz w:val="22"/>
          <w:szCs w:val="22"/>
        </w:rPr>
        <w:t xml:space="preserve">where </w:t>
      </w:r>
      <w:r w:rsidR="004D50B3">
        <w:rPr>
          <w:rFonts w:ascii="Arial" w:hAnsi="Arial" w:cs="Arial"/>
          <w:sz w:val="22"/>
          <w:szCs w:val="22"/>
        </w:rPr>
        <w:t xml:space="preserve">team members with expertise in </w:t>
      </w:r>
      <w:r w:rsidR="008C2F80">
        <w:rPr>
          <w:rFonts w:ascii="Arial" w:hAnsi="Arial" w:cs="Arial"/>
          <w:sz w:val="22"/>
          <w:szCs w:val="22"/>
        </w:rPr>
        <w:t xml:space="preserve">treating </w:t>
      </w:r>
      <w:r w:rsidR="004D50B3">
        <w:rPr>
          <w:rFonts w:ascii="Arial" w:hAnsi="Arial" w:cs="Arial"/>
          <w:sz w:val="22"/>
          <w:szCs w:val="22"/>
        </w:rPr>
        <w:t xml:space="preserve">HIV noted the importance of adjusting for potential confounders like CD4 count, viral load, and cholesterol levels.  Further, they </w:t>
      </w:r>
      <w:r w:rsidR="001D6D29">
        <w:rPr>
          <w:rFonts w:ascii="Arial" w:hAnsi="Arial" w:cs="Arial"/>
          <w:sz w:val="22"/>
          <w:szCs w:val="22"/>
        </w:rPr>
        <w:t>emphasized</w:t>
      </w:r>
      <w:r w:rsidR="004D50B3">
        <w:rPr>
          <w:rFonts w:ascii="Arial" w:hAnsi="Arial" w:cs="Arial"/>
          <w:sz w:val="22"/>
          <w:szCs w:val="22"/>
        </w:rPr>
        <w:t xml:space="preserve"> that while the literature implicated single agents as having a role in cardiovascular disease, in practice, therapy </w:t>
      </w:r>
      <w:r w:rsidR="00203006">
        <w:rPr>
          <w:rFonts w:ascii="Arial" w:hAnsi="Arial" w:cs="Arial"/>
          <w:sz w:val="22"/>
          <w:szCs w:val="22"/>
        </w:rPr>
        <w:t>was</w:t>
      </w:r>
      <w:r w:rsidR="004D50B3">
        <w:rPr>
          <w:rFonts w:ascii="Arial" w:hAnsi="Arial" w:cs="Arial"/>
          <w:sz w:val="22"/>
          <w:szCs w:val="22"/>
        </w:rPr>
        <w:t xml:space="preserve"> prescribed and taken in combinations</w:t>
      </w:r>
      <w:r w:rsidR="001B0B6D">
        <w:rPr>
          <w:rFonts w:ascii="Arial" w:hAnsi="Arial" w:cs="Arial"/>
          <w:sz w:val="22"/>
          <w:szCs w:val="22"/>
        </w:rPr>
        <w:t xml:space="preserve">, making the entire combined therapy a </w:t>
      </w:r>
      <w:r w:rsidR="004824E7">
        <w:rPr>
          <w:rFonts w:ascii="Arial" w:hAnsi="Arial" w:cs="Arial"/>
          <w:sz w:val="22"/>
          <w:szCs w:val="22"/>
        </w:rPr>
        <w:t>more pertinent</w:t>
      </w:r>
      <w:r w:rsidR="001B0B6D">
        <w:rPr>
          <w:rFonts w:ascii="Arial" w:hAnsi="Arial" w:cs="Arial"/>
          <w:sz w:val="22"/>
          <w:szCs w:val="22"/>
        </w:rPr>
        <w:t xml:space="preserve"> focus</w:t>
      </w:r>
      <w:r w:rsidR="004D50B3">
        <w:rPr>
          <w:rFonts w:ascii="Arial" w:hAnsi="Arial" w:cs="Arial"/>
          <w:sz w:val="22"/>
          <w:szCs w:val="22"/>
        </w:rPr>
        <w:t>. In addition, as we observe</w:t>
      </w:r>
      <w:r w:rsidR="00203006">
        <w:rPr>
          <w:rFonts w:ascii="Arial" w:hAnsi="Arial" w:cs="Arial"/>
          <w:sz w:val="22"/>
          <w:szCs w:val="22"/>
        </w:rPr>
        <w:t>d in the data, patients switched</w:t>
      </w:r>
      <w:r w:rsidR="004D50B3">
        <w:rPr>
          <w:rFonts w:ascii="Arial" w:hAnsi="Arial" w:cs="Arial"/>
          <w:sz w:val="22"/>
          <w:szCs w:val="22"/>
        </w:rPr>
        <w:t xml:space="preserve"> their combinations with great frequency. The clinicians on the team confirmed that this was common because if the treating physician saw poor management of HIV or an unfavorable cardiovascular profile, a different regimen would be prescribed. This information directly informed how we data scientists designed the study and developed our statistical models</w:t>
      </w:r>
      <w:r w:rsidR="00357410">
        <w:rPr>
          <w:rFonts w:ascii="Arial" w:hAnsi="Arial" w:cs="Arial"/>
          <w:sz w:val="22"/>
          <w:szCs w:val="22"/>
        </w:rPr>
        <w:t xml:space="preserve"> (8</w:t>
      </w:r>
      <w:r w:rsidR="005C0F63">
        <w:rPr>
          <w:rFonts w:ascii="Arial" w:hAnsi="Arial" w:cs="Arial"/>
          <w:sz w:val="22"/>
          <w:szCs w:val="22"/>
        </w:rPr>
        <w:t>)</w:t>
      </w:r>
      <w:r w:rsidR="00E57892">
        <w:rPr>
          <w:rFonts w:ascii="Arial" w:hAnsi="Arial" w:cs="Arial"/>
          <w:sz w:val="22"/>
          <w:szCs w:val="22"/>
        </w:rPr>
        <w:t>.</w:t>
      </w:r>
      <w:r w:rsidR="00E57892" w:rsidRPr="00E57892">
        <w:rPr>
          <w:rFonts w:ascii="Arial" w:hAnsi="Arial" w:cs="Arial"/>
          <w:sz w:val="22"/>
          <w:szCs w:val="22"/>
          <w:vertAlign w:val="superscript"/>
        </w:rPr>
        <w:t xml:space="preserve"> </w:t>
      </w:r>
      <w:r w:rsidR="00E57892">
        <w:rPr>
          <w:rFonts w:ascii="Arial" w:hAnsi="Arial" w:cs="Arial"/>
          <w:sz w:val="22"/>
          <w:szCs w:val="22"/>
        </w:rPr>
        <w:t xml:space="preserve"> </w:t>
      </w:r>
      <w:r w:rsidR="004D50B3">
        <w:rPr>
          <w:rFonts w:ascii="Arial" w:hAnsi="Arial" w:cs="Arial"/>
          <w:sz w:val="22"/>
          <w:szCs w:val="22"/>
        </w:rPr>
        <w:t xml:space="preserve"> Without the context provided by the HIV experts, the data scientists would have developed a less relevant model, and possibly provided misleading findings.</w:t>
      </w:r>
      <w:r w:rsidR="00AF7466">
        <w:rPr>
          <w:rFonts w:ascii="Arial" w:hAnsi="Arial" w:cs="Arial"/>
          <w:sz w:val="22"/>
          <w:szCs w:val="22"/>
        </w:rPr>
        <w:t xml:space="preserve"> Thus, </w:t>
      </w:r>
      <w:r w:rsidR="005647E9">
        <w:rPr>
          <w:rFonts w:ascii="Arial" w:hAnsi="Arial" w:cs="Arial"/>
          <w:sz w:val="22"/>
          <w:szCs w:val="22"/>
        </w:rPr>
        <w:t xml:space="preserve">integration of the data scientist into </w:t>
      </w:r>
      <w:r w:rsidR="00AF7466">
        <w:rPr>
          <w:rFonts w:ascii="Arial" w:hAnsi="Arial" w:cs="Arial"/>
          <w:sz w:val="22"/>
          <w:szCs w:val="22"/>
        </w:rPr>
        <w:t xml:space="preserve">the team environment enabled the data scientists to arrive at an approach that yielded clinically </w:t>
      </w:r>
      <w:r w:rsidR="00D246BE">
        <w:rPr>
          <w:rFonts w:ascii="Arial" w:hAnsi="Arial" w:cs="Arial"/>
          <w:sz w:val="22"/>
          <w:szCs w:val="22"/>
        </w:rPr>
        <w:t>meaningful</w:t>
      </w:r>
      <w:r w:rsidR="00D246BE">
        <w:rPr>
          <w:rFonts w:ascii="Arial" w:hAnsi="Arial" w:cs="Arial"/>
          <w:sz w:val="22"/>
          <w:szCs w:val="22"/>
        </w:rPr>
        <w:t xml:space="preserve"> </w:t>
      </w:r>
      <w:r w:rsidR="00AF7466">
        <w:rPr>
          <w:rFonts w:ascii="Arial" w:hAnsi="Arial" w:cs="Arial"/>
          <w:sz w:val="22"/>
          <w:szCs w:val="22"/>
        </w:rPr>
        <w:t>interpretation.</w:t>
      </w:r>
      <w:r w:rsidR="0027148A">
        <w:rPr>
          <w:rFonts w:ascii="Arial" w:hAnsi="Arial" w:cs="Arial"/>
          <w:sz w:val="22"/>
          <w:szCs w:val="22"/>
        </w:rPr>
        <w:t xml:space="preserve"> </w:t>
      </w:r>
    </w:p>
    <w:p w14:paraId="458ECB66" w14:textId="77777777" w:rsidR="00BE3436" w:rsidRPr="00902228" w:rsidRDefault="00BE3436" w:rsidP="00BE3436">
      <w:pPr>
        <w:rPr>
          <w:rFonts w:ascii="Arial" w:hAnsi="Arial" w:cs="Arial"/>
          <w:sz w:val="22"/>
          <w:szCs w:val="22"/>
        </w:rPr>
      </w:pPr>
    </w:p>
    <w:p w14:paraId="648F5925" w14:textId="7612792E" w:rsidR="005015B8" w:rsidRDefault="005015B8" w:rsidP="00A20895">
      <w:pPr>
        <w:rPr>
          <w:rFonts w:ascii="Arial" w:hAnsi="Arial" w:cs="Arial"/>
          <w:sz w:val="22"/>
          <w:szCs w:val="22"/>
        </w:rPr>
      </w:pPr>
      <w:r>
        <w:rPr>
          <w:rFonts w:ascii="Arial" w:hAnsi="Arial" w:cs="Arial"/>
          <w:sz w:val="22"/>
          <w:szCs w:val="22"/>
        </w:rPr>
        <w:t xml:space="preserve">Participation in team science should not be confused with </w:t>
      </w:r>
      <w:r w:rsidR="00AD2275">
        <w:rPr>
          <w:rFonts w:ascii="Arial" w:hAnsi="Arial" w:cs="Arial"/>
          <w:sz w:val="22"/>
          <w:szCs w:val="22"/>
        </w:rPr>
        <w:t>serving as a consultant</w:t>
      </w:r>
      <w:r>
        <w:rPr>
          <w:rFonts w:ascii="Arial" w:hAnsi="Arial" w:cs="Arial"/>
          <w:sz w:val="22"/>
          <w:szCs w:val="22"/>
        </w:rPr>
        <w:t>.  Consulting on projects implies providing superficial high-level expertise and does not involve an invested</w:t>
      </w:r>
      <w:r w:rsidR="00147752">
        <w:rPr>
          <w:rFonts w:ascii="Arial" w:hAnsi="Arial" w:cs="Arial"/>
          <w:sz w:val="22"/>
          <w:szCs w:val="22"/>
        </w:rPr>
        <w:t xml:space="preserve"> and iterative</w:t>
      </w:r>
      <w:r>
        <w:rPr>
          <w:rFonts w:ascii="Arial" w:hAnsi="Arial" w:cs="Arial"/>
          <w:sz w:val="22"/>
          <w:szCs w:val="22"/>
        </w:rPr>
        <w:t xml:space="preserve"> (or collaborative) effort. Consulting </w:t>
      </w:r>
      <w:r w:rsidR="00AD2275">
        <w:rPr>
          <w:rFonts w:ascii="Arial" w:hAnsi="Arial" w:cs="Arial"/>
          <w:sz w:val="22"/>
          <w:szCs w:val="22"/>
        </w:rPr>
        <w:t>has its place</w:t>
      </w:r>
      <w:r w:rsidR="00DE3BD4">
        <w:rPr>
          <w:rFonts w:ascii="Arial" w:hAnsi="Arial" w:cs="Arial"/>
          <w:sz w:val="22"/>
          <w:szCs w:val="22"/>
        </w:rPr>
        <w:t>.</w:t>
      </w:r>
      <w:r w:rsidR="00AD2275">
        <w:rPr>
          <w:rFonts w:ascii="Arial" w:hAnsi="Arial" w:cs="Arial"/>
          <w:sz w:val="22"/>
          <w:szCs w:val="22"/>
        </w:rPr>
        <w:t xml:space="preserve"> </w:t>
      </w:r>
      <w:r w:rsidR="00DE3BD4">
        <w:rPr>
          <w:rFonts w:ascii="Arial" w:hAnsi="Arial" w:cs="Arial"/>
          <w:sz w:val="22"/>
          <w:szCs w:val="22"/>
        </w:rPr>
        <w:t xml:space="preserve"> It </w:t>
      </w:r>
      <w:r>
        <w:rPr>
          <w:rFonts w:ascii="Arial" w:hAnsi="Arial" w:cs="Arial"/>
          <w:sz w:val="22"/>
          <w:szCs w:val="22"/>
        </w:rPr>
        <w:t xml:space="preserve">can be </w:t>
      </w:r>
      <w:r w:rsidR="00AD2275">
        <w:rPr>
          <w:rFonts w:ascii="Arial" w:hAnsi="Arial" w:cs="Arial"/>
          <w:sz w:val="22"/>
          <w:szCs w:val="22"/>
        </w:rPr>
        <w:t xml:space="preserve">particularly </w:t>
      </w:r>
      <w:r>
        <w:rPr>
          <w:rFonts w:ascii="Arial" w:hAnsi="Arial" w:cs="Arial"/>
          <w:sz w:val="22"/>
          <w:szCs w:val="22"/>
        </w:rPr>
        <w:t xml:space="preserve">beneficial </w:t>
      </w:r>
      <w:r>
        <w:rPr>
          <w:rFonts w:ascii="Arial" w:hAnsi="Arial" w:cs="Arial"/>
          <w:sz w:val="22"/>
          <w:szCs w:val="22"/>
        </w:rPr>
        <w:t xml:space="preserve">when </w:t>
      </w:r>
      <w:r w:rsidR="00AD2275">
        <w:rPr>
          <w:rFonts w:ascii="Arial" w:hAnsi="Arial" w:cs="Arial"/>
          <w:sz w:val="22"/>
          <w:szCs w:val="22"/>
        </w:rPr>
        <w:t xml:space="preserve">limited high-level advice is needed and </w:t>
      </w:r>
      <w:r w:rsidR="00DE3BD4">
        <w:rPr>
          <w:rFonts w:ascii="Arial" w:hAnsi="Arial" w:cs="Arial"/>
          <w:sz w:val="22"/>
          <w:szCs w:val="22"/>
        </w:rPr>
        <w:t xml:space="preserve">can serve </w:t>
      </w:r>
      <w:r>
        <w:rPr>
          <w:rFonts w:ascii="Arial" w:hAnsi="Arial" w:cs="Arial"/>
          <w:sz w:val="22"/>
          <w:szCs w:val="22"/>
        </w:rPr>
        <w:t xml:space="preserve">as a bridge to </w:t>
      </w:r>
      <w:r w:rsidR="00AD2275">
        <w:rPr>
          <w:rFonts w:ascii="Arial" w:hAnsi="Arial" w:cs="Arial"/>
          <w:sz w:val="22"/>
          <w:szCs w:val="22"/>
        </w:rPr>
        <w:t xml:space="preserve">a deeper </w:t>
      </w:r>
      <w:r>
        <w:rPr>
          <w:rFonts w:ascii="Arial" w:hAnsi="Arial" w:cs="Arial"/>
          <w:sz w:val="22"/>
          <w:szCs w:val="22"/>
        </w:rPr>
        <w:t>collaboration</w:t>
      </w:r>
      <w:r w:rsidR="00DE3BD4">
        <w:rPr>
          <w:rFonts w:ascii="Arial" w:hAnsi="Arial" w:cs="Arial"/>
          <w:sz w:val="22"/>
          <w:szCs w:val="22"/>
        </w:rPr>
        <w:t xml:space="preserve"> when appropriate</w:t>
      </w:r>
      <w:r>
        <w:rPr>
          <w:rFonts w:ascii="Arial" w:hAnsi="Arial" w:cs="Arial"/>
          <w:sz w:val="22"/>
          <w:szCs w:val="22"/>
        </w:rPr>
        <w:t xml:space="preserve">. </w:t>
      </w:r>
      <w:r>
        <w:rPr>
          <w:rFonts w:ascii="Arial" w:hAnsi="Arial" w:cs="Arial"/>
          <w:sz w:val="22"/>
          <w:szCs w:val="22"/>
        </w:rPr>
        <w:t xml:space="preserve">If relied upon for meeting data-related needs in a project, </w:t>
      </w:r>
      <w:r w:rsidR="00011FF9">
        <w:rPr>
          <w:rFonts w:ascii="Arial" w:hAnsi="Arial" w:cs="Arial"/>
          <w:sz w:val="22"/>
          <w:szCs w:val="22"/>
        </w:rPr>
        <w:t xml:space="preserve">however, </w:t>
      </w:r>
      <w:r>
        <w:rPr>
          <w:rFonts w:ascii="Arial" w:hAnsi="Arial" w:cs="Arial"/>
          <w:sz w:val="22"/>
          <w:szCs w:val="22"/>
        </w:rPr>
        <w:t>it can potentially compromise</w:t>
      </w:r>
      <w:r>
        <w:rPr>
          <w:rFonts w:ascii="Arial" w:hAnsi="Arial" w:cs="Arial"/>
          <w:sz w:val="22"/>
          <w:szCs w:val="22"/>
        </w:rPr>
        <w:t xml:space="preserve"> the quality of the science. Suppose </w:t>
      </w:r>
      <w:r w:rsidR="00AD2275">
        <w:rPr>
          <w:rFonts w:ascii="Arial" w:hAnsi="Arial" w:cs="Arial"/>
          <w:sz w:val="22"/>
          <w:szCs w:val="22"/>
        </w:rPr>
        <w:t xml:space="preserve">that for the study above the </w:t>
      </w:r>
      <w:r>
        <w:rPr>
          <w:rFonts w:ascii="Arial" w:hAnsi="Arial" w:cs="Arial"/>
          <w:sz w:val="22"/>
          <w:szCs w:val="22"/>
        </w:rPr>
        <w:t xml:space="preserve">investigator </w:t>
      </w:r>
      <w:r w:rsidR="00AD2275">
        <w:rPr>
          <w:rFonts w:ascii="Arial" w:hAnsi="Arial" w:cs="Arial"/>
          <w:sz w:val="22"/>
          <w:szCs w:val="22"/>
        </w:rPr>
        <w:t xml:space="preserve">initiating the question wanted </w:t>
      </w:r>
      <w:r w:rsidRPr="00D84B1B">
        <w:rPr>
          <w:rFonts w:ascii="Arial" w:hAnsi="Arial" w:cs="Arial"/>
          <w:sz w:val="22"/>
          <w:szCs w:val="22"/>
        </w:rPr>
        <w:t>to inclu</w:t>
      </w:r>
      <w:bookmarkStart w:id="0" w:name="_GoBack"/>
      <w:bookmarkEnd w:id="0"/>
      <w:r w:rsidRPr="00D84B1B">
        <w:rPr>
          <w:rFonts w:ascii="Arial" w:hAnsi="Arial" w:cs="Arial"/>
          <w:sz w:val="22"/>
          <w:szCs w:val="22"/>
        </w:rPr>
        <w:t xml:space="preserve">de preliminary findings </w:t>
      </w:r>
      <w:r>
        <w:rPr>
          <w:rFonts w:ascii="Arial" w:hAnsi="Arial" w:cs="Arial"/>
          <w:sz w:val="22"/>
          <w:szCs w:val="22"/>
        </w:rPr>
        <w:t xml:space="preserve">in a proposal </w:t>
      </w:r>
      <w:r w:rsidRPr="00D84B1B">
        <w:rPr>
          <w:rFonts w:ascii="Arial" w:hAnsi="Arial" w:cs="Arial"/>
          <w:sz w:val="22"/>
          <w:szCs w:val="22"/>
        </w:rPr>
        <w:t>that demonstrate</w:t>
      </w:r>
      <w:r w:rsidR="00AD2275">
        <w:rPr>
          <w:rFonts w:ascii="Arial" w:hAnsi="Arial" w:cs="Arial"/>
          <w:sz w:val="22"/>
          <w:szCs w:val="22"/>
        </w:rPr>
        <w:t>d</w:t>
      </w:r>
      <w:r w:rsidRPr="00D84B1B">
        <w:rPr>
          <w:rFonts w:ascii="Arial" w:hAnsi="Arial" w:cs="Arial"/>
          <w:sz w:val="22"/>
          <w:szCs w:val="22"/>
        </w:rPr>
        <w:t xml:space="preserve"> a parti</w:t>
      </w:r>
      <w:r w:rsidR="00AD2275">
        <w:rPr>
          <w:rFonts w:ascii="Arial" w:hAnsi="Arial" w:cs="Arial"/>
          <w:sz w:val="22"/>
          <w:szCs w:val="22"/>
        </w:rPr>
        <w:t>cular HIV antiretroviral drug was</w:t>
      </w:r>
      <w:r w:rsidRPr="00D84B1B">
        <w:rPr>
          <w:rFonts w:ascii="Arial" w:hAnsi="Arial" w:cs="Arial"/>
          <w:sz w:val="22"/>
          <w:szCs w:val="22"/>
        </w:rPr>
        <w:t xml:space="preserve"> associated with increased risk of stroke.  Using a registry of HIV patients, </w:t>
      </w:r>
      <w:r>
        <w:rPr>
          <w:rFonts w:ascii="Arial" w:hAnsi="Arial" w:cs="Arial"/>
          <w:sz w:val="22"/>
          <w:szCs w:val="22"/>
        </w:rPr>
        <w:t>suppose the investigator</w:t>
      </w:r>
      <w:r w:rsidRPr="00D84B1B">
        <w:rPr>
          <w:rFonts w:ascii="Arial" w:hAnsi="Arial" w:cs="Arial"/>
          <w:sz w:val="22"/>
          <w:szCs w:val="22"/>
        </w:rPr>
        <w:t xml:space="preserve"> </w:t>
      </w:r>
      <w:r>
        <w:rPr>
          <w:rFonts w:ascii="Arial" w:hAnsi="Arial" w:cs="Arial"/>
          <w:sz w:val="22"/>
          <w:szCs w:val="22"/>
        </w:rPr>
        <w:t>assemble</w:t>
      </w:r>
      <w:r w:rsidR="00AD2275">
        <w:rPr>
          <w:rFonts w:ascii="Arial" w:hAnsi="Arial" w:cs="Arial"/>
          <w:sz w:val="22"/>
          <w:szCs w:val="22"/>
        </w:rPr>
        <w:t>d</w:t>
      </w:r>
      <w:r w:rsidRPr="00D84B1B">
        <w:rPr>
          <w:rFonts w:ascii="Arial" w:hAnsi="Arial" w:cs="Arial"/>
          <w:sz w:val="22"/>
          <w:szCs w:val="22"/>
        </w:rPr>
        <w:t xml:space="preserve"> data on exposure to various HIV antiretroviral drugs and</w:t>
      </w:r>
      <w:r>
        <w:rPr>
          <w:rFonts w:ascii="Arial" w:hAnsi="Arial" w:cs="Arial"/>
          <w:sz w:val="22"/>
          <w:szCs w:val="22"/>
        </w:rPr>
        <w:t xml:space="preserve"> stroke and then ask</w:t>
      </w:r>
      <w:r w:rsidR="00AD2275">
        <w:rPr>
          <w:rFonts w:ascii="Arial" w:hAnsi="Arial" w:cs="Arial"/>
          <w:sz w:val="22"/>
          <w:szCs w:val="22"/>
        </w:rPr>
        <w:t>ed</w:t>
      </w:r>
      <w:r>
        <w:rPr>
          <w:rFonts w:ascii="Arial" w:hAnsi="Arial" w:cs="Arial"/>
          <w:sz w:val="22"/>
          <w:szCs w:val="22"/>
        </w:rPr>
        <w:t xml:space="preserve"> a consulting biostatistician to </w:t>
      </w:r>
      <w:r w:rsidRPr="00D84B1B">
        <w:rPr>
          <w:rFonts w:ascii="Arial" w:hAnsi="Arial" w:cs="Arial"/>
          <w:sz w:val="22"/>
          <w:szCs w:val="22"/>
        </w:rPr>
        <w:t>evaluate whether ever being expose</w:t>
      </w:r>
      <w:r>
        <w:rPr>
          <w:rFonts w:ascii="Arial" w:hAnsi="Arial" w:cs="Arial"/>
          <w:sz w:val="22"/>
          <w:szCs w:val="22"/>
        </w:rPr>
        <w:t xml:space="preserve">d to this antiretroviral drug </w:t>
      </w:r>
      <w:r w:rsidR="00AD2275">
        <w:rPr>
          <w:rFonts w:ascii="Arial" w:hAnsi="Arial" w:cs="Arial"/>
          <w:sz w:val="22"/>
          <w:szCs w:val="22"/>
        </w:rPr>
        <w:t>was</w:t>
      </w:r>
      <w:r w:rsidRPr="00D84B1B">
        <w:rPr>
          <w:rFonts w:ascii="Arial" w:hAnsi="Arial" w:cs="Arial"/>
          <w:sz w:val="22"/>
          <w:szCs w:val="22"/>
        </w:rPr>
        <w:t xml:space="preserve"> associated with stroke</w:t>
      </w:r>
      <w:r>
        <w:rPr>
          <w:rFonts w:ascii="Arial" w:hAnsi="Arial" w:cs="Arial"/>
          <w:sz w:val="22"/>
          <w:szCs w:val="22"/>
        </w:rPr>
        <w:t xml:space="preserve"> in order to</w:t>
      </w:r>
      <w:r w:rsidRPr="00D84B1B">
        <w:rPr>
          <w:rFonts w:ascii="Arial" w:hAnsi="Arial" w:cs="Arial"/>
          <w:sz w:val="22"/>
          <w:szCs w:val="22"/>
        </w:rPr>
        <w:t xml:space="preserve"> </w:t>
      </w:r>
      <w:r>
        <w:rPr>
          <w:rFonts w:ascii="Arial" w:hAnsi="Arial" w:cs="Arial"/>
          <w:sz w:val="22"/>
          <w:szCs w:val="22"/>
        </w:rPr>
        <w:t>justify</w:t>
      </w:r>
      <w:r w:rsidRPr="00D84B1B">
        <w:rPr>
          <w:rFonts w:ascii="Arial" w:hAnsi="Arial" w:cs="Arial"/>
          <w:sz w:val="22"/>
          <w:szCs w:val="22"/>
        </w:rPr>
        <w:t xml:space="preserve"> future experiments that </w:t>
      </w:r>
      <w:r>
        <w:rPr>
          <w:rFonts w:ascii="Arial" w:hAnsi="Arial" w:cs="Arial"/>
          <w:sz w:val="22"/>
          <w:szCs w:val="22"/>
        </w:rPr>
        <w:t>investigate</w:t>
      </w:r>
      <w:r w:rsidRPr="00D84B1B">
        <w:rPr>
          <w:rFonts w:ascii="Arial" w:hAnsi="Arial" w:cs="Arial"/>
          <w:sz w:val="22"/>
          <w:szCs w:val="22"/>
        </w:rPr>
        <w:t xml:space="preserve"> mechanisms for the </w:t>
      </w:r>
      <w:r>
        <w:rPr>
          <w:rFonts w:ascii="Arial" w:hAnsi="Arial" w:cs="Arial"/>
          <w:sz w:val="22"/>
          <w:szCs w:val="22"/>
        </w:rPr>
        <w:t>relationship</w:t>
      </w:r>
      <w:r w:rsidRPr="00D84B1B">
        <w:rPr>
          <w:rFonts w:ascii="Arial" w:hAnsi="Arial" w:cs="Arial"/>
          <w:sz w:val="22"/>
          <w:szCs w:val="22"/>
        </w:rPr>
        <w:t xml:space="preserve">.  </w:t>
      </w:r>
      <w:r>
        <w:rPr>
          <w:rFonts w:ascii="Arial" w:hAnsi="Arial" w:cs="Arial"/>
          <w:sz w:val="22"/>
          <w:szCs w:val="22"/>
        </w:rPr>
        <w:t>A consulting</w:t>
      </w:r>
      <w:r w:rsidRPr="00D84B1B">
        <w:rPr>
          <w:rFonts w:ascii="Arial" w:hAnsi="Arial" w:cs="Arial"/>
          <w:sz w:val="22"/>
          <w:szCs w:val="22"/>
        </w:rPr>
        <w:t xml:space="preserve"> biostatistician </w:t>
      </w:r>
      <w:r w:rsidR="00AD2275">
        <w:rPr>
          <w:rFonts w:ascii="Arial" w:hAnsi="Arial" w:cs="Arial"/>
          <w:sz w:val="22"/>
          <w:szCs w:val="22"/>
        </w:rPr>
        <w:t>could</w:t>
      </w:r>
      <w:r>
        <w:rPr>
          <w:rFonts w:ascii="Arial" w:hAnsi="Arial" w:cs="Arial"/>
          <w:sz w:val="22"/>
          <w:szCs w:val="22"/>
        </w:rPr>
        <w:t xml:space="preserve"> </w:t>
      </w:r>
      <w:r w:rsidR="00AD2275">
        <w:rPr>
          <w:rFonts w:ascii="Arial" w:hAnsi="Arial" w:cs="Arial"/>
          <w:sz w:val="22"/>
          <w:szCs w:val="22"/>
        </w:rPr>
        <w:t>accomplish</w:t>
      </w:r>
      <w:r w:rsidRPr="00D84B1B">
        <w:rPr>
          <w:rFonts w:ascii="Arial" w:hAnsi="Arial" w:cs="Arial"/>
          <w:sz w:val="22"/>
          <w:szCs w:val="22"/>
        </w:rPr>
        <w:t xml:space="preserve"> this </w:t>
      </w:r>
      <w:r>
        <w:rPr>
          <w:rFonts w:ascii="Arial" w:hAnsi="Arial" w:cs="Arial"/>
          <w:sz w:val="22"/>
          <w:szCs w:val="22"/>
        </w:rPr>
        <w:t>simply</w:t>
      </w:r>
      <w:r w:rsidRPr="00D84B1B">
        <w:rPr>
          <w:rFonts w:ascii="Arial" w:hAnsi="Arial" w:cs="Arial"/>
          <w:sz w:val="22"/>
          <w:szCs w:val="22"/>
        </w:rPr>
        <w:t xml:space="preserve"> thro</w:t>
      </w:r>
      <w:r w:rsidR="00AD2275">
        <w:rPr>
          <w:rFonts w:ascii="Arial" w:hAnsi="Arial" w:cs="Arial"/>
          <w:sz w:val="22"/>
          <w:szCs w:val="22"/>
        </w:rPr>
        <w:t>ugh a Cox model.  However, it would</w:t>
      </w:r>
      <w:r w:rsidRPr="00D84B1B">
        <w:rPr>
          <w:rFonts w:ascii="Arial" w:hAnsi="Arial" w:cs="Arial"/>
          <w:sz w:val="22"/>
          <w:szCs w:val="22"/>
        </w:rPr>
        <w:t xml:space="preserve"> only </w:t>
      </w:r>
      <w:r w:rsidR="00AD2275">
        <w:rPr>
          <w:rFonts w:ascii="Arial" w:hAnsi="Arial" w:cs="Arial"/>
          <w:sz w:val="22"/>
          <w:szCs w:val="22"/>
        </w:rPr>
        <w:t xml:space="preserve">be </w:t>
      </w:r>
      <w:r w:rsidRPr="00D84B1B">
        <w:rPr>
          <w:rFonts w:ascii="Arial" w:hAnsi="Arial" w:cs="Arial"/>
          <w:sz w:val="22"/>
          <w:szCs w:val="22"/>
        </w:rPr>
        <w:t xml:space="preserve">through interaction with other investigators, deeper exploration of the data, and perhaps through leading the design and extraction of relevant data </w:t>
      </w:r>
      <w:r w:rsidR="00531273">
        <w:rPr>
          <w:rFonts w:ascii="Arial" w:hAnsi="Arial" w:cs="Arial"/>
          <w:sz w:val="22"/>
          <w:szCs w:val="22"/>
        </w:rPr>
        <w:t>her</w:t>
      </w:r>
      <w:r w:rsidRPr="00D84B1B">
        <w:rPr>
          <w:rFonts w:ascii="Arial" w:hAnsi="Arial" w:cs="Arial"/>
          <w:sz w:val="22"/>
          <w:szCs w:val="22"/>
        </w:rPr>
        <w:t xml:space="preserve">self, that the biostatistician would </w:t>
      </w:r>
      <w:r w:rsidR="00AD2275">
        <w:rPr>
          <w:rFonts w:ascii="Arial" w:hAnsi="Arial" w:cs="Arial"/>
          <w:sz w:val="22"/>
          <w:szCs w:val="22"/>
        </w:rPr>
        <w:t>find</w:t>
      </w:r>
      <w:r w:rsidRPr="00D84B1B">
        <w:rPr>
          <w:rFonts w:ascii="Arial" w:hAnsi="Arial" w:cs="Arial"/>
          <w:sz w:val="22"/>
          <w:szCs w:val="22"/>
        </w:rPr>
        <w:t xml:space="preserve"> that this association varies with time and exists only in the presence of two </w:t>
      </w:r>
      <w:r>
        <w:rPr>
          <w:rFonts w:ascii="Arial" w:hAnsi="Arial" w:cs="Arial"/>
          <w:sz w:val="22"/>
          <w:szCs w:val="22"/>
        </w:rPr>
        <w:t>particular</w:t>
      </w:r>
      <w:r w:rsidRPr="00D84B1B">
        <w:rPr>
          <w:rFonts w:ascii="Arial" w:hAnsi="Arial" w:cs="Arial"/>
          <w:sz w:val="22"/>
          <w:szCs w:val="22"/>
        </w:rPr>
        <w:t xml:space="preserve"> antiretroviral therapies that are no longer administered in combination.  Importantly, the association exists </w:t>
      </w:r>
      <w:r>
        <w:rPr>
          <w:rFonts w:ascii="Arial" w:hAnsi="Arial" w:cs="Arial"/>
          <w:sz w:val="22"/>
          <w:szCs w:val="22"/>
        </w:rPr>
        <w:t xml:space="preserve">only </w:t>
      </w:r>
      <w:r w:rsidRPr="00D84B1B">
        <w:rPr>
          <w:rFonts w:ascii="Arial" w:hAnsi="Arial" w:cs="Arial"/>
          <w:sz w:val="22"/>
          <w:szCs w:val="22"/>
        </w:rPr>
        <w:t xml:space="preserve">in the earlier periods of the highly active antiretroviral era.  Thus, outsourcing this analysis </w:t>
      </w:r>
      <w:r w:rsidR="00AA0A4C">
        <w:rPr>
          <w:rFonts w:ascii="Arial" w:hAnsi="Arial" w:cs="Arial"/>
          <w:sz w:val="22"/>
          <w:szCs w:val="22"/>
        </w:rPr>
        <w:t>to a consulting setting c</w:t>
      </w:r>
      <w:r>
        <w:rPr>
          <w:rFonts w:ascii="Arial" w:hAnsi="Arial" w:cs="Arial"/>
          <w:sz w:val="22"/>
          <w:szCs w:val="22"/>
        </w:rPr>
        <w:t>ould have yielded</w:t>
      </w:r>
      <w:r w:rsidRPr="00D84B1B">
        <w:rPr>
          <w:rFonts w:ascii="Arial" w:hAnsi="Arial" w:cs="Arial"/>
          <w:sz w:val="22"/>
          <w:szCs w:val="22"/>
        </w:rPr>
        <w:t xml:space="preserve"> misleading </w:t>
      </w:r>
      <w:r>
        <w:rPr>
          <w:rFonts w:ascii="Arial" w:hAnsi="Arial" w:cs="Arial"/>
          <w:sz w:val="22"/>
          <w:szCs w:val="22"/>
        </w:rPr>
        <w:t>conclusions</w:t>
      </w:r>
      <w:r w:rsidRPr="00D84B1B">
        <w:rPr>
          <w:rFonts w:ascii="Arial" w:hAnsi="Arial" w:cs="Arial"/>
          <w:sz w:val="22"/>
          <w:szCs w:val="22"/>
        </w:rPr>
        <w:t>.</w:t>
      </w:r>
      <w:r w:rsidRPr="004D06B2">
        <w:rPr>
          <w:rFonts w:ascii="Arial" w:hAnsi="Arial" w:cs="Arial"/>
          <w:sz w:val="22"/>
          <w:szCs w:val="22"/>
        </w:rPr>
        <w:t xml:space="preserve"> </w:t>
      </w:r>
      <w:r>
        <w:rPr>
          <w:rFonts w:ascii="Arial" w:hAnsi="Arial" w:cs="Arial"/>
          <w:sz w:val="22"/>
          <w:szCs w:val="22"/>
        </w:rPr>
        <w:t>Importantly, the iterative team-based process more generally ensures that products resulting from the effort will be relevant.</w:t>
      </w:r>
    </w:p>
    <w:p w14:paraId="1C86212D" w14:textId="77777777" w:rsidR="005015B8" w:rsidRDefault="005015B8" w:rsidP="00A20895">
      <w:pPr>
        <w:rPr>
          <w:rFonts w:ascii="Arial" w:hAnsi="Arial" w:cs="Arial"/>
          <w:sz w:val="22"/>
          <w:szCs w:val="22"/>
        </w:rPr>
      </w:pPr>
    </w:p>
    <w:p w14:paraId="27CD066A" w14:textId="61B281A1" w:rsidR="00EC7CB4" w:rsidRPr="00D84B1B" w:rsidRDefault="00E72077" w:rsidP="0052617A">
      <w:pPr>
        <w:rPr>
          <w:rFonts w:ascii="Arial" w:hAnsi="Arial" w:cs="Arial"/>
          <w:sz w:val="22"/>
          <w:szCs w:val="22"/>
        </w:rPr>
      </w:pPr>
      <w:r>
        <w:rPr>
          <w:rFonts w:ascii="Arial" w:hAnsi="Arial" w:cs="Arial"/>
          <w:sz w:val="22"/>
          <w:szCs w:val="22"/>
        </w:rPr>
        <w:t xml:space="preserve">In addition to </w:t>
      </w:r>
      <w:r w:rsidR="000E6A0F">
        <w:rPr>
          <w:rFonts w:ascii="Arial" w:hAnsi="Arial" w:cs="Arial"/>
          <w:sz w:val="22"/>
          <w:szCs w:val="22"/>
        </w:rPr>
        <w:t xml:space="preserve">providing </w:t>
      </w:r>
      <w:r w:rsidR="0096739B">
        <w:rPr>
          <w:rFonts w:ascii="Arial" w:hAnsi="Arial" w:cs="Arial"/>
          <w:sz w:val="22"/>
          <w:szCs w:val="22"/>
        </w:rPr>
        <w:t xml:space="preserve">critical </w:t>
      </w:r>
      <w:r w:rsidR="000E6A0F">
        <w:rPr>
          <w:rFonts w:ascii="Arial" w:hAnsi="Arial" w:cs="Arial"/>
          <w:sz w:val="22"/>
          <w:szCs w:val="22"/>
        </w:rPr>
        <w:t xml:space="preserve">context to developing </w:t>
      </w:r>
      <w:r w:rsidR="0096739B">
        <w:rPr>
          <w:rFonts w:ascii="Arial" w:hAnsi="Arial" w:cs="Arial"/>
          <w:sz w:val="22"/>
          <w:szCs w:val="22"/>
        </w:rPr>
        <w:t>a method or its application</w:t>
      </w:r>
      <w:r w:rsidR="004A3AA6">
        <w:rPr>
          <w:rFonts w:ascii="Arial" w:hAnsi="Arial" w:cs="Arial"/>
          <w:sz w:val="22"/>
          <w:szCs w:val="22"/>
        </w:rPr>
        <w:t xml:space="preserve">, </w:t>
      </w:r>
      <w:r w:rsidR="00BE7C73">
        <w:rPr>
          <w:rFonts w:ascii="Arial" w:hAnsi="Arial" w:cs="Arial"/>
          <w:sz w:val="22"/>
          <w:szCs w:val="22"/>
        </w:rPr>
        <w:t xml:space="preserve">there are </w:t>
      </w:r>
      <w:r w:rsidR="004A3AA6">
        <w:rPr>
          <w:rFonts w:ascii="Arial" w:hAnsi="Arial" w:cs="Arial"/>
          <w:sz w:val="22"/>
          <w:szCs w:val="22"/>
        </w:rPr>
        <w:t>other</w:t>
      </w:r>
      <w:r w:rsidR="00BE7C73">
        <w:rPr>
          <w:rFonts w:ascii="Arial" w:hAnsi="Arial" w:cs="Arial"/>
          <w:sz w:val="22"/>
          <w:szCs w:val="22"/>
        </w:rPr>
        <w:t xml:space="preserve"> benefits to </w:t>
      </w:r>
      <w:r w:rsidR="001F5F8B">
        <w:rPr>
          <w:rFonts w:ascii="Arial" w:hAnsi="Arial" w:cs="Arial"/>
          <w:sz w:val="22"/>
          <w:szCs w:val="22"/>
        </w:rPr>
        <w:t xml:space="preserve">team integration </w:t>
      </w:r>
      <w:r w:rsidR="00F01ADD">
        <w:rPr>
          <w:rFonts w:ascii="Arial" w:hAnsi="Arial" w:cs="Arial"/>
          <w:sz w:val="22"/>
          <w:szCs w:val="22"/>
        </w:rPr>
        <w:t xml:space="preserve">particularly </w:t>
      </w:r>
      <w:r w:rsidR="001F5F8B">
        <w:rPr>
          <w:rFonts w:ascii="Arial" w:hAnsi="Arial" w:cs="Arial"/>
          <w:sz w:val="22"/>
          <w:szCs w:val="22"/>
        </w:rPr>
        <w:t xml:space="preserve">for </w:t>
      </w:r>
      <w:r w:rsidR="00BE7C73">
        <w:rPr>
          <w:rFonts w:ascii="Arial" w:hAnsi="Arial" w:cs="Arial"/>
          <w:sz w:val="22"/>
          <w:szCs w:val="22"/>
        </w:rPr>
        <w:t xml:space="preserve">the </w:t>
      </w:r>
      <w:r>
        <w:rPr>
          <w:rFonts w:ascii="Arial" w:hAnsi="Arial" w:cs="Arial"/>
          <w:sz w:val="22"/>
          <w:szCs w:val="22"/>
        </w:rPr>
        <w:t>d</w:t>
      </w:r>
      <w:r w:rsidR="00BE7C73">
        <w:rPr>
          <w:rFonts w:ascii="Arial" w:hAnsi="Arial" w:cs="Arial"/>
          <w:sz w:val="22"/>
          <w:szCs w:val="22"/>
        </w:rPr>
        <w:t>ata scientist</w:t>
      </w:r>
      <w:r w:rsidR="00A20895">
        <w:rPr>
          <w:rFonts w:ascii="Arial" w:hAnsi="Arial" w:cs="Arial"/>
          <w:sz w:val="22"/>
          <w:szCs w:val="22"/>
        </w:rPr>
        <w:t>. W</w:t>
      </w:r>
      <w:r w:rsidR="00EC7CB4" w:rsidRPr="00D84B1B">
        <w:rPr>
          <w:rFonts w:ascii="Arial" w:hAnsi="Arial" w:cs="Arial"/>
          <w:sz w:val="22"/>
          <w:szCs w:val="22"/>
        </w:rPr>
        <w:t xml:space="preserve">hen </w:t>
      </w:r>
      <w:r w:rsidR="00EC7CB4">
        <w:rPr>
          <w:rFonts w:ascii="Arial" w:hAnsi="Arial" w:cs="Arial"/>
          <w:sz w:val="22"/>
          <w:szCs w:val="22"/>
        </w:rPr>
        <w:t>data scientists</w:t>
      </w:r>
      <w:r w:rsidR="00EC7CB4" w:rsidRPr="00D84B1B">
        <w:rPr>
          <w:rFonts w:ascii="Arial" w:hAnsi="Arial" w:cs="Arial"/>
          <w:sz w:val="22"/>
          <w:szCs w:val="22"/>
        </w:rPr>
        <w:t xml:space="preserve"> dig deep as collaborators, gaps in methodology can easily be identified. For example, </w:t>
      </w:r>
      <w:r w:rsidR="00EC7CB4">
        <w:rPr>
          <w:rFonts w:ascii="Arial" w:hAnsi="Arial" w:cs="Arial"/>
          <w:sz w:val="22"/>
          <w:szCs w:val="22"/>
        </w:rPr>
        <w:t xml:space="preserve">while a data scientist </w:t>
      </w:r>
      <w:r w:rsidR="00EC7CB4" w:rsidRPr="00D84B1B">
        <w:rPr>
          <w:rFonts w:ascii="Arial" w:hAnsi="Arial" w:cs="Arial"/>
          <w:sz w:val="22"/>
          <w:szCs w:val="22"/>
        </w:rPr>
        <w:t xml:space="preserve">may </w:t>
      </w:r>
      <w:r w:rsidR="00EC7CB4">
        <w:rPr>
          <w:rFonts w:ascii="Arial" w:hAnsi="Arial" w:cs="Arial"/>
          <w:sz w:val="22"/>
          <w:szCs w:val="22"/>
        </w:rPr>
        <w:t>recommend</w:t>
      </w:r>
      <w:r w:rsidR="00EC7CB4" w:rsidRPr="00D84B1B">
        <w:rPr>
          <w:rFonts w:ascii="Arial" w:hAnsi="Arial" w:cs="Arial"/>
          <w:sz w:val="22"/>
          <w:szCs w:val="22"/>
        </w:rPr>
        <w:t xml:space="preserve"> use of a specific statisti</w:t>
      </w:r>
      <w:r w:rsidR="00EC7CB4">
        <w:rPr>
          <w:rFonts w:ascii="Arial" w:hAnsi="Arial" w:cs="Arial"/>
          <w:sz w:val="22"/>
          <w:szCs w:val="22"/>
        </w:rPr>
        <w:t xml:space="preserve">cally ideal modeling approach </w:t>
      </w:r>
      <w:r w:rsidR="00EC7CB4" w:rsidRPr="00D84B1B">
        <w:rPr>
          <w:rFonts w:ascii="Arial" w:hAnsi="Arial" w:cs="Arial"/>
          <w:sz w:val="22"/>
          <w:szCs w:val="22"/>
        </w:rPr>
        <w:t xml:space="preserve">it is only in the </w:t>
      </w:r>
      <w:r w:rsidR="00EC7CB4">
        <w:rPr>
          <w:rFonts w:ascii="Arial" w:hAnsi="Arial" w:cs="Arial"/>
          <w:sz w:val="22"/>
          <w:szCs w:val="22"/>
        </w:rPr>
        <w:t xml:space="preserve">team </w:t>
      </w:r>
      <w:r w:rsidR="00EC7CB4" w:rsidRPr="00D84B1B">
        <w:rPr>
          <w:rFonts w:ascii="Arial" w:hAnsi="Arial" w:cs="Arial"/>
          <w:sz w:val="22"/>
          <w:szCs w:val="22"/>
        </w:rPr>
        <w:t xml:space="preserve">setting that the </w:t>
      </w:r>
      <w:r w:rsidR="00EC7CB4">
        <w:rPr>
          <w:rFonts w:ascii="Arial" w:hAnsi="Arial" w:cs="Arial"/>
          <w:sz w:val="22"/>
          <w:szCs w:val="22"/>
        </w:rPr>
        <w:t>data scientist</w:t>
      </w:r>
      <w:r w:rsidR="00EC7CB4" w:rsidRPr="00D84B1B">
        <w:rPr>
          <w:rFonts w:ascii="Arial" w:hAnsi="Arial" w:cs="Arial"/>
          <w:sz w:val="22"/>
          <w:szCs w:val="22"/>
        </w:rPr>
        <w:t xml:space="preserve"> would be faced with any issues posed by that suggestion.</w:t>
      </w:r>
      <w:r w:rsidR="002064C4">
        <w:rPr>
          <w:rFonts w:ascii="Arial" w:hAnsi="Arial" w:cs="Arial"/>
          <w:sz w:val="22"/>
          <w:szCs w:val="22"/>
        </w:rPr>
        <w:t xml:space="preserve"> This would likely be missed in the consulting context.</w:t>
      </w:r>
      <w:r w:rsidR="00EC7CB4" w:rsidRPr="00D84B1B">
        <w:rPr>
          <w:rFonts w:ascii="Arial" w:hAnsi="Arial" w:cs="Arial"/>
          <w:sz w:val="22"/>
          <w:szCs w:val="22"/>
        </w:rPr>
        <w:t xml:space="preserve">  </w:t>
      </w:r>
      <w:r w:rsidR="00EC7CB4">
        <w:rPr>
          <w:rFonts w:ascii="Arial" w:hAnsi="Arial" w:cs="Arial"/>
          <w:sz w:val="22"/>
          <w:szCs w:val="22"/>
        </w:rPr>
        <w:t xml:space="preserve">In the </w:t>
      </w:r>
      <w:r w:rsidR="00911159">
        <w:rPr>
          <w:rFonts w:ascii="Arial" w:hAnsi="Arial" w:cs="Arial"/>
          <w:sz w:val="22"/>
          <w:szCs w:val="22"/>
        </w:rPr>
        <w:t xml:space="preserve">comparative effectiveness </w:t>
      </w:r>
      <w:r w:rsidR="00EC7CB4">
        <w:rPr>
          <w:rFonts w:ascii="Arial" w:hAnsi="Arial" w:cs="Arial"/>
          <w:sz w:val="22"/>
          <w:szCs w:val="22"/>
        </w:rPr>
        <w:t xml:space="preserve">study </w:t>
      </w:r>
      <w:r w:rsidR="00407323">
        <w:rPr>
          <w:rFonts w:ascii="Arial" w:hAnsi="Arial" w:cs="Arial"/>
          <w:sz w:val="22"/>
          <w:szCs w:val="22"/>
        </w:rPr>
        <w:t>described above</w:t>
      </w:r>
      <w:r w:rsidR="00EC7CB4">
        <w:rPr>
          <w:rFonts w:ascii="Arial" w:hAnsi="Arial" w:cs="Arial"/>
          <w:sz w:val="22"/>
          <w:szCs w:val="22"/>
        </w:rPr>
        <w:t xml:space="preserve">, recall that we wanted to incorporate potential confounders like CD4 count and cholesterol and how they changed over time in order to mitigate confounding by indication. However, we found that not all patients had the same amount of information, particularly </w:t>
      </w:r>
      <w:r w:rsidR="00917D21">
        <w:rPr>
          <w:rFonts w:ascii="Arial" w:hAnsi="Arial" w:cs="Arial"/>
          <w:sz w:val="22"/>
          <w:szCs w:val="22"/>
        </w:rPr>
        <w:t>at</w:t>
      </w:r>
      <w:r w:rsidR="00EC7CB4">
        <w:rPr>
          <w:rFonts w:ascii="Arial" w:hAnsi="Arial" w:cs="Arial"/>
          <w:sz w:val="22"/>
          <w:szCs w:val="22"/>
        </w:rPr>
        <w:t xml:space="preserve"> or just prior to important changes in regimen or cardiovascular events.  Different ways of handling the missing data resulted in markedly different inference about the research question. While issues of missing data are not new to data scientists </w:t>
      </w:r>
      <w:r w:rsidR="000B0177">
        <w:rPr>
          <w:rFonts w:ascii="Arial" w:hAnsi="Arial" w:cs="Arial"/>
          <w:sz w:val="22"/>
          <w:szCs w:val="22"/>
        </w:rPr>
        <w:t>and can commonly be addressed using</w:t>
      </w:r>
      <w:r w:rsidR="00EC7CB4">
        <w:rPr>
          <w:rFonts w:ascii="Arial" w:hAnsi="Arial" w:cs="Arial"/>
          <w:sz w:val="22"/>
          <w:szCs w:val="22"/>
        </w:rPr>
        <w:t xml:space="preserve"> maximum likelihood or multiple imputation methods, this study posed unique issues.  Specifically, the model </w:t>
      </w:r>
      <w:r w:rsidR="00303162">
        <w:rPr>
          <w:rFonts w:ascii="Arial" w:hAnsi="Arial" w:cs="Arial"/>
          <w:sz w:val="22"/>
          <w:szCs w:val="22"/>
        </w:rPr>
        <w:t xml:space="preserve">for the analysis </w:t>
      </w:r>
      <w:r w:rsidR="00EC7CB4">
        <w:rPr>
          <w:rFonts w:ascii="Arial" w:hAnsi="Arial" w:cs="Arial"/>
          <w:sz w:val="22"/>
          <w:szCs w:val="22"/>
        </w:rPr>
        <w:t>assumed independence across observations even though patients c</w:t>
      </w:r>
      <w:r w:rsidR="00303162">
        <w:rPr>
          <w:rFonts w:ascii="Arial" w:hAnsi="Arial" w:cs="Arial"/>
          <w:sz w:val="22"/>
          <w:szCs w:val="22"/>
        </w:rPr>
        <w:t>ontributed multiple records, and</w:t>
      </w:r>
      <w:r w:rsidR="00EC7CB4">
        <w:rPr>
          <w:rFonts w:ascii="Arial" w:hAnsi="Arial" w:cs="Arial"/>
          <w:sz w:val="22"/>
          <w:szCs w:val="22"/>
        </w:rPr>
        <w:t xml:space="preserve"> corrected for this by robustly estimating the standard errors of point estimates</w:t>
      </w:r>
      <w:r w:rsidR="009C3492">
        <w:rPr>
          <w:rFonts w:ascii="Arial" w:hAnsi="Arial" w:cs="Arial"/>
          <w:sz w:val="22"/>
          <w:szCs w:val="22"/>
        </w:rPr>
        <w:t xml:space="preserve"> of interest</w:t>
      </w:r>
      <w:r w:rsidR="00EC7CB4">
        <w:rPr>
          <w:rFonts w:ascii="Arial" w:hAnsi="Arial" w:cs="Arial"/>
          <w:sz w:val="22"/>
          <w:szCs w:val="22"/>
        </w:rPr>
        <w:t xml:space="preserve">. It was unclear, however, how to use a tool like multiple imputation to correspond to this model in a way that would be deemed “proper” and that would exploit </w:t>
      </w:r>
      <w:r w:rsidR="00303162">
        <w:rPr>
          <w:rFonts w:ascii="Arial" w:hAnsi="Arial" w:cs="Arial"/>
          <w:sz w:val="22"/>
          <w:szCs w:val="22"/>
        </w:rPr>
        <w:t xml:space="preserve">and account for </w:t>
      </w:r>
      <w:r w:rsidR="00EC7CB4">
        <w:rPr>
          <w:rFonts w:ascii="Arial" w:hAnsi="Arial" w:cs="Arial"/>
          <w:sz w:val="22"/>
          <w:szCs w:val="22"/>
        </w:rPr>
        <w:t xml:space="preserve">the correlation in the data. </w:t>
      </w:r>
      <w:r w:rsidR="004A074C">
        <w:rPr>
          <w:rFonts w:ascii="Arial" w:hAnsi="Arial" w:cs="Arial"/>
          <w:sz w:val="22"/>
          <w:szCs w:val="22"/>
        </w:rPr>
        <w:t>Further, t</w:t>
      </w:r>
      <w:r w:rsidR="00EC7CB4">
        <w:rPr>
          <w:rFonts w:ascii="Arial" w:hAnsi="Arial" w:cs="Arial"/>
          <w:sz w:val="22"/>
          <w:szCs w:val="22"/>
        </w:rPr>
        <w:t>his had not been addressed previously in the missing data literature. The data scientists on the team therefore led efforts to study this particular question</w:t>
      </w:r>
      <w:r w:rsidR="00D16C8E">
        <w:rPr>
          <w:rFonts w:ascii="Arial" w:hAnsi="Arial" w:cs="Arial"/>
          <w:sz w:val="22"/>
          <w:szCs w:val="22"/>
        </w:rPr>
        <w:t xml:space="preserve"> </w:t>
      </w:r>
      <w:r w:rsidR="00720A4C">
        <w:rPr>
          <w:rFonts w:ascii="Arial" w:hAnsi="Arial" w:cs="Arial"/>
          <w:sz w:val="22"/>
          <w:szCs w:val="22"/>
        </w:rPr>
        <w:t xml:space="preserve">as </w:t>
      </w:r>
      <w:r w:rsidR="008D1F60">
        <w:rPr>
          <w:rFonts w:ascii="Arial" w:hAnsi="Arial" w:cs="Arial"/>
          <w:sz w:val="22"/>
          <w:szCs w:val="22"/>
        </w:rPr>
        <w:t xml:space="preserve">a </w:t>
      </w:r>
      <w:r w:rsidR="00720A4C">
        <w:rPr>
          <w:rFonts w:ascii="Arial" w:hAnsi="Arial" w:cs="Arial"/>
          <w:sz w:val="22"/>
          <w:szCs w:val="22"/>
        </w:rPr>
        <w:t>contribution</w:t>
      </w:r>
      <w:r w:rsidR="00D16C8E">
        <w:rPr>
          <w:rFonts w:ascii="Arial" w:hAnsi="Arial" w:cs="Arial"/>
          <w:sz w:val="22"/>
          <w:szCs w:val="22"/>
        </w:rPr>
        <w:t xml:space="preserve"> to the field of multiple imputation</w:t>
      </w:r>
      <w:r w:rsidR="008D1F60">
        <w:rPr>
          <w:rFonts w:ascii="Arial" w:hAnsi="Arial" w:cs="Arial"/>
          <w:sz w:val="22"/>
          <w:szCs w:val="22"/>
        </w:rPr>
        <w:t xml:space="preserve"> as well as a contribution to the specific project</w:t>
      </w:r>
      <w:r w:rsidR="00EC7CB4">
        <w:rPr>
          <w:rFonts w:ascii="Arial" w:hAnsi="Arial" w:cs="Arial"/>
          <w:sz w:val="22"/>
          <w:szCs w:val="22"/>
        </w:rPr>
        <w:t xml:space="preserve">. </w:t>
      </w:r>
      <w:r w:rsidR="008013FA">
        <w:rPr>
          <w:rFonts w:ascii="Arial" w:hAnsi="Arial" w:cs="Arial"/>
          <w:sz w:val="22"/>
          <w:szCs w:val="22"/>
        </w:rPr>
        <w:t xml:space="preserve">This work is ongoing and supported by the Patient-Centered Outcomes Research Institute (PCORI). </w:t>
      </w:r>
      <w:r w:rsidR="00EC7CB4">
        <w:rPr>
          <w:rFonts w:ascii="Arial" w:hAnsi="Arial" w:cs="Arial"/>
          <w:sz w:val="22"/>
          <w:szCs w:val="22"/>
        </w:rPr>
        <w:t>Thus</w:t>
      </w:r>
      <w:r w:rsidR="00EC7CB4" w:rsidRPr="00D84B1B">
        <w:rPr>
          <w:rFonts w:ascii="Arial" w:hAnsi="Arial" w:cs="Arial"/>
          <w:sz w:val="22"/>
          <w:szCs w:val="22"/>
        </w:rPr>
        <w:t xml:space="preserve">, </w:t>
      </w:r>
      <w:r w:rsidR="00EC7CB4">
        <w:rPr>
          <w:rFonts w:ascii="Arial" w:hAnsi="Arial" w:cs="Arial"/>
          <w:sz w:val="22"/>
          <w:szCs w:val="22"/>
        </w:rPr>
        <w:t xml:space="preserve">this </w:t>
      </w:r>
      <w:r w:rsidR="00EC7CB4" w:rsidRPr="00D84B1B">
        <w:rPr>
          <w:rFonts w:ascii="Arial" w:hAnsi="Arial" w:cs="Arial"/>
          <w:sz w:val="22"/>
          <w:szCs w:val="22"/>
        </w:rPr>
        <w:t>deeper-level collaboration can be career-building</w:t>
      </w:r>
      <w:r w:rsidR="00EC7CB4">
        <w:rPr>
          <w:rFonts w:ascii="Arial" w:hAnsi="Arial" w:cs="Arial"/>
          <w:sz w:val="22"/>
          <w:szCs w:val="22"/>
        </w:rPr>
        <w:t xml:space="preserve"> for the data scientist as well</w:t>
      </w:r>
      <w:r w:rsidR="00EC7CB4" w:rsidRPr="00D84B1B">
        <w:rPr>
          <w:rFonts w:ascii="Arial" w:hAnsi="Arial" w:cs="Arial"/>
          <w:sz w:val="22"/>
          <w:szCs w:val="22"/>
        </w:rPr>
        <w:t xml:space="preserve">. </w:t>
      </w:r>
    </w:p>
    <w:p w14:paraId="17398876" w14:textId="77777777" w:rsidR="00EC7CB4" w:rsidRDefault="00EC7CB4" w:rsidP="00E25DB7">
      <w:pPr>
        <w:rPr>
          <w:rFonts w:ascii="Arial" w:hAnsi="Arial" w:cs="Arial"/>
          <w:sz w:val="22"/>
          <w:szCs w:val="22"/>
        </w:rPr>
      </w:pPr>
    </w:p>
    <w:p w14:paraId="254A06F4" w14:textId="6C83CED5" w:rsidR="005647E9" w:rsidRPr="00D84B1B" w:rsidRDefault="005647E9" w:rsidP="00025F82">
      <w:pPr>
        <w:rPr>
          <w:rFonts w:ascii="Arial" w:hAnsi="Arial" w:cs="Arial"/>
          <w:sz w:val="22"/>
          <w:szCs w:val="22"/>
        </w:rPr>
      </w:pPr>
      <w:r w:rsidRPr="00D84B1B">
        <w:rPr>
          <w:rFonts w:ascii="Arial" w:hAnsi="Arial" w:cs="Arial"/>
          <w:sz w:val="22"/>
          <w:szCs w:val="22"/>
        </w:rPr>
        <w:t xml:space="preserve">Investigators </w:t>
      </w:r>
      <w:r>
        <w:rPr>
          <w:rFonts w:ascii="Arial" w:hAnsi="Arial" w:cs="Arial"/>
          <w:sz w:val="22"/>
          <w:szCs w:val="22"/>
        </w:rPr>
        <w:t xml:space="preserve">initiating research of biomedical (or other scientific) relevance </w:t>
      </w:r>
      <w:r w:rsidRPr="00D84B1B">
        <w:rPr>
          <w:rFonts w:ascii="Arial" w:hAnsi="Arial" w:cs="Arial"/>
          <w:sz w:val="22"/>
          <w:szCs w:val="22"/>
        </w:rPr>
        <w:t xml:space="preserve">will gain from including the </w:t>
      </w:r>
      <w:r>
        <w:rPr>
          <w:rFonts w:ascii="Arial" w:hAnsi="Arial" w:cs="Arial"/>
          <w:sz w:val="22"/>
          <w:szCs w:val="22"/>
        </w:rPr>
        <w:t>data scientist</w:t>
      </w:r>
      <w:r w:rsidRPr="00D84B1B">
        <w:rPr>
          <w:rFonts w:ascii="Arial" w:hAnsi="Arial" w:cs="Arial"/>
          <w:sz w:val="22"/>
          <w:szCs w:val="22"/>
        </w:rPr>
        <w:t xml:space="preserve"> on the team</w:t>
      </w:r>
      <w:r>
        <w:rPr>
          <w:rFonts w:ascii="Arial" w:hAnsi="Arial" w:cs="Arial"/>
          <w:sz w:val="22"/>
          <w:szCs w:val="22"/>
        </w:rPr>
        <w:t xml:space="preserve"> in ways beyond simply having the project’s data-related needs met. In my experience, </w:t>
      </w:r>
      <w:r w:rsidR="004A3AA6">
        <w:rPr>
          <w:rFonts w:ascii="Arial" w:hAnsi="Arial" w:cs="Arial"/>
          <w:sz w:val="22"/>
          <w:szCs w:val="22"/>
        </w:rPr>
        <w:t xml:space="preserve">having </w:t>
      </w:r>
      <w:r>
        <w:rPr>
          <w:rFonts w:ascii="Arial" w:hAnsi="Arial" w:cs="Arial"/>
          <w:sz w:val="22"/>
          <w:szCs w:val="22"/>
        </w:rPr>
        <w:t xml:space="preserve">integrated team members generally means that the roles in the team are </w:t>
      </w:r>
      <w:r w:rsidR="00C73EFE">
        <w:rPr>
          <w:rFonts w:ascii="Arial" w:hAnsi="Arial" w:cs="Arial"/>
          <w:sz w:val="22"/>
          <w:szCs w:val="22"/>
        </w:rPr>
        <w:t>somewhat fluid.  In the example</w:t>
      </w:r>
      <w:r>
        <w:rPr>
          <w:rFonts w:ascii="Arial" w:hAnsi="Arial" w:cs="Arial"/>
          <w:sz w:val="22"/>
          <w:szCs w:val="22"/>
        </w:rPr>
        <w:t xml:space="preserve"> given above</w:t>
      </w:r>
      <w:r w:rsidRPr="00D84B1B">
        <w:rPr>
          <w:rFonts w:ascii="Arial" w:hAnsi="Arial" w:cs="Arial"/>
          <w:sz w:val="22"/>
          <w:szCs w:val="22"/>
        </w:rPr>
        <w:t xml:space="preserve">, being part of the team means that some of the </w:t>
      </w:r>
      <w:r>
        <w:rPr>
          <w:rFonts w:ascii="Arial" w:hAnsi="Arial" w:cs="Arial"/>
          <w:sz w:val="22"/>
          <w:szCs w:val="22"/>
        </w:rPr>
        <w:t xml:space="preserve">resulting </w:t>
      </w:r>
      <w:r w:rsidRPr="00D84B1B">
        <w:rPr>
          <w:rFonts w:ascii="Arial" w:hAnsi="Arial" w:cs="Arial"/>
          <w:sz w:val="22"/>
          <w:szCs w:val="22"/>
        </w:rPr>
        <w:t xml:space="preserve">papers will be led by </w:t>
      </w:r>
      <w:r>
        <w:rPr>
          <w:rFonts w:ascii="Arial" w:hAnsi="Arial" w:cs="Arial"/>
          <w:sz w:val="22"/>
          <w:szCs w:val="22"/>
        </w:rPr>
        <w:t>the data scientists in the group</w:t>
      </w:r>
      <w:r w:rsidRPr="00D84B1B">
        <w:rPr>
          <w:rFonts w:ascii="Arial" w:hAnsi="Arial" w:cs="Arial"/>
          <w:sz w:val="22"/>
          <w:szCs w:val="22"/>
        </w:rPr>
        <w:t>, some will be led</w:t>
      </w:r>
      <w:r>
        <w:rPr>
          <w:rFonts w:ascii="Arial" w:hAnsi="Arial" w:cs="Arial"/>
          <w:sz w:val="22"/>
          <w:szCs w:val="22"/>
        </w:rPr>
        <w:t xml:space="preserve"> by the clinical investigator who initiated the study, and some may be led by a clinical fellow</w:t>
      </w:r>
      <w:r w:rsidRPr="00D84B1B">
        <w:rPr>
          <w:rFonts w:ascii="Arial" w:hAnsi="Arial" w:cs="Arial"/>
          <w:sz w:val="22"/>
          <w:szCs w:val="22"/>
        </w:rPr>
        <w:t xml:space="preserve"> being mentored by the </w:t>
      </w:r>
      <w:r>
        <w:rPr>
          <w:rFonts w:ascii="Arial" w:hAnsi="Arial" w:cs="Arial"/>
          <w:sz w:val="22"/>
          <w:szCs w:val="22"/>
        </w:rPr>
        <w:t>clinical investigator</w:t>
      </w:r>
      <w:r w:rsidRPr="00D84B1B">
        <w:rPr>
          <w:rFonts w:ascii="Arial" w:hAnsi="Arial" w:cs="Arial"/>
          <w:sz w:val="22"/>
          <w:szCs w:val="22"/>
        </w:rPr>
        <w:t xml:space="preserve">. Having additional papers led by </w:t>
      </w:r>
      <w:r>
        <w:rPr>
          <w:rFonts w:ascii="Arial" w:hAnsi="Arial" w:cs="Arial"/>
          <w:sz w:val="22"/>
          <w:szCs w:val="22"/>
        </w:rPr>
        <w:t>data scientists</w:t>
      </w:r>
      <w:r w:rsidRPr="00D84B1B">
        <w:rPr>
          <w:rFonts w:ascii="Arial" w:hAnsi="Arial" w:cs="Arial"/>
          <w:sz w:val="22"/>
          <w:szCs w:val="22"/>
        </w:rPr>
        <w:t xml:space="preserve"> will increase prod</w:t>
      </w:r>
      <w:r>
        <w:rPr>
          <w:rFonts w:ascii="Arial" w:hAnsi="Arial" w:cs="Arial"/>
          <w:sz w:val="22"/>
          <w:szCs w:val="22"/>
        </w:rPr>
        <w:t xml:space="preserve">uctivity for the research team.  Further, </w:t>
      </w:r>
      <w:r w:rsidRPr="00D84B1B">
        <w:rPr>
          <w:rFonts w:ascii="Arial" w:hAnsi="Arial" w:cs="Arial"/>
          <w:sz w:val="22"/>
          <w:szCs w:val="22"/>
        </w:rPr>
        <w:t>those methodological findings will directly benefit the in</w:t>
      </w:r>
      <w:r>
        <w:rPr>
          <w:rFonts w:ascii="Arial" w:hAnsi="Arial" w:cs="Arial"/>
          <w:sz w:val="22"/>
          <w:szCs w:val="22"/>
        </w:rPr>
        <w:t>vestigator’s scientific program</w:t>
      </w:r>
      <w:r w:rsidR="007F40E7">
        <w:rPr>
          <w:rFonts w:ascii="Arial" w:hAnsi="Arial" w:cs="Arial"/>
          <w:sz w:val="22"/>
          <w:szCs w:val="22"/>
        </w:rPr>
        <w:t xml:space="preserve"> and raise the overall quality of the research</w:t>
      </w:r>
      <w:r>
        <w:rPr>
          <w:rFonts w:ascii="Arial" w:hAnsi="Arial" w:cs="Arial"/>
          <w:sz w:val="22"/>
          <w:szCs w:val="22"/>
        </w:rPr>
        <w:t>.</w:t>
      </w:r>
      <w:r w:rsidR="004823B1">
        <w:rPr>
          <w:rFonts w:ascii="Arial" w:hAnsi="Arial" w:cs="Arial"/>
          <w:sz w:val="22"/>
          <w:szCs w:val="22"/>
        </w:rPr>
        <w:t xml:space="preserve">  Finally, opportunities to take the lead on </w:t>
      </w:r>
      <w:r w:rsidR="00BF294C">
        <w:rPr>
          <w:rFonts w:ascii="Arial" w:hAnsi="Arial" w:cs="Arial"/>
          <w:sz w:val="22"/>
          <w:szCs w:val="22"/>
        </w:rPr>
        <w:t>various aspects of the project</w:t>
      </w:r>
      <w:r w:rsidR="004823B1">
        <w:rPr>
          <w:rFonts w:ascii="Arial" w:hAnsi="Arial" w:cs="Arial"/>
          <w:sz w:val="22"/>
          <w:szCs w:val="22"/>
        </w:rPr>
        <w:t xml:space="preserve"> ensures that all members are invested. These are qualities that </w:t>
      </w:r>
      <w:r w:rsidR="009B31A3">
        <w:rPr>
          <w:rFonts w:ascii="Arial" w:hAnsi="Arial" w:cs="Arial"/>
          <w:sz w:val="22"/>
          <w:szCs w:val="22"/>
        </w:rPr>
        <w:t xml:space="preserve">will lead to a successfully productive </w:t>
      </w:r>
      <w:r w:rsidR="00025F82">
        <w:rPr>
          <w:rFonts w:ascii="Arial" w:hAnsi="Arial" w:cs="Arial"/>
          <w:sz w:val="22"/>
          <w:szCs w:val="22"/>
        </w:rPr>
        <w:t>research endeavor</w:t>
      </w:r>
      <w:r w:rsidR="009B31A3">
        <w:rPr>
          <w:rFonts w:ascii="Arial" w:hAnsi="Arial" w:cs="Arial"/>
          <w:sz w:val="22"/>
          <w:szCs w:val="22"/>
        </w:rPr>
        <w:t>.</w:t>
      </w:r>
    </w:p>
    <w:p w14:paraId="70FD6D1F" w14:textId="77777777" w:rsidR="00E26F9A" w:rsidRPr="00902228" w:rsidRDefault="00E26F9A" w:rsidP="0098250F">
      <w:pPr>
        <w:rPr>
          <w:rFonts w:ascii="Arial" w:hAnsi="Arial" w:cs="Arial"/>
          <w:sz w:val="22"/>
          <w:szCs w:val="22"/>
        </w:rPr>
      </w:pPr>
    </w:p>
    <w:p w14:paraId="2334109A" w14:textId="7C564335" w:rsidR="00B130D5" w:rsidRPr="00DC4E7F" w:rsidRDefault="00C9698E" w:rsidP="00926671">
      <w:pPr>
        <w:rPr>
          <w:rFonts w:ascii="Arial" w:hAnsi="Arial" w:cs="Arial"/>
          <w:i/>
          <w:iCs/>
          <w:sz w:val="22"/>
          <w:szCs w:val="22"/>
        </w:rPr>
      </w:pPr>
      <w:r>
        <w:rPr>
          <w:rFonts w:ascii="Arial" w:hAnsi="Arial" w:cs="Arial"/>
          <w:i/>
          <w:iCs/>
          <w:sz w:val="22"/>
          <w:szCs w:val="22"/>
        </w:rPr>
        <w:t>Challenges and solutions to promotion</w:t>
      </w:r>
      <w:r w:rsidR="00395ECF">
        <w:rPr>
          <w:rFonts w:ascii="Arial" w:hAnsi="Arial" w:cs="Arial"/>
          <w:i/>
          <w:iCs/>
          <w:sz w:val="22"/>
          <w:szCs w:val="22"/>
        </w:rPr>
        <w:t xml:space="preserve"> of</w:t>
      </w:r>
      <w:r w:rsidR="00C20220">
        <w:rPr>
          <w:rFonts w:ascii="Arial" w:hAnsi="Arial" w:cs="Arial"/>
          <w:i/>
          <w:iCs/>
          <w:sz w:val="22"/>
          <w:szCs w:val="22"/>
        </w:rPr>
        <w:t xml:space="preserve"> the team scientist</w:t>
      </w:r>
    </w:p>
    <w:p w14:paraId="2961A009" w14:textId="610BA095" w:rsidR="004B182A" w:rsidRDefault="005D5EEC" w:rsidP="00ED32C6">
      <w:pPr>
        <w:rPr>
          <w:rFonts w:ascii="Arial" w:hAnsi="Arial" w:cs="Arial"/>
          <w:sz w:val="22"/>
          <w:szCs w:val="22"/>
        </w:rPr>
      </w:pPr>
      <w:r>
        <w:rPr>
          <w:rFonts w:ascii="Arial" w:hAnsi="Arial" w:cs="Arial"/>
          <w:sz w:val="22"/>
          <w:szCs w:val="22"/>
        </w:rPr>
        <w:t>While there are great benefits, p</w:t>
      </w:r>
      <w:r w:rsidR="0098250F" w:rsidRPr="00902228">
        <w:rPr>
          <w:rFonts w:ascii="Arial" w:hAnsi="Arial" w:cs="Arial"/>
          <w:sz w:val="22"/>
          <w:szCs w:val="22"/>
        </w:rPr>
        <w:t xml:space="preserve">articipation in team science is not without issues.  </w:t>
      </w:r>
      <w:r>
        <w:rPr>
          <w:rFonts w:ascii="Arial" w:hAnsi="Arial" w:cs="Arial"/>
          <w:sz w:val="22"/>
          <w:szCs w:val="22"/>
        </w:rPr>
        <w:t xml:space="preserve">One issue is obtaining appropriate academic credit for one’s work. </w:t>
      </w:r>
      <w:r w:rsidR="0098250F" w:rsidRPr="00902228">
        <w:rPr>
          <w:rFonts w:ascii="Arial" w:hAnsi="Arial" w:cs="Arial"/>
          <w:sz w:val="22"/>
          <w:szCs w:val="22"/>
        </w:rPr>
        <w:t xml:space="preserve">While I have led </w:t>
      </w:r>
      <w:r w:rsidR="004B182A">
        <w:rPr>
          <w:rFonts w:ascii="Arial" w:hAnsi="Arial" w:cs="Arial"/>
          <w:sz w:val="22"/>
          <w:szCs w:val="22"/>
        </w:rPr>
        <w:t>teams in</w:t>
      </w:r>
      <w:r w:rsidR="0098250F" w:rsidRPr="00902228">
        <w:rPr>
          <w:rFonts w:ascii="Arial" w:hAnsi="Arial" w:cs="Arial"/>
          <w:sz w:val="22"/>
          <w:szCs w:val="22"/>
        </w:rPr>
        <w:t xml:space="preserve"> efforts that have directly impacted </w:t>
      </w:r>
      <w:r w:rsidR="004B182A">
        <w:rPr>
          <w:rFonts w:ascii="Arial" w:hAnsi="Arial" w:cs="Arial"/>
          <w:sz w:val="22"/>
          <w:szCs w:val="22"/>
        </w:rPr>
        <w:t>the</w:t>
      </w:r>
      <w:r w:rsidR="0098250F" w:rsidRPr="00902228">
        <w:rPr>
          <w:rFonts w:ascii="Arial" w:hAnsi="Arial" w:cs="Arial"/>
          <w:sz w:val="22"/>
          <w:szCs w:val="22"/>
        </w:rPr>
        <w:t xml:space="preserve"> direction</w:t>
      </w:r>
      <w:r w:rsidR="004B182A">
        <w:rPr>
          <w:rFonts w:ascii="Arial" w:hAnsi="Arial" w:cs="Arial"/>
          <w:sz w:val="22"/>
          <w:szCs w:val="22"/>
        </w:rPr>
        <w:t xml:space="preserve"> of the </w:t>
      </w:r>
      <w:r w:rsidR="00C73EFE">
        <w:rPr>
          <w:rFonts w:ascii="Arial" w:hAnsi="Arial" w:cs="Arial"/>
          <w:sz w:val="22"/>
          <w:szCs w:val="22"/>
        </w:rPr>
        <w:t>research</w:t>
      </w:r>
      <w:r w:rsidR="0098250F" w:rsidRPr="00902228">
        <w:rPr>
          <w:rFonts w:ascii="Arial" w:hAnsi="Arial" w:cs="Arial"/>
          <w:sz w:val="22"/>
          <w:szCs w:val="22"/>
        </w:rPr>
        <w:t xml:space="preserve">, for </w:t>
      </w:r>
      <w:r w:rsidR="00290893">
        <w:rPr>
          <w:rFonts w:ascii="Arial" w:hAnsi="Arial" w:cs="Arial"/>
          <w:sz w:val="22"/>
          <w:szCs w:val="22"/>
        </w:rPr>
        <w:t>many</w:t>
      </w:r>
      <w:r w:rsidR="0098250F" w:rsidRPr="00902228">
        <w:rPr>
          <w:rFonts w:ascii="Arial" w:hAnsi="Arial" w:cs="Arial"/>
          <w:sz w:val="22"/>
          <w:szCs w:val="22"/>
        </w:rPr>
        <w:t xml:space="preserve"> </w:t>
      </w:r>
      <w:r w:rsidR="004847CA">
        <w:rPr>
          <w:rFonts w:ascii="Arial" w:hAnsi="Arial" w:cs="Arial"/>
          <w:sz w:val="22"/>
          <w:szCs w:val="22"/>
        </w:rPr>
        <w:t xml:space="preserve">of the resulting </w:t>
      </w:r>
      <w:r w:rsidR="0098250F" w:rsidRPr="00902228">
        <w:rPr>
          <w:rFonts w:ascii="Arial" w:hAnsi="Arial" w:cs="Arial"/>
          <w:sz w:val="22"/>
          <w:szCs w:val="22"/>
        </w:rPr>
        <w:t xml:space="preserve">manuscripts I </w:t>
      </w:r>
      <w:r w:rsidR="00DB45CC">
        <w:rPr>
          <w:rFonts w:ascii="Arial" w:hAnsi="Arial" w:cs="Arial"/>
          <w:sz w:val="22"/>
          <w:szCs w:val="22"/>
        </w:rPr>
        <w:t>am</w:t>
      </w:r>
      <w:r w:rsidR="0098250F" w:rsidRPr="00902228">
        <w:rPr>
          <w:rFonts w:ascii="Arial" w:hAnsi="Arial" w:cs="Arial"/>
          <w:sz w:val="22"/>
          <w:szCs w:val="22"/>
        </w:rPr>
        <w:t xml:space="preserve"> middle author. This placement of authorship </w:t>
      </w:r>
      <w:r w:rsidR="00F85EA5">
        <w:rPr>
          <w:rFonts w:ascii="Arial" w:hAnsi="Arial" w:cs="Arial"/>
          <w:sz w:val="22"/>
          <w:szCs w:val="22"/>
        </w:rPr>
        <w:t xml:space="preserve">may be appropriate and </w:t>
      </w:r>
      <w:r w:rsidR="0098250F" w:rsidRPr="00902228">
        <w:rPr>
          <w:rFonts w:ascii="Arial" w:hAnsi="Arial" w:cs="Arial"/>
          <w:sz w:val="22"/>
          <w:szCs w:val="22"/>
        </w:rPr>
        <w:t xml:space="preserve">does not signal insignificant contribution, but it does pose a difficulty with the classical metrics used in faculty evaluation: leading manuscripts and serving as </w:t>
      </w:r>
      <w:r w:rsidR="0098250F" w:rsidRPr="00F85EA5">
        <w:rPr>
          <w:rFonts w:ascii="Arial" w:hAnsi="Arial" w:cs="Arial"/>
          <w:sz w:val="22"/>
          <w:szCs w:val="22"/>
        </w:rPr>
        <w:t xml:space="preserve">principal investigator on grants. </w:t>
      </w:r>
      <w:r w:rsidR="00F85EA5" w:rsidRPr="00DC4E7F">
        <w:rPr>
          <w:rFonts w:ascii="Arial" w:hAnsi="Arial" w:cs="Arial"/>
          <w:sz w:val="22"/>
          <w:szCs w:val="22"/>
        </w:rPr>
        <w:t xml:space="preserve">For example, if the data scientist leads in developing the analysis </w:t>
      </w:r>
      <w:r w:rsidR="009A5FE4">
        <w:rPr>
          <w:rFonts w:ascii="Arial" w:hAnsi="Arial" w:cs="Arial"/>
          <w:sz w:val="22"/>
          <w:szCs w:val="22"/>
        </w:rPr>
        <w:t>approach</w:t>
      </w:r>
      <w:r w:rsidR="00F85EA5" w:rsidRPr="00DC4E7F">
        <w:rPr>
          <w:rFonts w:ascii="Arial" w:hAnsi="Arial" w:cs="Arial"/>
          <w:sz w:val="22"/>
          <w:szCs w:val="22"/>
        </w:rPr>
        <w:t xml:space="preserve">, oversees the analysis, provides principal interpretation for the study findings, and writes the methods and results section of the manuscript, a second place in </w:t>
      </w:r>
      <w:r w:rsidR="009119B8">
        <w:rPr>
          <w:rFonts w:ascii="Arial" w:hAnsi="Arial" w:cs="Arial"/>
          <w:sz w:val="22"/>
          <w:szCs w:val="22"/>
        </w:rPr>
        <w:t xml:space="preserve">the </w:t>
      </w:r>
      <w:r w:rsidR="00F85EA5" w:rsidRPr="00DC4E7F">
        <w:rPr>
          <w:rFonts w:ascii="Arial" w:hAnsi="Arial" w:cs="Arial"/>
          <w:sz w:val="22"/>
          <w:szCs w:val="22"/>
        </w:rPr>
        <w:t>authorship order may be appropriate</w:t>
      </w:r>
      <w:r w:rsidR="00C52FB5">
        <w:rPr>
          <w:rFonts w:ascii="Arial" w:hAnsi="Arial" w:cs="Arial"/>
          <w:sz w:val="22"/>
          <w:szCs w:val="22"/>
        </w:rPr>
        <w:t xml:space="preserve">.  At the same time, when being considered for promotion, such effort should be </w:t>
      </w:r>
      <w:r w:rsidR="006030F9">
        <w:rPr>
          <w:rFonts w:ascii="Arial" w:hAnsi="Arial" w:cs="Arial"/>
          <w:sz w:val="22"/>
          <w:szCs w:val="22"/>
        </w:rPr>
        <w:t xml:space="preserve">considered </w:t>
      </w:r>
      <w:r w:rsidR="00C52FB5">
        <w:rPr>
          <w:rFonts w:ascii="Arial" w:hAnsi="Arial" w:cs="Arial"/>
          <w:sz w:val="22"/>
          <w:szCs w:val="22"/>
        </w:rPr>
        <w:t>along the same lines as a first author paper</w:t>
      </w:r>
      <w:r w:rsidR="00F85EA5" w:rsidRPr="00DC4E7F">
        <w:rPr>
          <w:rFonts w:ascii="Arial" w:hAnsi="Arial" w:cs="Arial"/>
          <w:sz w:val="22"/>
          <w:szCs w:val="22"/>
        </w:rPr>
        <w:t xml:space="preserve">, </w:t>
      </w:r>
      <w:r w:rsidR="00506969">
        <w:rPr>
          <w:rFonts w:ascii="Arial" w:hAnsi="Arial" w:cs="Arial"/>
          <w:sz w:val="22"/>
          <w:szCs w:val="22"/>
        </w:rPr>
        <w:t>particularly as the effort reflects leadership in the contribution</w:t>
      </w:r>
      <w:r w:rsidR="00C52FB5">
        <w:rPr>
          <w:rFonts w:ascii="Arial" w:hAnsi="Arial" w:cs="Arial"/>
          <w:sz w:val="22"/>
          <w:szCs w:val="22"/>
        </w:rPr>
        <w:t xml:space="preserve"> of that discipline</w:t>
      </w:r>
      <w:r w:rsidR="00F85EA5" w:rsidRPr="00DC4E7F">
        <w:rPr>
          <w:rFonts w:ascii="Arial" w:hAnsi="Arial" w:cs="Arial"/>
          <w:sz w:val="22"/>
          <w:szCs w:val="22"/>
        </w:rPr>
        <w:t xml:space="preserve">. </w:t>
      </w:r>
      <w:r w:rsidR="0098250F" w:rsidRPr="00902228">
        <w:rPr>
          <w:rFonts w:ascii="Arial" w:hAnsi="Arial" w:cs="Arial"/>
          <w:sz w:val="22"/>
          <w:szCs w:val="22"/>
        </w:rPr>
        <w:t>Today, only about one quarter of institutions have revised their metrics for promotion to include some aspect of team science contributions</w:t>
      </w:r>
      <w:r w:rsidR="00357410">
        <w:rPr>
          <w:rFonts w:ascii="Arial" w:hAnsi="Arial" w:cs="Arial"/>
          <w:sz w:val="22"/>
          <w:szCs w:val="22"/>
        </w:rPr>
        <w:t xml:space="preserve"> (9</w:t>
      </w:r>
      <w:r w:rsidR="005C0F63">
        <w:rPr>
          <w:rFonts w:ascii="Arial" w:hAnsi="Arial" w:cs="Arial"/>
          <w:sz w:val="22"/>
          <w:szCs w:val="22"/>
        </w:rPr>
        <w:t>)</w:t>
      </w:r>
      <w:r w:rsidR="00E57892">
        <w:rPr>
          <w:rFonts w:ascii="Arial" w:hAnsi="Arial" w:cs="Arial"/>
          <w:sz w:val="22"/>
          <w:szCs w:val="22"/>
        </w:rPr>
        <w:t>.</w:t>
      </w:r>
      <w:r w:rsidR="00E57892" w:rsidRPr="00E57892">
        <w:rPr>
          <w:rFonts w:ascii="Arial" w:hAnsi="Arial" w:cs="Arial"/>
          <w:sz w:val="22"/>
          <w:szCs w:val="22"/>
          <w:vertAlign w:val="superscript"/>
        </w:rPr>
        <w:t xml:space="preserve"> </w:t>
      </w:r>
      <w:r w:rsidR="000A4F93">
        <w:rPr>
          <w:rFonts w:ascii="Arial" w:hAnsi="Arial" w:cs="Arial"/>
          <w:sz w:val="22"/>
          <w:szCs w:val="22"/>
        </w:rPr>
        <w:t xml:space="preserve"> </w:t>
      </w:r>
      <w:r w:rsidR="004B182A" w:rsidRPr="00902228">
        <w:rPr>
          <w:rFonts w:ascii="Arial" w:hAnsi="Arial" w:cs="Arial"/>
          <w:sz w:val="22"/>
          <w:szCs w:val="22"/>
        </w:rPr>
        <w:t>By adhering to metrics that do not appropriately value team science contributions, academic institutions discourage faculty involvement in team science.</w:t>
      </w:r>
      <w:r>
        <w:rPr>
          <w:rFonts w:ascii="Arial" w:hAnsi="Arial" w:cs="Arial"/>
          <w:sz w:val="22"/>
          <w:szCs w:val="22"/>
        </w:rPr>
        <w:t xml:space="preserve">  </w:t>
      </w:r>
      <w:r w:rsidR="00B96B8A">
        <w:rPr>
          <w:rFonts w:ascii="Arial" w:hAnsi="Arial" w:cs="Arial"/>
          <w:sz w:val="22"/>
          <w:szCs w:val="22"/>
        </w:rPr>
        <w:t>Consequently</w:t>
      </w:r>
      <w:r w:rsidR="00C50EF3">
        <w:rPr>
          <w:rFonts w:ascii="Arial" w:hAnsi="Arial" w:cs="Arial"/>
          <w:sz w:val="22"/>
          <w:szCs w:val="22"/>
        </w:rPr>
        <w:t xml:space="preserve">, </w:t>
      </w:r>
      <w:r w:rsidR="00111651" w:rsidRPr="006C4ABF">
        <w:rPr>
          <w:rFonts w:ascii="Arial" w:hAnsi="Arial" w:cs="Arial"/>
          <w:sz w:val="22"/>
          <w:szCs w:val="22"/>
        </w:rPr>
        <w:t>data scientists</w:t>
      </w:r>
      <w:r w:rsidR="00111651">
        <w:rPr>
          <w:rFonts w:ascii="Arial" w:hAnsi="Arial" w:cs="Arial"/>
          <w:sz w:val="22"/>
          <w:szCs w:val="22"/>
        </w:rPr>
        <w:t xml:space="preserve"> </w:t>
      </w:r>
      <w:r w:rsidR="00C50EF3">
        <w:rPr>
          <w:rFonts w:ascii="Arial" w:hAnsi="Arial" w:cs="Arial"/>
          <w:sz w:val="22"/>
          <w:szCs w:val="22"/>
        </w:rPr>
        <w:t xml:space="preserve">may </w:t>
      </w:r>
      <w:r w:rsidR="00111651" w:rsidRPr="006C4ABF">
        <w:rPr>
          <w:rFonts w:ascii="Arial" w:hAnsi="Arial" w:cs="Arial"/>
          <w:sz w:val="22"/>
          <w:szCs w:val="22"/>
        </w:rPr>
        <w:t xml:space="preserve">opt not to be involved in cutting-edge research where they are not listed as first or senior authors, </w:t>
      </w:r>
      <w:r w:rsidR="0042698C">
        <w:rPr>
          <w:rFonts w:ascii="Arial" w:hAnsi="Arial" w:cs="Arial"/>
          <w:sz w:val="22"/>
          <w:szCs w:val="22"/>
        </w:rPr>
        <w:t xml:space="preserve">potentially impacting </w:t>
      </w:r>
      <w:r w:rsidR="00ED32C6">
        <w:rPr>
          <w:rFonts w:ascii="Arial" w:hAnsi="Arial" w:cs="Arial"/>
          <w:sz w:val="22"/>
          <w:szCs w:val="22"/>
        </w:rPr>
        <w:t>studies that rely</w:t>
      </w:r>
      <w:r w:rsidR="00111651" w:rsidRPr="006C4ABF">
        <w:rPr>
          <w:rFonts w:ascii="Arial" w:hAnsi="Arial" w:cs="Arial"/>
          <w:sz w:val="22"/>
          <w:szCs w:val="22"/>
        </w:rPr>
        <w:t xml:space="preserve"> on </w:t>
      </w:r>
      <w:r w:rsidR="00AE332A">
        <w:rPr>
          <w:rFonts w:ascii="Arial" w:hAnsi="Arial" w:cs="Arial"/>
          <w:sz w:val="22"/>
          <w:szCs w:val="22"/>
        </w:rPr>
        <w:t>data science expertise</w:t>
      </w:r>
      <w:r w:rsidR="00111651" w:rsidRPr="006C4ABF">
        <w:rPr>
          <w:rFonts w:ascii="Arial" w:hAnsi="Arial" w:cs="Arial"/>
          <w:sz w:val="22"/>
          <w:szCs w:val="22"/>
        </w:rPr>
        <w:t>.</w:t>
      </w:r>
      <w:r w:rsidR="00111651">
        <w:rPr>
          <w:rFonts w:ascii="Arial" w:hAnsi="Arial" w:cs="Arial"/>
          <w:sz w:val="22"/>
          <w:szCs w:val="22"/>
        </w:rPr>
        <w:t xml:space="preserve"> </w:t>
      </w:r>
      <w:r>
        <w:rPr>
          <w:rFonts w:ascii="Arial" w:hAnsi="Arial" w:cs="Arial"/>
          <w:sz w:val="22"/>
          <w:szCs w:val="22"/>
        </w:rPr>
        <w:t xml:space="preserve">This is an area that can be addressed by academic leaders </w:t>
      </w:r>
      <w:r w:rsidR="00481FD6">
        <w:rPr>
          <w:rFonts w:ascii="Arial" w:hAnsi="Arial" w:cs="Arial"/>
          <w:sz w:val="22"/>
          <w:szCs w:val="22"/>
        </w:rPr>
        <w:t xml:space="preserve">invested in </w:t>
      </w:r>
      <w:r>
        <w:rPr>
          <w:rFonts w:ascii="Arial" w:hAnsi="Arial" w:cs="Arial"/>
          <w:sz w:val="22"/>
          <w:szCs w:val="22"/>
        </w:rPr>
        <w:t>foster</w:t>
      </w:r>
      <w:r w:rsidR="00481FD6">
        <w:rPr>
          <w:rFonts w:ascii="Arial" w:hAnsi="Arial" w:cs="Arial"/>
          <w:sz w:val="22"/>
          <w:szCs w:val="22"/>
        </w:rPr>
        <w:t>ing team science on campus</w:t>
      </w:r>
      <w:r>
        <w:rPr>
          <w:rFonts w:ascii="Arial" w:hAnsi="Arial" w:cs="Arial"/>
          <w:sz w:val="22"/>
          <w:szCs w:val="22"/>
        </w:rPr>
        <w:t>.</w:t>
      </w:r>
    </w:p>
    <w:p w14:paraId="7BB4A94A" w14:textId="77777777" w:rsidR="004B182A" w:rsidRDefault="004B182A" w:rsidP="004B182A">
      <w:pPr>
        <w:rPr>
          <w:rFonts w:ascii="Arial" w:hAnsi="Arial" w:cs="Arial"/>
          <w:sz w:val="22"/>
          <w:szCs w:val="22"/>
        </w:rPr>
      </w:pPr>
    </w:p>
    <w:p w14:paraId="672E8426" w14:textId="53787735" w:rsidR="0098250F" w:rsidRPr="00902228" w:rsidRDefault="007533BC" w:rsidP="005D2922">
      <w:pPr>
        <w:rPr>
          <w:rFonts w:ascii="Arial" w:hAnsi="Arial" w:cs="Arial"/>
          <w:sz w:val="22"/>
          <w:szCs w:val="22"/>
        </w:rPr>
      </w:pPr>
      <w:r>
        <w:rPr>
          <w:rFonts w:ascii="Arial" w:hAnsi="Arial" w:cs="Arial"/>
          <w:sz w:val="22"/>
          <w:szCs w:val="22"/>
        </w:rPr>
        <w:t xml:space="preserve">One such suggestion as to how recognition can be assessed was provided by </w:t>
      </w:r>
      <w:r w:rsidR="002139FF" w:rsidRPr="00D84B1B">
        <w:rPr>
          <w:rFonts w:ascii="Arial" w:hAnsi="Arial" w:cs="Arial"/>
          <w:sz w:val="22"/>
          <w:szCs w:val="22"/>
        </w:rPr>
        <w:t>Mazumdar et al</w:t>
      </w:r>
      <w:r w:rsidR="002139FF">
        <w:rPr>
          <w:rFonts w:ascii="Arial" w:hAnsi="Arial" w:cs="Arial"/>
          <w:sz w:val="22"/>
          <w:szCs w:val="22"/>
        </w:rPr>
        <w:t>.</w:t>
      </w:r>
      <w:r w:rsidR="002139FF" w:rsidRPr="00F147D8">
        <w:rPr>
          <w:rFonts w:ascii="Arial" w:hAnsi="Arial" w:cs="Arial"/>
          <w:sz w:val="22"/>
          <w:szCs w:val="22"/>
          <w:vertAlign w:val="superscript"/>
        </w:rPr>
        <w:t xml:space="preserve"> </w:t>
      </w:r>
      <w:r w:rsidR="00670380">
        <w:rPr>
          <w:rFonts w:ascii="Arial" w:hAnsi="Arial" w:cs="Arial"/>
          <w:sz w:val="22"/>
          <w:szCs w:val="22"/>
        </w:rPr>
        <w:t>The authors developed</w:t>
      </w:r>
      <w:r w:rsidR="002139FF" w:rsidRPr="00D84B1B">
        <w:rPr>
          <w:rFonts w:ascii="Arial" w:hAnsi="Arial" w:cs="Arial"/>
          <w:sz w:val="22"/>
          <w:szCs w:val="22"/>
        </w:rPr>
        <w:t xml:space="preserve"> an excellent and systematic approach for how evaluation and promotion could better recognize the intellectual leadership of the team scientist</w:t>
      </w:r>
      <w:r w:rsidR="00357410">
        <w:rPr>
          <w:rFonts w:ascii="Arial" w:hAnsi="Arial" w:cs="Arial"/>
          <w:sz w:val="22"/>
          <w:szCs w:val="22"/>
        </w:rPr>
        <w:t xml:space="preserve"> (9)</w:t>
      </w:r>
      <w:r w:rsidR="00E57892">
        <w:rPr>
          <w:rFonts w:ascii="Arial" w:hAnsi="Arial" w:cs="Arial"/>
          <w:sz w:val="22"/>
          <w:szCs w:val="22"/>
        </w:rPr>
        <w:t>.</w:t>
      </w:r>
      <w:r w:rsidR="004B182A">
        <w:rPr>
          <w:rFonts w:ascii="Arial" w:hAnsi="Arial" w:cs="Arial"/>
          <w:sz w:val="22"/>
          <w:szCs w:val="22"/>
        </w:rPr>
        <w:t xml:space="preserve"> </w:t>
      </w:r>
      <w:r w:rsidR="00B03526">
        <w:rPr>
          <w:rFonts w:ascii="Arial" w:hAnsi="Arial" w:cs="Arial"/>
          <w:sz w:val="22"/>
          <w:szCs w:val="22"/>
        </w:rPr>
        <w:t>They described</w:t>
      </w:r>
      <w:r w:rsidR="002139FF" w:rsidRPr="00D84B1B">
        <w:rPr>
          <w:rFonts w:ascii="Arial" w:hAnsi="Arial" w:cs="Arial"/>
          <w:sz w:val="22"/>
          <w:szCs w:val="22"/>
        </w:rPr>
        <w:t xml:space="preserve"> how to evaluate contributions to publications, grants, and research programs, in order to summarize overall scholarship in a way that appropriately weights </w:t>
      </w:r>
      <w:r w:rsidR="005D2922">
        <w:rPr>
          <w:rFonts w:ascii="Arial" w:hAnsi="Arial" w:cs="Arial"/>
          <w:sz w:val="22"/>
          <w:szCs w:val="22"/>
        </w:rPr>
        <w:t>efforts toward</w:t>
      </w:r>
      <w:r w:rsidR="00DA17A4">
        <w:rPr>
          <w:rFonts w:ascii="Arial" w:hAnsi="Arial" w:cs="Arial"/>
          <w:sz w:val="22"/>
          <w:szCs w:val="22"/>
        </w:rPr>
        <w:t xml:space="preserve"> </w:t>
      </w:r>
      <w:r w:rsidR="002139FF" w:rsidRPr="00D84B1B">
        <w:rPr>
          <w:rFonts w:ascii="Arial" w:hAnsi="Arial" w:cs="Arial"/>
          <w:sz w:val="22"/>
          <w:szCs w:val="22"/>
        </w:rPr>
        <w:t xml:space="preserve">team-based science. </w:t>
      </w:r>
      <w:r w:rsidR="008D4395">
        <w:rPr>
          <w:rFonts w:ascii="Arial" w:hAnsi="Arial" w:cs="Arial"/>
          <w:sz w:val="22"/>
          <w:szCs w:val="22"/>
        </w:rPr>
        <w:t>More specifically, t</w:t>
      </w:r>
      <w:r w:rsidR="004D1BC3">
        <w:rPr>
          <w:rFonts w:ascii="Arial" w:hAnsi="Arial" w:cs="Arial"/>
          <w:sz w:val="22"/>
          <w:szCs w:val="22"/>
        </w:rPr>
        <w:t xml:space="preserve">he authors </w:t>
      </w:r>
      <w:r w:rsidR="008D4395">
        <w:rPr>
          <w:rFonts w:ascii="Arial" w:hAnsi="Arial" w:cs="Arial"/>
          <w:sz w:val="22"/>
          <w:szCs w:val="22"/>
        </w:rPr>
        <w:t>presented</w:t>
      </w:r>
      <w:r w:rsidR="004D1BC3">
        <w:rPr>
          <w:rFonts w:ascii="Arial" w:hAnsi="Arial" w:cs="Arial"/>
          <w:sz w:val="22"/>
          <w:szCs w:val="22"/>
        </w:rPr>
        <w:t xml:space="preserve"> </w:t>
      </w:r>
      <w:r w:rsidR="0071108F">
        <w:rPr>
          <w:rFonts w:ascii="Arial" w:hAnsi="Arial" w:cs="Arial"/>
          <w:sz w:val="22"/>
          <w:szCs w:val="22"/>
        </w:rPr>
        <w:t>a general framework for evaluating</w:t>
      </w:r>
      <w:r w:rsidR="004D1BC3">
        <w:rPr>
          <w:rFonts w:ascii="Arial" w:hAnsi="Arial" w:cs="Arial"/>
          <w:sz w:val="22"/>
          <w:szCs w:val="22"/>
        </w:rPr>
        <w:t xml:space="preserve"> faculty </w:t>
      </w:r>
      <w:r w:rsidR="00AE6779">
        <w:rPr>
          <w:rFonts w:ascii="Arial" w:hAnsi="Arial" w:cs="Arial"/>
          <w:sz w:val="22"/>
          <w:szCs w:val="22"/>
        </w:rPr>
        <w:t xml:space="preserve">conducting team science </w:t>
      </w:r>
      <w:r w:rsidR="004D1BC3">
        <w:rPr>
          <w:rFonts w:ascii="Arial" w:hAnsi="Arial" w:cs="Arial"/>
          <w:sz w:val="22"/>
          <w:szCs w:val="22"/>
        </w:rPr>
        <w:t xml:space="preserve">among three key </w:t>
      </w:r>
      <w:r w:rsidR="0078673E">
        <w:rPr>
          <w:rFonts w:ascii="Arial" w:hAnsi="Arial" w:cs="Arial"/>
          <w:sz w:val="22"/>
          <w:szCs w:val="22"/>
        </w:rPr>
        <w:t xml:space="preserve">domain </w:t>
      </w:r>
      <w:r w:rsidR="004D1BC3">
        <w:rPr>
          <w:rFonts w:ascii="Arial" w:hAnsi="Arial" w:cs="Arial"/>
          <w:sz w:val="22"/>
          <w:szCs w:val="22"/>
        </w:rPr>
        <w:t xml:space="preserve">areas that are typically assessed using traditional metrics: scholarship, teaching, and service. </w:t>
      </w:r>
      <w:r w:rsidR="0078673E">
        <w:rPr>
          <w:rFonts w:ascii="Arial" w:hAnsi="Arial" w:cs="Arial"/>
          <w:sz w:val="22"/>
          <w:szCs w:val="22"/>
        </w:rPr>
        <w:t xml:space="preserve">Within each of the three domains, the authors </w:t>
      </w:r>
      <w:r w:rsidR="0071108F">
        <w:rPr>
          <w:rFonts w:ascii="Arial" w:hAnsi="Arial" w:cs="Arial"/>
          <w:sz w:val="22"/>
          <w:szCs w:val="22"/>
        </w:rPr>
        <w:t>illustrate</w:t>
      </w:r>
      <w:r w:rsidR="008D4395">
        <w:rPr>
          <w:rFonts w:ascii="Arial" w:hAnsi="Arial" w:cs="Arial"/>
          <w:sz w:val="22"/>
          <w:szCs w:val="22"/>
        </w:rPr>
        <w:t>d</w:t>
      </w:r>
      <w:r w:rsidR="0078673E">
        <w:rPr>
          <w:rFonts w:ascii="Arial" w:hAnsi="Arial" w:cs="Arial"/>
          <w:sz w:val="22"/>
          <w:szCs w:val="22"/>
        </w:rPr>
        <w:t xml:space="preserve"> an approach for assessing team-based contributions</w:t>
      </w:r>
      <w:r w:rsidR="008D4395">
        <w:rPr>
          <w:rFonts w:ascii="Arial" w:hAnsi="Arial" w:cs="Arial"/>
          <w:sz w:val="22"/>
          <w:szCs w:val="22"/>
        </w:rPr>
        <w:t xml:space="preserve"> and stressed </w:t>
      </w:r>
      <w:r w:rsidR="0071108F">
        <w:rPr>
          <w:rFonts w:ascii="Arial" w:hAnsi="Arial" w:cs="Arial"/>
          <w:sz w:val="22"/>
          <w:szCs w:val="22"/>
        </w:rPr>
        <w:t xml:space="preserve">the importance of basing evaluations on </w:t>
      </w:r>
      <w:r w:rsidR="008D4395">
        <w:rPr>
          <w:rFonts w:ascii="Arial" w:hAnsi="Arial" w:cs="Arial"/>
          <w:sz w:val="22"/>
          <w:szCs w:val="22"/>
        </w:rPr>
        <w:t xml:space="preserve">similarly </w:t>
      </w:r>
      <w:r w:rsidR="0071108F">
        <w:rPr>
          <w:rFonts w:ascii="Arial" w:hAnsi="Arial" w:cs="Arial"/>
          <w:sz w:val="22"/>
          <w:szCs w:val="22"/>
        </w:rPr>
        <w:t xml:space="preserve">well-articulated criteria. </w:t>
      </w:r>
      <w:r w:rsidR="008D4395">
        <w:rPr>
          <w:rFonts w:ascii="Arial" w:hAnsi="Arial" w:cs="Arial"/>
          <w:sz w:val="22"/>
          <w:szCs w:val="22"/>
        </w:rPr>
        <w:t xml:space="preserve">For example, for the data scientist, four main activity areas were identified: Design, Implementation, </w:t>
      </w:r>
      <w:r w:rsidR="006B276B">
        <w:rPr>
          <w:rFonts w:ascii="Arial" w:hAnsi="Arial" w:cs="Arial"/>
          <w:sz w:val="22"/>
          <w:szCs w:val="22"/>
        </w:rPr>
        <w:t>Analysis and Manuscript R</w:t>
      </w:r>
      <w:r w:rsidR="008D4395">
        <w:rPr>
          <w:rFonts w:ascii="Arial" w:hAnsi="Arial" w:cs="Arial"/>
          <w:sz w:val="22"/>
          <w:szCs w:val="22"/>
        </w:rPr>
        <w:t xml:space="preserve">eporting. </w:t>
      </w:r>
      <w:r w:rsidR="00AE6779">
        <w:rPr>
          <w:rFonts w:ascii="Arial" w:hAnsi="Arial" w:cs="Arial"/>
          <w:sz w:val="22"/>
          <w:szCs w:val="22"/>
        </w:rPr>
        <w:t xml:space="preserve">Assessment of an activity or project </w:t>
      </w:r>
      <w:r w:rsidR="008D4395">
        <w:rPr>
          <w:rFonts w:ascii="Arial" w:hAnsi="Arial" w:cs="Arial"/>
          <w:sz w:val="22"/>
          <w:szCs w:val="22"/>
        </w:rPr>
        <w:t xml:space="preserve">would rely on evaluators weighing in on whether the contribution was major, moderate or minor with sample comments to guide and justify the choice. </w:t>
      </w:r>
      <w:r w:rsidR="00DA5C8F">
        <w:rPr>
          <w:rFonts w:ascii="Arial" w:hAnsi="Arial" w:cs="Arial"/>
          <w:sz w:val="22"/>
          <w:szCs w:val="22"/>
        </w:rPr>
        <w:t xml:space="preserve">The authors recommend that major contributions be considered </w:t>
      </w:r>
      <w:r w:rsidR="00AC36E0">
        <w:rPr>
          <w:rFonts w:ascii="Arial" w:hAnsi="Arial" w:cs="Arial"/>
          <w:sz w:val="22"/>
          <w:szCs w:val="22"/>
        </w:rPr>
        <w:t xml:space="preserve">as </w:t>
      </w:r>
      <w:r w:rsidR="00BC21FA">
        <w:rPr>
          <w:rFonts w:ascii="Arial" w:hAnsi="Arial" w:cs="Arial"/>
          <w:sz w:val="22"/>
          <w:szCs w:val="22"/>
        </w:rPr>
        <w:t xml:space="preserve">on </w:t>
      </w:r>
      <w:r w:rsidR="00AC36E0">
        <w:rPr>
          <w:rFonts w:ascii="Arial" w:hAnsi="Arial" w:cs="Arial"/>
          <w:sz w:val="22"/>
          <w:szCs w:val="22"/>
        </w:rPr>
        <w:t xml:space="preserve">the same level as a first or senior author contribution. </w:t>
      </w:r>
      <w:r w:rsidR="002139FF" w:rsidRPr="00D84B1B">
        <w:rPr>
          <w:rFonts w:ascii="Arial" w:hAnsi="Arial" w:cs="Arial"/>
          <w:sz w:val="22"/>
          <w:szCs w:val="22"/>
        </w:rPr>
        <w:t xml:space="preserve">While the </w:t>
      </w:r>
      <w:r w:rsidR="00B03526">
        <w:rPr>
          <w:rFonts w:ascii="Arial" w:hAnsi="Arial" w:cs="Arial"/>
          <w:sz w:val="22"/>
          <w:szCs w:val="22"/>
        </w:rPr>
        <w:t>approach</w:t>
      </w:r>
      <w:r w:rsidR="002139FF" w:rsidRPr="00D84B1B">
        <w:rPr>
          <w:rFonts w:ascii="Arial" w:hAnsi="Arial" w:cs="Arial"/>
          <w:sz w:val="22"/>
          <w:szCs w:val="22"/>
        </w:rPr>
        <w:t xml:space="preserve"> is incredibly valuable, challenge</w:t>
      </w:r>
      <w:r w:rsidR="00E916D7">
        <w:rPr>
          <w:rFonts w:ascii="Arial" w:hAnsi="Arial" w:cs="Arial"/>
          <w:sz w:val="22"/>
          <w:szCs w:val="22"/>
        </w:rPr>
        <w:t>s</w:t>
      </w:r>
      <w:r w:rsidR="002139FF" w:rsidRPr="00D84B1B">
        <w:rPr>
          <w:rFonts w:ascii="Arial" w:hAnsi="Arial" w:cs="Arial"/>
          <w:sz w:val="22"/>
          <w:szCs w:val="22"/>
        </w:rPr>
        <w:t xml:space="preserve"> in its implementation </w:t>
      </w:r>
      <w:r w:rsidR="00E916D7">
        <w:rPr>
          <w:rFonts w:ascii="Arial" w:hAnsi="Arial" w:cs="Arial"/>
          <w:sz w:val="22"/>
          <w:szCs w:val="22"/>
        </w:rPr>
        <w:t>are</w:t>
      </w:r>
      <w:r w:rsidR="002139FF" w:rsidRPr="00D84B1B">
        <w:rPr>
          <w:rFonts w:ascii="Arial" w:hAnsi="Arial" w:cs="Arial"/>
          <w:sz w:val="22"/>
          <w:szCs w:val="22"/>
        </w:rPr>
        <w:t xml:space="preserve"> automating the process which relies on evaluators outside of the members of the promotion committee</w:t>
      </w:r>
      <w:r w:rsidR="00E916D7">
        <w:rPr>
          <w:rFonts w:ascii="Arial" w:hAnsi="Arial" w:cs="Arial"/>
          <w:sz w:val="22"/>
          <w:szCs w:val="22"/>
        </w:rPr>
        <w:t xml:space="preserve"> and tailoring the system for the various types of team scientists</w:t>
      </w:r>
      <w:r w:rsidR="002139FF" w:rsidRPr="00D84B1B">
        <w:rPr>
          <w:rFonts w:ascii="Arial" w:hAnsi="Arial" w:cs="Arial"/>
          <w:sz w:val="22"/>
          <w:szCs w:val="22"/>
        </w:rPr>
        <w:t>.</w:t>
      </w:r>
      <w:r w:rsidR="004B182A">
        <w:rPr>
          <w:rFonts w:ascii="Arial" w:hAnsi="Arial" w:cs="Arial"/>
          <w:sz w:val="22"/>
          <w:szCs w:val="22"/>
        </w:rPr>
        <w:t xml:space="preserve"> </w:t>
      </w:r>
      <w:r w:rsidR="001E330A">
        <w:rPr>
          <w:rFonts w:ascii="Arial" w:hAnsi="Arial" w:cs="Arial"/>
          <w:sz w:val="22"/>
          <w:szCs w:val="22"/>
        </w:rPr>
        <w:t xml:space="preserve">To mitigate this, the authors </w:t>
      </w:r>
      <w:r w:rsidR="002139FF" w:rsidRPr="00D84B1B">
        <w:rPr>
          <w:rFonts w:ascii="Arial" w:hAnsi="Arial" w:cs="Arial"/>
          <w:sz w:val="22"/>
          <w:szCs w:val="22"/>
        </w:rPr>
        <w:t xml:space="preserve">encourage </w:t>
      </w:r>
      <w:r w:rsidR="00856EDB">
        <w:rPr>
          <w:rFonts w:ascii="Arial" w:hAnsi="Arial" w:cs="Arial"/>
          <w:sz w:val="22"/>
          <w:szCs w:val="22"/>
        </w:rPr>
        <w:t xml:space="preserve">institutions to invest in </w:t>
      </w:r>
      <w:r w:rsidR="002139FF" w:rsidRPr="00D84B1B">
        <w:rPr>
          <w:rFonts w:ascii="Arial" w:hAnsi="Arial" w:cs="Arial"/>
          <w:sz w:val="22"/>
          <w:szCs w:val="22"/>
        </w:rPr>
        <w:t>the development of systems to collect such data at the institutional level.</w:t>
      </w:r>
      <w:r w:rsidR="004B182A">
        <w:rPr>
          <w:rFonts w:ascii="Arial" w:hAnsi="Arial" w:cs="Arial"/>
          <w:sz w:val="22"/>
          <w:szCs w:val="22"/>
        </w:rPr>
        <w:t xml:space="preserve"> </w:t>
      </w:r>
      <w:r w:rsidR="0011791C">
        <w:rPr>
          <w:rFonts w:ascii="Arial" w:hAnsi="Arial" w:cs="Arial"/>
          <w:sz w:val="22"/>
          <w:szCs w:val="22"/>
        </w:rPr>
        <w:t xml:space="preserve">Such </w:t>
      </w:r>
      <w:r w:rsidR="00726041">
        <w:rPr>
          <w:rFonts w:ascii="Arial" w:hAnsi="Arial" w:cs="Arial"/>
          <w:sz w:val="22"/>
          <w:szCs w:val="22"/>
        </w:rPr>
        <w:t>system</w:t>
      </w:r>
      <w:r w:rsidR="00781C33">
        <w:rPr>
          <w:rFonts w:ascii="Arial" w:hAnsi="Arial" w:cs="Arial"/>
          <w:sz w:val="22"/>
          <w:szCs w:val="22"/>
        </w:rPr>
        <w:t>s</w:t>
      </w:r>
      <w:r w:rsidR="0011791C">
        <w:rPr>
          <w:rFonts w:ascii="Arial" w:hAnsi="Arial" w:cs="Arial"/>
          <w:sz w:val="22"/>
          <w:szCs w:val="22"/>
        </w:rPr>
        <w:t xml:space="preserve"> would enable </w:t>
      </w:r>
      <w:r w:rsidR="008D4457">
        <w:rPr>
          <w:rFonts w:ascii="Arial" w:hAnsi="Arial" w:cs="Arial"/>
          <w:sz w:val="22"/>
          <w:szCs w:val="22"/>
        </w:rPr>
        <w:t xml:space="preserve">appropriate recognition of </w:t>
      </w:r>
      <w:r w:rsidR="00CE25A7">
        <w:rPr>
          <w:rFonts w:ascii="Arial" w:hAnsi="Arial" w:cs="Arial"/>
          <w:sz w:val="22"/>
          <w:szCs w:val="22"/>
        </w:rPr>
        <w:t xml:space="preserve">significant intellectual contributions by faculty through </w:t>
      </w:r>
      <w:r w:rsidR="00BB589D">
        <w:rPr>
          <w:rFonts w:ascii="Arial" w:hAnsi="Arial" w:cs="Arial"/>
          <w:sz w:val="22"/>
          <w:szCs w:val="22"/>
        </w:rPr>
        <w:t>team scie</w:t>
      </w:r>
      <w:r w:rsidR="00CE25A7">
        <w:rPr>
          <w:rFonts w:ascii="Arial" w:hAnsi="Arial" w:cs="Arial"/>
          <w:sz w:val="22"/>
          <w:szCs w:val="22"/>
        </w:rPr>
        <w:t xml:space="preserve">nce, </w:t>
      </w:r>
      <w:r w:rsidR="00BB589D">
        <w:rPr>
          <w:rFonts w:ascii="Arial" w:hAnsi="Arial" w:cs="Arial"/>
          <w:sz w:val="22"/>
          <w:szCs w:val="22"/>
        </w:rPr>
        <w:t>allow</w:t>
      </w:r>
      <w:r w:rsidR="00CE25A7">
        <w:rPr>
          <w:rFonts w:ascii="Arial" w:hAnsi="Arial" w:cs="Arial"/>
          <w:sz w:val="22"/>
          <w:szCs w:val="22"/>
        </w:rPr>
        <w:t xml:space="preserve">ing </w:t>
      </w:r>
      <w:r w:rsidR="003604DF">
        <w:rPr>
          <w:rFonts w:ascii="Arial" w:hAnsi="Arial" w:cs="Arial"/>
          <w:sz w:val="22"/>
          <w:szCs w:val="22"/>
        </w:rPr>
        <w:t>team-based</w:t>
      </w:r>
      <w:r w:rsidR="00CE25A7">
        <w:rPr>
          <w:rFonts w:ascii="Arial" w:hAnsi="Arial" w:cs="Arial"/>
          <w:sz w:val="22"/>
          <w:szCs w:val="22"/>
        </w:rPr>
        <w:t xml:space="preserve"> collaborations </w:t>
      </w:r>
      <w:r w:rsidR="00BB589D">
        <w:rPr>
          <w:rFonts w:ascii="Arial" w:hAnsi="Arial" w:cs="Arial"/>
          <w:sz w:val="22"/>
          <w:szCs w:val="22"/>
        </w:rPr>
        <w:t>to thrive on campus.</w:t>
      </w:r>
    </w:p>
    <w:p w14:paraId="2FA1A472" w14:textId="77777777" w:rsidR="0098250F" w:rsidRDefault="0098250F" w:rsidP="00C578BC">
      <w:pPr>
        <w:rPr>
          <w:rFonts w:ascii="Arial" w:hAnsi="Arial" w:cs="Arial"/>
          <w:sz w:val="22"/>
          <w:szCs w:val="22"/>
        </w:rPr>
      </w:pPr>
    </w:p>
    <w:p w14:paraId="5BA313EB" w14:textId="00680F96" w:rsidR="00FA3614" w:rsidRPr="00D84B1B" w:rsidRDefault="008D4457" w:rsidP="003343D7">
      <w:pPr>
        <w:rPr>
          <w:rFonts w:ascii="Arial" w:hAnsi="Arial" w:cs="Arial"/>
          <w:sz w:val="22"/>
          <w:szCs w:val="22"/>
        </w:rPr>
      </w:pPr>
      <w:r w:rsidRPr="00205D33">
        <w:rPr>
          <w:rFonts w:ascii="Arial" w:hAnsi="Arial" w:cs="Arial"/>
          <w:sz w:val="22"/>
          <w:szCs w:val="22"/>
        </w:rPr>
        <w:t>I believe more can be done to foster team sc</w:t>
      </w:r>
      <w:r w:rsidRPr="00985DDF">
        <w:rPr>
          <w:rFonts w:ascii="Arial" w:hAnsi="Arial" w:cs="Arial"/>
          <w:sz w:val="22"/>
          <w:szCs w:val="22"/>
        </w:rPr>
        <w:t>ience</w:t>
      </w:r>
      <w:r w:rsidR="00BB589D" w:rsidRPr="00C52FB5">
        <w:rPr>
          <w:rFonts w:ascii="Arial" w:hAnsi="Arial" w:cs="Arial"/>
          <w:sz w:val="22"/>
          <w:szCs w:val="22"/>
        </w:rPr>
        <w:t xml:space="preserve"> that goes beyond a</w:t>
      </w:r>
      <w:r w:rsidR="00FA3614" w:rsidRPr="00C52FB5">
        <w:rPr>
          <w:rFonts w:ascii="Arial" w:hAnsi="Arial" w:cs="Arial"/>
          <w:sz w:val="22"/>
          <w:szCs w:val="22"/>
        </w:rPr>
        <w:t xml:space="preserve">cademic leaders </w:t>
      </w:r>
      <w:r w:rsidR="00BB589D" w:rsidRPr="00794DE8">
        <w:rPr>
          <w:rFonts w:ascii="Arial" w:hAnsi="Arial" w:cs="Arial"/>
          <w:sz w:val="22"/>
          <w:szCs w:val="22"/>
        </w:rPr>
        <w:t>acknowledging</w:t>
      </w:r>
      <w:r w:rsidR="00FA3614" w:rsidRPr="00794DE8">
        <w:rPr>
          <w:rFonts w:ascii="Arial" w:hAnsi="Arial" w:cs="Arial"/>
          <w:sz w:val="22"/>
          <w:szCs w:val="22"/>
        </w:rPr>
        <w:t xml:space="preserve"> that team science is critical to their mission. </w:t>
      </w:r>
      <w:r w:rsidRPr="00794DE8">
        <w:rPr>
          <w:rFonts w:ascii="Arial" w:hAnsi="Arial" w:cs="Arial"/>
          <w:sz w:val="22"/>
          <w:szCs w:val="22"/>
        </w:rPr>
        <w:t xml:space="preserve">It </w:t>
      </w:r>
      <w:r w:rsidR="00FA3614" w:rsidRPr="00794DE8">
        <w:rPr>
          <w:rFonts w:ascii="Arial" w:hAnsi="Arial" w:cs="Arial"/>
          <w:sz w:val="22"/>
          <w:szCs w:val="22"/>
        </w:rPr>
        <w:t xml:space="preserve">includes hiring faculty </w:t>
      </w:r>
      <w:r w:rsidR="00520ACA" w:rsidRPr="00794DE8">
        <w:rPr>
          <w:rFonts w:ascii="Arial" w:hAnsi="Arial" w:cs="Arial"/>
          <w:sz w:val="22"/>
          <w:szCs w:val="22"/>
        </w:rPr>
        <w:t xml:space="preserve">in data science </w:t>
      </w:r>
      <w:r w:rsidR="00FA3614" w:rsidRPr="00794DE8">
        <w:rPr>
          <w:rFonts w:ascii="Arial" w:hAnsi="Arial" w:cs="Arial"/>
          <w:sz w:val="22"/>
          <w:szCs w:val="22"/>
        </w:rPr>
        <w:t>for the specific purpose of doing team science, formally adopting novel metrics that can appropriately evaluate the scholarly contributions</w:t>
      </w:r>
      <w:r w:rsidR="00357410" w:rsidRPr="00DC4E7F">
        <w:rPr>
          <w:rFonts w:ascii="Arial" w:hAnsi="Arial" w:cs="Arial"/>
          <w:sz w:val="22"/>
          <w:szCs w:val="22"/>
        </w:rPr>
        <w:t xml:space="preserve"> </w:t>
      </w:r>
      <w:r w:rsidR="00023225">
        <w:rPr>
          <w:rFonts w:ascii="Arial" w:hAnsi="Arial" w:cs="Arial"/>
          <w:sz w:val="22"/>
          <w:szCs w:val="22"/>
        </w:rPr>
        <w:t xml:space="preserve">of these faculty and others that participate in team science </w:t>
      </w:r>
      <w:r w:rsidR="00357410" w:rsidRPr="00DC4E7F">
        <w:rPr>
          <w:rFonts w:ascii="Arial" w:hAnsi="Arial" w:cs="Arial"/>
          <w:sz w:val="22"/>
          <w:szCs w:val="22"/>
        </w:rPr>
        <w:t>(9</w:t>
      </w:r>
      <w:r w:rsidR="005C0F63" w:rsidRPr="00205D33">
        <w:rPr>
          <w:rFonts w:ascii="Arial" w:hAnsi="Arial" w:cs="Arial"/>
          <w:sz w:val="22"/>
          <w:szCs w:val="22"/>
        </w:rPr>
        <w:t>)</w:t>
      </w:r>
      <w:r w:rsidR="00E57892" w:rsidRPr="00985DDF">
        <w:rPr>
          <w:rFonts w:ascii="Arial" w:hAnsi="Arial" w:cs="Arial"/>
          <w:sz w:val="22"/>
          <w:szCs w:val="22"/>
        </w:rPr>
        <w:t>,</w:t>
      </w:r>
      <w:r w:rsidR="00E57892" w:rsidRPr="00985DDF">
        <w:rPr>
          <w:rFonts w:ascii="Arial" w:hAnsi="Arial" w:cs="Arial"/>
          <w:sz w:val="22"/>
          <w:szCs w:val="22"/>
          <w:vertAlign w:val="superscript"/>
        </w:rPr>
        <w:t xml:space="preserve"> </w:t>
      </w:r>
      <w:r w:rsidR="00FA3614" w:rsidRPr="00985DDF">
        <w:rPr>
          <w:rFonts w:ascii="Arial" w:hAnsi="Arial" w:cs="Arial"/>
          <w:sz w:val="22"/>
          <w:szCs w:val="22"/>
        </w:rPr>
        <w:t xml:space="preserve">and supporting development of </w:t>
      </w:r>
      <w:r w:rsidR="00FA3614" w:rsidRPr="00C52FB5">
        <w:rPr>
          <w:rFonts w:ascii="Arial" w:hAnsi="Arial" w:cs="Arial"/>
          <w:sz w:val="22"/>
          <w:szCs w:val="22"/>
        </w:rPr>
        <w:t xml:space="preserve">research </w:t>
      </w:r>
      <w:r w:rsidR="00FA3614" w:rsidRPr="00794DE8">
        <w:rPr>
          <w:rFonts w:ascii="Arial" w:hAnsi="Arial" w:cs="Arial"/>
          <w:sz w:val="22"/>
          <w:szCs w:val="22"/>
        </w:rPr>
        <w:t xml:space="preserve">programs for </w:t>
      </w:r>
      <w:r w:rsidR="003343D7">
        <w:rPr>
          <w:rFonts w:ascii="Arial" w:hAnsi="Arial" w:cs="Arial"/>
          <w:sz w:val="22"/>
          <w:szCs w:val="22"/>
        </w:rPr>
        <w:t>data scientists that are team scientists</w:t>
      </w:r>
      <w:r w:rsidR="00FA3614" w:rsidRPr="00794DE8">
        <w:rPr>
          <w:rFonts w:ascii="Arial" w:hAnsi="Arial" w:cs="Arial"/>
          <w:sz w:val="22"/>
          <w:szCs w:val="22"/>
        </w:rPr>
        <w:t xml:space="preserve">. Faculty lines that prominently feature team science as part of the </w:t>
      </w:r>
      <w:r w:rsidR="00511BEA" w:rsidRPr="00794DE8">
        <w:rPr>
          <w:rFonts w:ascii="Arial" w:hAnsi="Arial" w:cs="Arial"/>
          <w:sz w:val="22"/>
          <w:szCs w:val="22"/>
        </w:rPr>
        <w:t>programmatic need</w:t>
      </w:r>
      <w:r w:rsidR="00FA3614" w:rsidRPr="00794DE8">
        <w:rPr>
          <w:rFonts w:ascii="Arial" w:hAnsi="Arial" w:cs="Arial"/>
          <w:sz w:val="22"/>
          <w:szCs w:val="22"/>
        </w:rPr>
        <w:t xml:space="preserve"> should be utilized with in</w:t>
      </w:r>
      <w:r w:rsidR="00FA3614" w:rsidRPr="004617E7">
        <w:rPr>
          <w:rFonts w:ascii="Arial" w:hAnsi="Arial" w:cs="Arial"/>
          <w:sz w:val="22"/>
          <w:szCs w:val="22"/>
        </w:rPr>
        <w:t>centives</w:t>
      </w:r>
      <w:r w:rsidR="00FA3614" w:rsidRPr="001E7AA4">
        <w:rPr>
          <w:rFonts w:ascii="Arial" w:hAnsi="Arial" w:cs="Arial"/>
          <w:sz w:val="22"/>
          <w:szCs w:val="22"/>
        </w:rPr>
        <w:t xml:space="preserve"> to engage in team science, </w:t>
      </w:r>
      <w:r w:rsidR="00FA3614" w:rsidRPr="005D2725">
        <w:rPr>
          <w:rFonts w:ascii="Arial" w:hAnsi="Arial" w:cs="Arial"/>
          <w:sz w:val="22"/>
          <w:szCs w:val="22"/>
        </w:rPr>
        <w:t xml:space="preserve">retention plans, and no compromise in expectations for excellence in scholarship. </w:t>
      </w:r>
      <w:r w:rsidR="00511081" w:rsidRPr="00DC4E7F">
        <w:rPr>
          <w:rFonts w:ascii="Arial" w:hAnsi="Arial" w:cs="Arial"/>
          <w:sz w:val="22"/>
          <w:szCs w:val="22"/>
        </w:rPr>
        <w:t xml:space="preserve">Expectations and career trajectories for faculty on such lines should be clearly delineated.  </w:t>
      </w:r>
      <w:r w:rsidR="00FA3614" w:rsidRPr="00205D33">
        <w:rPr>
          <w:rFonts w:ascii="Arial" w:hAnsi="Arial" w:cs="Arial"/>
          <w:sz w:val="22"/>
          <w:szCs w:val="22"/>
        </w:rPr>
        <w:t>D</w:t>
      </w:r>
      <w:r w:rsidR="00FA3614" w:rsidRPr="00985DDF">
        <w:rPr>
          <w:rFonts w:ascii="Arial" w:hAnsi="Arial" w:cs="Arial"/>
          <w:sz w:val="22"/>
          <w:szCs w:val="22"/>
        </w:rPr>
        <w:t xml:space="preserve">ifferences in career trajectories for </w:t>
      </w:r>
      <w:r w:rsidR="00520ACA" w:rsidRPr="00794DE8">
        <w:rPr>
          <w:rFonts w:ascii="Arial" w:hAnsi="Arial" w:cs="Arial"/>
          <w:sz w:val="22"/>
          <w:szCs w:val="22"/>
        </w:rPr>
        <w:t>data scientists</w:t>
      </w:r>
      <w:r w:rsidR="00FA3614" w:rsidRPr="00794DE8">
        <w:rPr>
          <w:rFonts w:ascii="Arial" w:hAnsi="Arial" w:cs="Arial"/>
          <w:sz w:val="22"/>
          <w:szCs w:val="22"/>
        </w:rPr>
        <w:t xml:space="preserve"> who are and are not primarily team scientists should be recognized so that evaluation can be appropriately tailored.</w:t>
      </w:r>
      <w:r>
        <w:rPr>
          <w:rFonts w:ascii="Arial" w:hAnsi="Arial" w:cs="Arial"/>
          <w:sz w:val="22"/>
          <w:szCs w:val="22"/>
        </w:rPr>
        <w:t xml:space="preserve"> </w:t>
      </w:r>
      <w:r w:rsidR="00DA4176">
        <w:rPr>
          <w:rFonts w:ascii="Arial" w:hAnsi="Arial" w:cs="Arial"/>
          <w:sz w:val="22"/>
          <w:szCs w:val="22"/>
        </w:rPr>
        <w:t>The latter would be facilitated through adoption of a system such as the one proposed by Mazumdar et al (9).</w:t>
      </w:r>
      <w:r>
        <w:rPr>
          <w:rFonts w:ascii="Arial" w:hAnsi="Arial" w:cs="Arial"/>
          <w:sz w:val="22"/>
          <w:szCs w:val="22"/>
        </w:rPr>
        <w:t xml:space="preserve"> </w:t>
      </w:r>
    </w:p>
    <w:p w14:paraId="1A400613" w14:textId="77777777" w:rsidR="00FA3614" w:rsidRPr="00D84B1B" w:rsidRDefault="00FA3614" w:rsidP="00FA3614">
      <w:pPr>
        <w:rPr>
          <w:rFonts w:ascii="Arial" w:hAnsi="Arial" w:cs="Arial"/>
          <w:sz w:val="22"/>
          <w:szCs w:val="22"/>
        </w:rPr>
      </w:pPr>
    </w:p>
    <w:p w14:paraId="2F8BC236" w14:textId="4A6A67BC" w:rsidR="005F09C7" w:rsidRPr="00DC4E7F" w:rsidRDefault="005F09C7" w:rsidP="00CA68BB">
      <w:pPr>
        <w:rPr>
          <w:rFonts w:ascii="Arial" w:hAnsi="Arial" w:cs="Arial"/>
          <w:i/>
          <w:iCs/>
          <w:sz w:val="22"/>
          <w:szCs w:val="22"/>
        </w:rPr>
      </w:pPr>
      <w:r w:rsidRPr="00DC4E7F">
        <w:rPr>
          <w:rFonts w:ascii="Arial" w:hAnsi="Arial" w:cs="Arial"/>
          <w:i/>
          <w:iCs/>
          <w:sz w:val="22"/>
          <w:szCs w:val="22"/>
        </w:rPr>
        <w:t>Conclusions</w:t>
      </w:r>
    </w:p>
    <w:p w14:paraId="42666A49" w14:textId="036E72CB" w:rsidR="00C144E9" w:rsidRDefault="00FA3614" w:rsidP="0040374E">
      <w:pPr>
        <w:rPr>
          <w:rFonts w:ascii="Arial" w:hAnsi="Arial" w:cs="Arial"/>
          <w:sz w:val="22"/>
          <w:szCs w:val="22"/>
        </w:rPr>
      </w:pPr>
      <w:r>
        <w:rPr>
          <w:rFonts w:ascii="Arial" w:hAnsi="Arial" w:cs="Arial"/>
          <w:sz w:val="22"/>
          <w:szCs w:val="22"/>
        </w:rPr>
        <w:t xml:space="preserve">Without </w:t>
      </w:r>
      <w:r w:rsidR="00CA68BB">
        <w:rPr>
          <w:rFonts w:ascii="Arial" w:hAnsi="Arial" w:cs="Arial"/>
          <w:sz w:val="22"/>
          <w:szCs w:val="22"/>
        </w:rPr>
        <w:t xml:space="preserve">establishment </w:t>
      </w:r>
      <w:r w:rsidR="0040374E">
        <w:rPr>
          <w:rFonts w:ascii="Arial" w:hAnsi="Arial" w:cs="Arial"/>
          <w:sz w:val="22"/>
          <w:szCs w:val="22"/>
        </w:rPr>
        <w:t xml:space="preserve">by academic leaders </w:t>
      </w:r>
      <w:r w:rsidR="00CA68BB">
        <w:rPr>
          <w:rFonts w:ascii="Arial" w:hAnsi="Arial" w:cs="Arial"/>
          <w:sz w:val="22"/>
          <w:szCs w:val="22"/>
        </w:rPr>
        <w:t xml:space="preserve">of </w:t>
      </w:r>
      <w:r>
        <w:rPr>
          <w:rFonts w:ascii="Arial" w:hAnsi="Arial" w:cs="Arial"/>
          <w:sz w:val="22"/>
          <w:szCs w:val="22"/>
        </w:rPr>
        <w:t xml:space="preserve">systems </w:t>
      </w:r>
      <w:r w:rsidR="0040374E">
        <w:rPr>
          <w:rFonts w:ascii="Arial" w:hAnsi="Arial" w:cs="Arial"/>
          <w:sz w:val="22"/>
          <w:szCs w:val="22"/>
        </w:rPr>
        <w:t>tailored to support team science</w:t>
      </w:r>
      <w:r w:rsidRPr="00D84B1B">
        <w:rPr>
          <w:rFonts w:ascii="Arial" w:hAnsi="Arial" w:cs="Arial"/>
          <w:sz w:val="22"/>
          <w:szCs w:val="22"/>
        </w:rPr>
        <w:t xml:space="preserve">, the possibilities of team science will not be </w:t>
      </w:r>
      <w:r w:rsidR="006F7A9F">
        <w:rPr>
          <w:rFonts w:ascii="Arial" w:hAnsi="Arial" w:cs="Arial"/>
          <w:sz w:val="22"/>
          <w:szCs w:val="22"/>
        </w:rPr>
        <w:t xml:space="preserve">fully </w:t>
      </w:r>
      <w:r w:rsidRPr="00D84B1B">
        <w:rPr>
          <w:rFonts w:ascii="Arial" w:hAnsi="Arial" w:cs="Arial"/>
          <w:sz w:val="22"/>
          <w:szCs w:val="22"/>
        </w:rPr>
        <w:t>realized</w:t>
      </w:r>
      <w:r w:rsidR="006F7A9F">
        <w:rPr>
          <w:rFonts w:ascii="Arial" w:hAnsi="Arial" w:cs="Arial"/>
          <w:sz w:val="22"/>
          <w:szCs w:val="22"/>
        </w:rPr>
        <w:t xml:space="preserve">. </w:t>
      </w:r>
      <w:r w:rsidR="0016117C">
        <w:rPr>
          <w:rFonts w:ascii="Arial" w:hAnsi="Arial" w:cs="Arial"/>
          <w:sz w:val="22"/>
          <w:szCs w:val="22"/>
        </w:rPr>
        <w:t>Many d</w:t>
      </w:r>
      <w:r w:rsidR="002D6B27">
        <w:rPr>
          <w:rFonts w:ascii="Arial" w:hAnsi="Arial" w:cs="Arial"/>
          <w:sz w:val="22"/>
          <w:szCs w:val="22"/>
        </w:rPr>
        <w:t>ata science</w:t>
      </w:r>
      <w:r>
        <w:rPr>
          <w:rFonts w:ascii="Arial" w:hAnsi="Arial" w:cs="Arial"/>
          <w:sz w:val="22"/>
          <w:szCs w:val="22"/>
        </w:rPr>
        <w:t xml:space="preserve"> f</w:t>
      </w:r>
      <w:r w:rsidRPr="00D84B1B">
        <w:rPr>
          <w:rFonts w:ascii="Arial" w:hAnsi="Arial" w:cs="Arial"/>
          <w:sz w:val="22"/>
          <w:szCs w:val="22"/>
        </w:rPr>
        <w:t xml:space="preserve">aculty will view engaging in team science as a distraction </w:t>
      </w:r>
      <w:r>
        <w:rPr>
          <w:rFonts w:ascii="Arial" w:hAnsi="Arial" w:cs="Arial"/>
          <w:sz w:val="22"/>
          <w:szCs w:val="22"/>
        </w:rPr>
        <w:t>from more promotable activities</w:t>
      </w:r>
      <w:r w:rsidR="00457EF2">
        <w:rPr>
          <w:rFonts w:ascii="Arial" w:hAnsi="Arial" w:cs="Arial"/>
          <w:sz w:val="22"/>
          <w:szCs w:val="22"/>
        </w:rPr>
        <w:t xml:space="preserve"> and will continue to develop tools with </w:t>
      </w:r>
      <w:r w:rsidR="00BB589D">
        <w:rPr>
          <w:rFonts w:ascii="Arial" w:hAnsi="Arial" w:cs="Arial"/>
          <w:sz w:val="22"/>
          <w:szCs w:val="22"/>
        </w:rPr>
        <w:t xml:space="preserve">perhaps </w:t>
      </w:r>
      <w:r w:rsidR="00457EF2">
        <w:rPr>
          <w:rFonts w:ascii="Arial" w:hAnsi="Arial" w:cs="Arial"/>
          <w:sz w:val="22"/>
          <w:szCs w:val="22"/>
        </w:rPr>
        <w:t xml:space="preserve">less relevance than would be possible. </w:t>
      </w:r>
      <w:r>
        <w:rPr>
          <w:rFonts w:ascii="Arial" w:hAnsi="Arial" w:cs="Arial"/>
          <w:sz w:val="22"/>
          <w:szCs w:val="22"/>
        </w:rPr>
        <w:t>I</w:t>
      </w:r>
      <w:r w:rsidRPr="00D84B1B">
        <w:rPr>
          <w:rFonts w:ascii="Arial" w:hAnsi="Arial" w:cs="Arial"/>
          <w:sz w:val="22"/>
          <w:szCs w:val="22"/>
        </w:rPr>
        <w:t xml:space="preserve">nvestigators will continue to rely on </w:t>
      </w:r>
      <w:r>
        <w:rPr>
          <w:rFonts w:ascii="Arial" w:hAnsi="Arial" w:cs="Arial"/>
          <w:sz w:val="22"/>
          <w:szCs w:val="22"/>
        </w:rPr>
        <w:t>outside consultants</w:t>
      </w:r>
      <w:r w:rsidRPr="00D84B1B">
        <w:rPr>
          <w:rFonts w:ascii="Arial" w:hAnsi="Arial" w:cs="Arial"/>
          <w:sz w:val="22"/>
          <w:szCs w:val="22"/>
        </w:rPr>
        <w:t xml:space="preserve"> </w:t>
      </w:r>
      <w:r w:rsidR="00522CEE">
        <w:rPr>
          <w:rFonts w:ascii="Arial" w:hAnsi="Arial" w:cs="Arial"/>
          <w:sz w:val="22"/>
          <w:szCs w:val="22"/>
        </w:rPr>
        <w:t xml:space="preserve">(i.e., non-team members) </w:t>
      </w:r>
      <w:r w:rsidRPr="00D84B1B">
        <w:rPr>
          <w:rFonts w:ascii="Arial" w:hAnsi="Arial" w:cs="Arial"/>
          <w:sz w:val="22"/>
          <w:szCs w:val="22"/>
        </w:rPr>
        <w:t>to meet data-related needs</w:t>
      </w:r>
      <w:r>
        <w:rPr>
          <w:rFonts w:ascii="Arial" w:hAnsi="Arial" w:cs="Arial"/>
          <w:sz w:val="22"/>
          <w:szCs w:val="22"/>
        </w:rPr>
        <w:t>, poten</w:t>
      </w:r>
      <w:r w:rsidR="00230E36">
        <w:rPr>
          <w:rFonts w:ascii="Arial" w:hAnsi="Arial" w:cs="Arial"/>
          <w:sz w:val="22"/>
          <w:szCs w:val="22"/>
        </w:rPr>
        <w:t>tially compromising the science</w:t>
      </w:r>
      <w:r w:rsidRPr="00D84B1B">
        <w:rPr>
          <w:rFonts w:ascii="Arial" w:hAnsi="Arial" w:cs="Arial"/>
          <w:sz w:val="22"/>
          <w:szCs w:val="22"/>
        </w:rPr>
        <w:t xml:space="preserve">. </w:t>
      </w:r>
      <w:r w:rsidR="00250AE5">
        <w:rPr>
          <w:rFonts w:ascii="Arial" w:hAnsi="Arial" w:cs="Arial"/>
          <w:sz w:val="22"/>
          <w:szCs w:val="22"/>
        </w:rPr>
        <w:t>If academic leaders invest in s</w:t>
      </w:r>
      <w:r w:rsidR="003F68D5">
        <w:rPr>
          <w:rFonts w:ascii="Arial" w:hAnsi="Arial" w:cs="Arial"/>
          <w:sz w:val="22"/>
          <w:szCs w:val="22"/>
        </w:rPr>
        <w:t>ystems that</w:t>
      </w:r>
      <w:r w:rsidR="00250AE5">
        <w:rPr>
          <w:rFonts w:ascii="Arial" w:hAnsi="Arial" w:cs="Arial"/>
          <w:sz w:val="22"/>
          <w:szCs w:val="22"/>
        </w:rPr>
        <w:t xml:space="preserve"> incentivize </w:t>
      </w:r>
      <w:r w:rsidR="00C144E9">
        <w:rPr>
          <w:rFonts w:ascii="Arial" w:hAnsi="Arial" w:cs="Arial"/>
          <w:sz w:val="22"/>
          <w:szCs w:val="22"/>
        </w:rPr>
        <w:t>clinical and translational investigators working with data scientists toward shared goals that are aligned with the mission of the institution</w:t>
      </w:r>
      <w:r w:rsidR="00250AE5">
        <w:rPr>
          <w:rFonts w:ascii="Arial" w:hAnsi="Arial" w:cs="Arial"/>
          <w:sz w:val="22"/>
          <w:szCs w:val="22"/>
        </w:rPr>
        <w:t xml:space="preserve">, the </w:t>
      </w:r>
      <w:r w:rsidR="00230E36">
        <w:rPr>
          <w:rFonts w:ascii="Arial" w:hAnsi="Arial" w:cs="Arial"/>
          <w:sz w:val="22"/>
          <w:szCs w:val="22"/>
        </w:rPr>
        <w:t>benefit</w:t>
      </w:r>
      <w:r w:rsidR="00250AE5">
        <w:rPr>
          <w:rFonts w:ascii="Arial" w:hAnsi="Arial" w:cs="Arial"/>
          <w:sz w:val="22"/>
          <w:szCs w:val="22"/>
        </w:rPr>
        <w:t xml:space="preserve"> will not only be for the investigator and data scientist; it will also be for the institution. </w:t>
      </w:r>
      <w:r w:rsidR="00C144E9">
        <w:rPr>
          <w:rFonts w:ascii="Arial" w:hAnsi="Arial" w:cs="Arial"/>
          <w:sz w:val="22"/>
          <w:szCs w:val="22"/>
        </w:rPr>
        <w:t xml:space="preserve"> </w:t>
      </w:r>
    </w:p>
    <w:p w14:paraId="793C3C8A" w14:textId="77777777" w:rsidR="00B63AA6" w:rsidRPr="002D6B27" w:rsidRDefault="00B63AA6" w:rsidP="00FA3614">
      <w:pPr>
        <w:rPr>
          <w:rFonts w:ascii="Arial" w:hAnsi="Arial" w:cs="Arial"/>
          <w:b/>
          <w:bCs/>
          <w:sz w:val="22"/>
          <w:szCs w:val="22"/>
          <w:u w:val="single"/>
        </w:rPr>
      </w:pPr>
    </w:p>
    <w:p w14:paraId="57A0A774" w14:textId="494502DA" w:rsidR="00FA3614" w:rsidRPr="00157BF7" w:rsidRDefault="00FA3614" w:rsidP="00FA3614">
      <w:pPr>
        <w:rPr>
          <w:rFonts w:ascii="Arial" w:hAnsi="Arial" w:cs="Arial"/>
          <w:b/>
          <w:bCs/>
          <w:sz w:val="22"/>
          <w:szCs w:val="22"/>
          <w:u w:val="single"/>
          <w:lang w:val="da-DK"/>
        </w:rPr>
      </w:pPr>
      <w:r w:rsidRPr="00157BF7">
        <w:rPr>
          <w:rFonts w:ascii="Arial" w:hAnsi="Arial" w:cs="Arial"/>
          <w:b/>
          <w:bCs/>
          <w:sz w:val="22"/>
          <w:szCs w:val="22"/>
          <w:u w:val="single"/>
          <w:lang w:val="da-DK"/>
        </w:rPr>
        <w:t>References</w:t>
      </w:r>
    </w:p>
    <w:p w14:paraId="7912112E" w14:textId="77777777" w:rsidR="00FA3614" w:rsidRPr="00157BF7" w:rsidRDefault="00FA3614" w:rsidP="00FA3614">
      <w:pPr>
        <w:tabs>
          <w:tab w:val="left" w:pos="456"/>
        </w:tabs>
        <w:rPr>
          <w:rFonts w:ascii="Arial" w:hAnsi="Arial" w:cs="Arial"/>
          <w:sz w:val="22"/>
          <w:szCs w:val="22"/>
          <w:lang w:val="da-DK"/>
        </w:rPr>
      </w:pPr>
    </w:p>
    <w:p w14:paraId="0FB9AC03" w14:textId="48B4BB7F" w:rsidR="00E57892" w:rsidRPr="00E57892" w:rsidRDefault="00E57892" w:rsidP="00CA68BB">
      <w:pPr>
        <w:pStyle w:val="ListParagraph"/>
        <w:numPr>
          <w:ilvl w:val="0"/>
          <w:numId w:val="2"/>
        </w:numPr>
        <w:rPr>
          <w:rFonts w:ascii="Arial" w:eastAsia="Times New Roman" w:hAnsi="Arial" w:cs="Arial"/>
          <w:sz w:val="22"/>
          <w:szCs w:val="22"/>
          <w:lang w:val="da-DK"/>
        </w:rPr>
      </w:pPr>
      <w:r w:rsidRPr="00E57892">
        <w:rPr>
          <w:rFonts w:ascii="Arial" w:eastAsia="Times New Roman" w:hAnsi="Arial" w:cs="Arial"/>
          <w:sz w:val="22"/>
          <w:szCs w:val="22"/>
          <w:lang w:val="da-DK"/>
        </w:rPr>
        <w:t>Elfner L, Falk-Krzensinski H, Sullivan K, Velkey A, Illman D, B</w:t>
      </w:r>
      <w:r>
        <w:rPr>
          <w:rFonts w:ascii="Arial" w:eastAsia="Times New Roman" w:hAnsi="Arial" w:cs="Arial"/>
          <w:sz w:val="22"/>
          <w:szCs w:val="22"/>
          <w:lang w:val="da-DK"/>
        </w:rPr>
        <w:t>aker J, Pita-Szezesniewski A. Team Science-Heaving Walls &amp; Melding Silos, A Sigma Xi White Paper. 2011.</w:t>
      </w:r>
    </w:p>
    <w:p w14:paraId="3EACAE36" w14:textId="3DDFF85D" w:rsidR="00CA68BB" w:rsidRPr="00E57892" w:rsidRDefault="00CA68BB" w:rsidP="00CA68BB">
      <w:pPr>
        <w:pStyle w:val="ListParagraph"/>
        <w:numPr>
          <w:ilvl w:val="0"/>
          <w:numId w:val="2"/>
        </w:numPr>
        <w:rPr>
          <w:rFonts w:ascii="Arial" w:eastAsia="Times New Roman" w:hAnsi="Arial" w:cs="Arial"/>
          <w:sz w:val="22"/>
          <w:szCs w:val="22"/>
        </w:rPr>
      </w:pPr>
      <w:r w:rsidRPr="00E57892">
        <w:rPr>
          <w:rFonts w:ascii="Arial" w:eastAsia="Times New Roman" w:hAnsi="Arial" w:cs="Arial"/>
          <w:color w:val="222222"/>
          <w:sz w:val="22"/>
          <w:szCs w:val="22"/>
          <w:shd w:val="clear" w:color="auto" w:fill="FFFFFF"/>
          <w:lang w:val="da-DK"/>
        </w:rPr>
        <w:t xml:space="preserve">Grice, E.A., Kong, H.H., Renaud, G., Young, A.C., Bouffard, G.G., Blakesley, R.W., Wolfsberg, T.G., Turner, M.L. and Segre, J.A., 2008. </w:t>
      </w:r>
      <w:r w:rsidRPr="00CA68BB">
        <w:rPr>
          <w:rFonts w:ascii="Arial" w:eastAsia="Times New Roman" w:hAnsi="Arial" w:cs="Arial"/>
          <w:color w:val="222222"/>
          <w:sz w:val="22"/>
          <w:szCs w:val="22"/>
          <w:shd w:val="clear" w:color="auto" w:fill="FFFFFF"/>
        </w:rPr>
        <w:t xml:space="preserve">A diversity profile of the human </w:t>
      </w:r>
      <w:r w:rsidRPr="00E57892">
        <w:rPr>
          <w:rFonts w:ascii="Arial" w:eastAsia="Times New Roman" w:hAnsi="Arial" w:cs="Arial"/>
          <w:color w:val="222222"/>
          <w:sz w:val="22"/>
          <w:szCs w:val="22"/>
          <w:shd w:val="clear" w:color="auto" w:fill="FFFFFF"/>
        </w:rPr>
        <w:t>skin microbiota. </w:t>
      </w:r>
      <w:r w:rsidRPr="00E57892">
        <w:rPr>
          <w:rFonts w:ascii="Arial" w:eastAsia="Times New Roman" w:hAnsi="Arial" w:cs="Arial"/>
          <w:i/>
          <w:iCs/>
          <w:color w:val="222222"/>
          <w:sz w:val="22"/>
          <w:szCs w:val="22"/>
          <w:shd w:val="clear" w:color="auto" w:fill="FFFFFF"/>
        </w:rPr>
        <w:t>Genome research</w:t>
      </w:r>
      <w:r w:rsidRPr="00E57892">
        <w:rPr>
          <w:rFonts w:ascii="Arial" w:eastAsia="Times New Roman" w:hAnsi="Arial" w:cs="Arial"/>
          <w:color w:val="222222"/>
          <w:sz w:val="22"/>
          <w:szCs w:val="22"/>
          <w:shd w:val="clear" w:color="auto" w:fill="FFFFFF"/>
        </w:rPr>
        <w:t>, </w:t>
      </w:r>
      <w:r w:rsidRPr="00E57892">
        <w:rPr>
          <w:rFonts w:ascii="Arial" w:eastAsia="Times New Roman" w:hAnsi="Arial" w:cs="Arial"/>
          <w:i/>
          <w:iCs/>
          <w:color w:val="222222"/>
          <w:sz w:val="22"/>
          <w:szCs w:val="22"/>
          <w:shd w:val="clear" w:color="auto" w:fill="FFFFFF"/>
        </w:rPr>
        <w:t>18</w:t>
      </w:r>
      <w:r w:rsidRPr="00E57892">
        <w:rPr>
          <w:rFonts w:ascii="Arial" w:eastAsia="Times New Roman" w:hAnsi="Arial" w:cs="Arial"/>
          <w:color w:val="222222"/>
          <w:sz w:val="22"/>
          <w:szCs w:val="22"/>
          <w:shd w:val="clear" w:color="auto" w:fill="FFFFFF"/>
        </w:rPr>
        <w:t>(7), pp.1043-1050.</w:t>
      </w:r>
    </w:p>
    <w:p w14:paraId="6E4FBD51" w14:textId="77777777" w:rsidR="00E57892" w:rsidRPr="00DC4E7F" w:rsidRDefault="00E57892" w:rsidP="00E57892">
      <w:pPr>
        <w:pStyle w:val="ListParagraph"/>
        <w:numPr>
          <w:ilvl w:val="0"/>
          <w:numId w:val="2"/>
        </w:numPr>
        <w:rPr>
          <w:rFonts w:ascii="Times New Roman" w:eastAsia="Times New Roman" w:hAnsi="Times New Roman" w:cs="Times New Roman"/>
          <w:sz w:val="22"/>
          <w:szCs w:val="22"/>
        </w:rPr>
      </w:pPr>
      <w:r w:rsidRPr="00E57892">
        <w:rPr>
          <w:rFonts w:ascii="Arial" w:eastAsia="Times New Roman" w:hAnsi="Arial" w:cs="Arial"/>
          <w:color w:val="222222"/>
          <w:sz w:val="22"/>
          <w:szCs w:val="22"/>
          <w:shd w:val="clear" w:color="auto" w:fill="FFFFFF"/>
        </w:rPr>
        <w:t>Stokols, D., Hall, K.L., Taylor, B.K. and Moser, R.P., 2008. The science of team science: overview of the field and introduction to the supplement. </w:t>
      </w:r>
      <w:r w:rsidRPr="00E57892">
        <w:rPr>
          <w:rFonts w:ascii="Arial" w:eastAsia="Times New Roman" w:hAnsi="Arial" w:cs="Arial"/>
          <w:i/>
          <w:iCs/>
          <w:color w:val="222222"/>
          <w:sz w:val="22"/>
          <w:szCs w:val="22"/>
          <w:shd w:val="clear" w:color="auto" w:fill="FFFFFF"/>
        </w:rPr>
        <w:t>American journal of preventive medicine</w:t>
      </w:r>
      <w:r w:rsidRPr="00E57892">
        <w:rPr>
          <w:rFonts w:ascii="Arial" w:eastAsia="Times New Roman" w:hAnsi="Arial" w:cs="Arial"/>
          <w:color w:val="222222"/>
          <w:sz w:val="22"/>
          <w:szCs w:val="22"/>
          <w:shd w:val="clear" w:color="auto" w:fill="FFFFFF"/>
        </w:rPr>
        <w:t>, </w:t>
      </w:r>
      <w:r w:rsidRPr="00E57892">
        <w:rPr>
          <w:rFonts w:ascii="Arial" w:eastAsia="Times New Roman" w:hAnsi="Arial" w:cs="Arial"/>
          <w:i/>
          <w:iCs/>
          <w:color w:val="222222"/>
          <w:sz w:val="22"/>
          <w:szCs w:val="22"/>
          <w:shd w:val="clear" w:color="auto" w:fill="FFFFFF"/>
        </w:rPr>
        <w:t>35</w:t>
      </w:r>
      <w:r w:rsidRPr="00E57892">
        <w:rPr>
          <w:rFonts w:ascii="Arial" w:eastAsia="Times New Roman" w:hAnsi="Arial" w:cs="Arial"/>
          <w:color w:val="222222"/>
          <w:sz w:val="22"/>
          <w:szCs w:val="22"/>
          <w:shd w:val="clear" w:color="auto" w:fill="FFFFFF"/>
        </w:rPr>
        <w:t>(2), pp.S77-S89.</w:t>
      </w:r>
    </w:p>
    <w:p w14:paraId="648B0E13" w14:textId="01BBDB9D" w:rsidR="00357410" w:rsidRPr="00DC4E7F" w:rsidRDefault="00357410" w:rsidP="00357410">
      <w:pPr>
        <w:pStyle w:val="ListParagraph"/>
        <w:numPr>
          <w:ilvl w:val="0"/>
          <w:numId w:val="2"/>
        </w:numPr>
        <w:rPr>
          <w:rFonts w:ascii="Times New Roman" w:eastAsia="Times New Roman" w:hAnsi="Times New Roman" w:cs="Times New Roman"/>
          <w:sz w:val="22"/>
          <w:szCs w:val="22"/>
        </w:rPr>
      </w:pPr>
      <w:r w:rsidRPr="00DC4E7F">
        <w:rPr>
          <w:rFonts w:ascii="Arial" w:eastAsia="Times New Roman" w:hAnsi="Arial" w:cs="Arial"/>
          <w:color w:val="222222"/>
          <w:sz w:val="22"/>
          <w:szCs w:val="22"/>
          <w:shd w:val="clear" w:color="auto" w:fill="FFFFFF"/>
          <w:lang w:val="nl-NL"/>
        </w:rPr>
        <w:t xml:space="preserve">van der Haar, S., Koeslag-Kreunen, M., Euwe, E. and Segers, M., 2017. </w:t>
      </w:r>
      <w:r w:rsidRPr="00DC4E7F">
        <w:rPr>
          <w:rFonts w:ascii="Arial" w:eastAsia="Times New Roman" w:hAnsi="Arial" w:cs="Arial"/>
          <w:color w:val="222222"/>
          <w:sz w:val="22"/>
          <w:szCs w:val="22"/>
          <w:shd w:val="clear" w:color="auto" w:fill="FFFFFF"/>
        </w:rPr>
        <w:t>Team Leader Structuring for Team Effectiveness and Team Learning in Command-and-Control Teams. </w:t>
      </w:r>
      <w:r w:rsidRPr="00DC4E7F">
        <w:rPr>
          <w:rFonts w:ascii="Arial" w:eastAsia="Times New Roman" w:hAnsi="Arial" w:cs="Arial"/>
          <w:i/>
          <w:iCs/>
          <w:color w:val="222222"/>
          <w:sz w:val="22"/>
          <w:szCs w:val="22"/>
          <w:shd w:val="clear" w:color="auto" w:fill="FFFFFF"/>
        </w:rPr>
        <w:t>Small Group Research</w:t>
      </w:r>
      <w:r w:rsidRPr="00DC4E7F">
        <w:rPr>
          <w:rFonts w:ascii="Arial" w:eastAsia="Times New Roman" w:hAnsi="Arial" w:cs="Arial"/>
          <w:color w:val="222222"/>
          <w:sz w:val="22"/>
          <w:szCs w:val="22"/>
          <w:shd w:val="clear" w:color="auto" w:fill="FFFFFF"/>
        </w:rPr>
        <w:t>, </w:t>
      </w:r>
      <w:r w:rsidRPr="00DC4E7F">
        <w:rPr>
          <w:rFonts w:ascii="Arial" w:eastAsia="Times New Roman" w:hAnsi="Arial" w:cs="Arial"/>
          <w:i/>
          <w:iCs/>
          <w:color w:val="222222"/>
          <w:sz w:val="22"/>
          <w:szCs w:val="22"/>
          <w:shd w:val="clear" w:color="auto" w:fill="FFFFFF"/>
        </w:rPr>
        <w:t>48</w:t>
      </w:r>
      <w:r w:rsidRPr="00DC4E7F">
        <w:rPr>
          <w:rFonts w:ascii="Arial" w:eastAsia="Times New Roman" w:hAnsi="Arial" w:cs="Arial"/>
          <w:color w:val="222222"/>
          <w:sz w:val="22"/>
          <w:szCs w:val="22"/>
          <w:shd w:val="clear" w:color="auto" w:fill="FFFFFF"/>
        </w:rPr>
        <w:t>(2), pp.215-248.</w:t>
      </w:r>
    </w:p>
    <w:p w14:paraId="64F5254E" w14:textId="2BA4FE8C" w:rsidR="00CA68BB" w:rsidRPr="00CA68BB" w:rsidRDefault="00CA68BB" w:rsidP="00FA3614">
      <w:pPr>
        <w:pStyle w:val="ListParagraph"/>
        <w:numPr>
          <w:ilvl w:val="0"/>
          <w:numId w:val="2"/>
        </w:numPr>
        <w:rPr>
          <w:rFonts w:ascii="Arial" w:eastAsia="Times New Roman" w:hAnsi="Arial" w:cs="Arial"/>
          <w:sz w:val="22"/>
          <w:szCs w:val="22"/>
        </w:rPr>
      </w:pPr>
      <w:r w:rsidRPr="00CA68BB">
        <w:rPr>
          <w:rFonts w:ascii="Arial" w:eastAsia="Times New Roman" w:hAnsi="Arial" w:cs="Arial"/>
          <w:color w:val="222222"/>
          <w:sz w:val="22"/>
          <w:szCs w:val="22"/>
          <w:shd w:val="clear" w:color="auto" w:fill="FFFFFF"/>
        </w:rPr>
        <w:t>Börner, K., Contractor, N., Falk-Krzesinski, H.J., Fiore, S.M., Hall, K.L., Keyton, J., Spring, B., Stokols, D., Trochim, W. and Uzzi, B., 2010. A multi-level systems perspective for the science of team science. </w:t>
      </w:r>
      <w:r w:rsidRPr="00CA68BB">
        <w:rPr>
          <w:rFonts w:ascii="Arial" w:eastAsia="Times New Roman" w:hAnsi="Arial" w:cs="Arial"/>
          <w:i/>
          <w:iCs/>
          <w:color w:val="222222"/>
          <w:sz w:val="22"/>
          <w:szCs w:val="22"/>
          <w:shd w:val="clear" w:color="auto" w:fill="FFFFFF"/>
        </w:rPr>
        <w:t>Science Translational Medicine</w:t>
      </w:r>
      <w:r w:rsidRPr="00CA68BB">
        <w:rPr>
          <w:rFonts w:ascii="Arial" w:eastAsia="Times New Roman" w:hAnsi="Arial" w:cs="Arial"/>
          <w:color w:val="222222"/>
          <w:sz w:val="22"/>
          <w:szCs w:val="22"/>
          <w:shd w:val="clear" w:color="auto" w:fill="FFFFFF"/>
        </w:rPr>
        <w:t>, </w:t>
      </w:r>
      <w:r w:rsidRPr="00CA68BB">
        <w:rPr>
          <w:rFonts w:ascii="Arial" w:eastAsia="Times New Roman" w:hAnsi="Arial" w:cs="Arial"/>
          <w:i/>
          <w:iCs/>
          <w:color w:val="222222"/>
          <w:sz w:val="22"/>
          <w:szCs w:val="22"/>
          <w:shd w:val="clear" w:color="auto" w:fill="FFFFFF"/>
        </w:rPr>
        <w:t>2</w:t>
      </w:r>
      <w:r w:rsidRPr="00CA68BB">
        <w:rPr>
          <w:rFonts w:ascii="Arial" w:eastAsia="Times New Roman" w:hAnsi="Arial" w:cs="Arial"/>
          <w:color w:val="222222"/>
          <w:sz w:val="22"/>
          <w:szCs w:val="22"/>
          <w:shd w:val="clear" w:color="auto" w:fill="FFFFFF"/>
        </w:rPr>
        <w:t>(49), pp.49cm24-49cm24.</w:t>
      </w:r>
    </w:p>
    <w:p w14:paraId="018014C9" w14:textId="77777777" w:rsidR="00CA68BB" w:rsidRPr="00CA68BB" w:rsidRDefault="00CA68BB" w:rsidP="00CA68BB">
      <w:pPr>
        <w:pStyle w:val="ListParagraph"/>
        <w:numPr>
          <w:ilvl w:val="0"/>
          <w:numId w:val="2"/>
        </w:numPr>
        <w:rPr>
          <w:rFonts w:ascii="Arial" w:eastAsia="Times New Roman" w:hAnsi="Arial" w:cs="Arial"/>
          <w:sz w:val="22"/>
          <w:szCs w:val="22"/>
        </w:rPr>
      </w:pPr>
      <w:r w:rsidRPr="00CA68BB">
        <w:rPr>
          <w:rFonts w:ascii="Arial" w:eastAsia="Times New Roman" w:hAnsi="Arial" w:cs="Arial"/>
          <w:color w:val="222222"/>
          <w:sz w:val="22"/>
          <w:szCs w:val="22"/>
          <w:shd w:val="clear" w:color="auto" w:fill="FFFFFF"/>
        </w:rPr>
        <w:t>Bennett, L.M. and Gadlin, H., 2012. Collaboration and team science. </w:t>
      </w:r>
      <w:r w:rsidRPr="00CA68BB">
        <w:rPr>
          <w:rFonts w:ascii="Arial" w:eastAsia="Times New Roman" w:hAnsi="Arial" w:cs="Arial"/>
          <w:i/>
          <w:iCs/>
          <w:color w:val="222222"/>
          <w:sz w:val="22"/>
          <w:szCs w:val="22"/>
          <w:shd w:val="clear" w:color="auto" w:fill="FFFFFF"/>
        </w:rPr>
        <w:t>Journal of Investigative Medicine</w:t>
      </w:r>
      <w:r w:rsidRPr="00CA68BB">
        <w:rPr>
          <w:rFonts w:ascii="Arial" w:eastAsia="Times New Roman" w:hAnsi="Arial" w:cs="Arial"/>
          <w:color w:val="222222"/>
          <w:sz w:val="22"/>
          <w:szCs w:val="22"/>
          <w:shd w:val="clear" w:color="auto" w:fill="FFFFFF"/>
        </w:rPr>
        <w:t>, </w:t>
      </w:r>
      <w:r w:rsidRPr="00CA68BB">
        <w:rPr>
          <w:rFonts w:ascii="Arial" w:eastAsia="Times New Roman" w:hAnsi="Arial" w:cs="Arial"/>
          <w:i/>
          <w:iCs/>
          <w:color w:val="222222"/>
          <w:sz w:val="22"/>
          <w:szCs w:val="22"/>
          <w:shd w:val="clear" w:color="auto" w:fill="FFFFFF"/>
        </w:rPr>
        <w:t>60</w:t>
      </w:r>
      <w:r w:rsidRPr="00CA68BB">
        <w:rPr>
          <w:rFonts w:ascii="Arial" w:eastAsia="Times New Roman" w:hAnsi="Arial" w:cs="Arial"/>
          <w:color w:val="222222"/>
          <w:sz w:val="22"/>
          <w:szCs w:val="22"/>
          <w:shd w:val="clear" w:color="auto" w:fill="FFFFFF"/>
        </w:rPr>
        <w:t>(5), pp.768-775.</w:t>
      </w:r>
    </w:p>
    <w:p w14:paraId="4C3290B4" w14:textId="77777777" w:rsidR="00CA68BB" w:rsidRPr="00CA68BB" w:rsidRDefault="00CA68BB" w:rsidP="00CA68BB">
      <w:pPr>
        <w:pStyle w:val="ListParagraph"/>
        <w:numPr>
          <w:ilvl w:val="0"/>
          <w:numId w:val="2"/>
        </w:numPr>
        <w:rPr>
          <w:rFonts w:ascii="Arial" w:eastAsia="Times New Roman" w:hAnsi="Arial" w:cs="Arial"/>
          <w:sz w:val="22"/>
          <w:szCs w:val="22"/>
        </w:rPr>
      </w:pPr>
      <w:r w:rsidRPr="00CA68BB">
        <w:rPr>
          <w:rFonts w:ascii="Arial" w:eastAsia="Times New Roman" w:hAnsi="Arial" w:cs="Arial"/>
          <w:color w:val="222222"/>
          <w:sz w:val="22"/>
          <w:szCs w:val="22"/>
          <w:shd w:val="clear" w:color="auto" w:fill="FFFFFF"/>
        </w:rPr>
        <w:t>Bennett, L.M., Gadlin, H. and Levine-Finley, S., 2010. </w:t>
      </w:r>
      <w:r w:rsidRPr="00CA68BB">
        <w:rPr>
          <w:rFonts w:ascii="Arial" w:eastAsia="Times New Roman" w:hAnsi="Arial" w:cs="Arial"/>
          <w:i/>
          <w:iCs/>
          <w:color w:val="222222"/>
          <w:sz w:val="22"/>
          <w:szCs w:val="22"/>
          <w:shd w:val="clear" w:color="auto" w:fill="FFFFFF"/>
        </w:rPr>
        <w:t>Collaboration &amp; team science: a field guide</w:t>
      </w:r>
      <w:r w:rsidRPr="00CA68BB">
        <w:rPr>
          <w:rFonts w:ascii="Arial" w:eastAsia="Times New Roman" w:hAnsi="Arial" w:cs="Arial"/>
          <w:color w:val="222222"/>
          <w:sz w:val="22"/>
          <w:szCs w:val="22"/>
          <w:shd w:val="clear" w:color="auto" w:fill="FFFFFF"/>
        </w:rPr>
        <w:t>. NIH Office of the Ombudsman, Center for Cooperative Resolution.</w:t>
      </w:r>
    </w:p>
    <w:p w14:paraId="26A13E77" w14:textId="77777777" w:rsidR="00CA68BB" w:rsidRPr="00E57892" w:rsidRDefault="00CA68BB" w:rsidP="00CA68BB">
      <w:pPr>
        <w:pStyle w:val="ListParagraph"/>
        <w:numPr>
          <w:ilvl w:val="0"/>
          <w:numId w:val="2"/>
        </w:numPr>
        <w:rPr>
          <w:rFonts w:ascii="Arial" w:eastAsia="Times New Roman" w:hAnsi="Arial" w:cs="Arial"/>
          <w:sz w:val="22"/>
          <w:szCs w:val="22"/>
        </w:rPr>
      </w:pPr>
      <w:r w:rsidRPr="00CA68BB">
        <w:rPr>
          <w:rFonts w:ascii="Arial" w:eastAsia="Times New Roman" w:hAnsi="Arial" w:cs="Arial"/>
          <w:color w:val="222222"/>
          <w:sz w:val="22"/>
          <w:szCs w:val="22"/>
          <w:shd w:val="clear" w:color="auto" w:fill="FFFFFF"/>
        </w:rPr>
        <w:t xml:space="preserve">Desai, M., Joyce, V., Bendavid, E., Olshen, R.A., Hlatky, M., Chow, A., Holodniy, M., Barnett, P. and Owens, D.K., 2015. Risk of cardiovascular events associated with </w:t>
      </w:r>
      <w:r w:rsidRPr="00E57892">
        <w:rPr>
          <w:rFonts w:ascii="Arial" w:eastAsia="Times New Roman" w:hAnsi="Arial" w:cs="Arial"/>
          <w:color w:val="222222"/>
          <w:sz w:val="22"/>
          <w:szCs w:val="22"/>
          <w:shd w:val="clear" w:color="auto" w:fill="FFFFFF"/>
        </w:rPr>
        <w:t>current exposure to HIV antiretroviral therapies in a US veteran population. </w:t>
      </w:r>
      <w:r w:rsidRPr="00E57892">
        <w:rPr>
          <w:rFonts w:ascii="Arial" w:eastAsia="Times New Roman" w:hAnsi="Arial" w:cs="Arial"/>
          <w:i/>
          <w:iCs/>
          <w:color w:val="222222"/>
          <w:sz w:val="22"/>
          <w:szCs w:val="22"/>
          <w:shd w:val="clear" w:color="auto" w:fill="FFFFFF"/>
        </w:rPr>
        <w:t>Clinical Infectious Diseases</w:t>
      </w:r>
      <w:r w:rsidRPr="00E57892">
        <w:rPr>
          <w:rFonts w:ascii="Arial" w:eastAsia="Times New Roman" w:hAnsi="Arial" w:cs="Arial"/>
          <w:color w:val="222222"/>
          <w:sz w:val="22"/>
          <w:szCs w:val="22"/>
          <w:shd w:val="clear" w:color="auto" w:fill="FFFFFF"/>
        </w:rPr>
        <w:t>, p.civ316.</w:t>
      </w:r>
    </w:p>
    <w:p w14:paraId="6344F17E" w14:textId="77777777" w:rsidR="00E57892" w:rsidRPr="00E57892" w:rsidRDefault="00E57892" w:rsidP="00E57892">
      <w:pPr>
        <w:pStyle w:val="ListParagraph"/>
        <w:numPr>
          <w:ilvl w:val="0"/>
          <w:numId w:val="2"/>
        </w:numPr>
        <w:rPr>
          <w:rFonts w:ascii="Times New Roman" w:eastAsia="Times New Roman" w:hAnsi="Times New Roman" w:cs="Times New Roman"/>
          <w:sz w:val="22"/>
          <w:szCs w:val="22"/>
        </w:rPr>
      </w:pPr>
      <w:r w:rsidRPr="00E57892">
        <w:rPr>
          <w:rFonts w:ascii="Arial" w:eastAsia="Times New Roman" w:hAnsi="Arial" w:cs="Arial"/>
          <w:color w:val="222222"/>
          <w:sz w:val="22"/>
          <w:szCs w:val="22"/>
          <w:shd w:val="clear" w:color="auto" w:fill="FFFFFF"/>
        </w:rPr>
        <w:t>Mazumdar, M., Messinger, S., Finkelstein, D.M., Goldberg, J.D., Lindsell, C.J., Morton, S.C., Pollock, B.H., Rahbar, M.H., Welty, L.J. and Parker, R.A., 2015. Evaluating Academic Scientists Collaborating in Team-Based Research: A Proposed Framework. </w:t>
      </w:r>
      <w:r w:rsidRPr="00E57892">
        <w:rPr>
          <w:rFonts w:ascii="Arial" w:eastAsia="Times New Roman" w:hAnsi="Arial" w:cs="Arial"/>
          <w:i/>
          <w:iCs/>
          <w:color w:val="222222"/>
          <w:sz w:val="22"/>
          <w:szCs w:val="22"/>
          <w:shd w:val="clear" w:color="auto" w:fill="FFFFFF"/>
        </w:rPr>
        <w:t>Academic medicine: journal of the Association of American Medical Colleges</w:t>
      </w:r>
      <w:r w:rsidRPr="00E57892">
        <w:rPr>
          <w:rFonts w:ascii="Arial" w:eastAsia="Times New Roman" w:hAnsi="Arial" w:cs="Arial"/>
          <w:color w:val="222222"/>
          <w:sz w:val="22"/>
          <w:szCs w:val="22"/>
          <w:shd w:val="clear" w:color="auto" w:fill="FFFFFF"/>
        </w:rPr>
        <w:t>, </w:t>
      </w:r>
      <w:r w:rsidRPr="00E57892">
        <w:rPr>
          <w:rFonts w:ascii="Arial" w:eastAsia="Times New Roman" w:hAnsi="Arial" w:cs="Arial"/>
          <w:i/>
          <w:iCs/>
          <w:color w:val="222222"/>
          <w:sz w:val="22"/>
          <w:szCs w:val="22"/>
          <w:shd w:val="clear" w:color="auto" w:fill="FFFFFF"/>
        </w:rPr>
        <w:t>90</w:t>
      </w:r>
      <w:r w:rsidRPr="00E57892">
        <w:rPr>
          <w:rFonts w:ascii="Arial" w:eastAsia="Times New Roman" w:hAnsi="Arial" w:cs="Arial"/>
          <w:color w:val="222222"/>
          <w:sz w:val="22"/>
          <w:szCs w:val="22"/>
          <w:shd w:val="clear" w:color="auto" w:fill="FFFFFF"/>
        </w:rPr>
        <w:t>(10), p.1302.</w:t>
      </w:r>
    </w:p>
    <w:p w14:paraId="3BB96BF0" w14:textId="527EE57F" w:rsidR="002D488F" w:rsidRPr="00E57892" w:rsidRDefault="002D488F" w:rsidP="00E57892">
      <w:pPr>
        <w:pStyle w:val="CommentText"/>
        <w:ind w:left="720"/>
        <w:rPr>
          <w:rFonts w:ascii="Arial" w:eastAsia="Times New Roman" w:hAnsi="Arial" w:cs="Arial"/>
          <w:sz w:val="22"/>
          <w:szCs w:val="22"/>
        </w:rPr>
      </w:pPr>
    </w:p>
    <w:sectPr w:rsidR="002D488F" w:rsidRPr="00E57892" w:rsidSect="00EB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051CC"/>
    <w:multiLevelType w:val="hybridMultilevel"/>
    <w:tmpl w:val="0DD40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5479A"/>
    <w:multiLevelType w:val="hybridMultilevel"/>
    <w:tmpl w:val="0DD40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F283F"/>
    <w:multiLevelType w:val="hybridMultilevel"/>
    <w:tmpl w:val="B876F782"/>
    <w:lvl w:ilvl="0" w:tplc="CC20835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A60D35"/>
    <w:multiLevelType w:val="hybridMultilevel"/>
    <w:tmpl w:val="93303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0440D9"/>
    <w:multiLevelType w:val="hybridMultilevel"/>
    <w:tmpl w:val="0DD40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FF"/>
    <w:rsid w:val="00011FF9"/>
    <w:rsid w:val="000120D9"/>
    <w:rsid w:val="00015732"/>
    <w:rsid w:val="00023225"/>
    <w:rsid w:val="000233D9"/>
    <w:rsid w:val="00025F82"/>
    <w:rsid w:val="0002635F"/>
    <w:rsid w:val="00026D42"/>
    <w:rsid w:val="00027DA7"/>
    <w:rsid w:val="0004021E"/>
    <w:rsid w:val="00051065"/>
    <w:rsid w:val="00051ACE"/>
    <w:rsid w:val="00053D79"/>
    <w:rsid w:val="000651B3"/>
    <w:rsid w:val="000666CF"/>
    <w:rsid w:val="00091920"/>
    <w:rsid w:val="000943F5"/>
    <w:rsid w:val="00097230"/>
    <w:rsid w:val="000A4F93"/>
    <w:rsid w:val="000B0177"/>
    <w:rsid w:val="000C1703"/>
    <w:rsid w:val="000C4CEE"/>
    <w:rsid w:val="000E6A0F"/>
    <w:rsid w:val="000F3DA5"/>
    <w:rsid w:val="000F598E"/>
    <w:rsid w:val="00111651"/>
    <w:rsid w:val="00111EED"/>
    <w:rsid w:val="001121A5"/>
    <w:rsid w:val="00116B60"/>
    <w:rsid w:val="0011791C"/>
    <w:rsid w:val="00122EB7"/>
    <w:rsid w:val="00131EF2"/>
    <w:rsid w:val="00147752"/>
    <w:rsid w:val="00152C79"/>
    <w:rsid w:val="0016117C"/>
    <w:rsid w:val="00161EEF"/>
    <w:rsid w:val="001717F5"/>
    <w:rsid w:val="00183E9C"/>
    <w:rsid w:val="001A2556"/>
    <w:rsid w:val="001A785C"/>
    <w:rsid w:val="001B0B6D"/>
    <w:rsid w:val="001B3934"/>
    <w:rsid w:val="001B4655"/>
    <w:rsid w:val="001B5756"/>
    <w:rsid w:val="001C119D"/>
    <w:rsid w:val="001C53AB"/>
    <w:rsid w:val="001D063C"/>
    <w:rsid w:val="001D4993"/>
    <w:rsid w:val="001D6D29"/>
    <w:rsid w:val="001E1729"/>
    <w:rsid w:val="001E1958"/>
    <w:rsid w:val="001E330A"/>
    <w:rsid w:val="001E7AA4"/>
    <w:rsid w:val="001F298B"/>
    <w:rsid w:val="001F5DAD"/>
    <w:rsid w:val="001F5F8B"/>
    <w:rsid w:val="00203006"/>
    <w:rsid w:val="00205D33"/>
    <w:rsid w:val="002064C4"/>
    <w:rsid w:val="002137EA"/>
    <w:rsid w:val="002139FF"/>
    <w:rsid w:val="00216123"/>
    <w:rsid w:val="00230E36"/>
    <w:rsid w:val="00231F6C"/>
    <w:rsid w:val="00233631"/>
    <w:rsid w:val="00237ADE"/>
    <w:rsid w:val="00250AE5"/>
    <w:rsid w:val="00257770"/>
    <w:rsid w:val="0027148A"/>
    <w:rsid w:val="00275819"/>
    <w:rsid w:val="002827B2"/>
    <w:rsid w:val="00290893"/>
    <w:rsid w:val="00295682"/>
    <w:rsid w:val="002A70F7"/>
    <w:rsid w:val="002A789F"/>
    <w:rsid w:val="002B104A"/>
    <w:rsid w:val="002C463D"/>
    <w:rsid w:val="002D488F"/>
    <w:rsid w:val="002D585D"/>
    <w:rsid w:val="002D6B27"/>
    <w:rsid w:val="002E4DE4"/>
    <w:rsid w:val="003010BA"/>
    <w:rsid w:val="00303162"/>
    <w:rsid w:val="0031005E"/>
    <w:rsid w:val="00316576"/>
    <w:rsid w:val="00317ED7"/>
    <w:rsid w:val="003211BA"/>
    <w:rsid w:val="003217F5"/>
    <w:rsid w:val="00324662"/>
    <w:rsid w:val="0032581A"/>
    <w:rsid w:val="003343D7"/>
    <w:rsid w:val="0033743C"/>
    <w:rsid w:val="003462D2"/>
    <w:rsid w:val="00351B93"/>
    <w:rsid w:val="003554C4"/>
    <w:rsid w:val="00357410"/>
    <w:rsid w:val="003604DF"/>
    <w:rsid w:val="00363796"/>
    <w:rsid w:val="00367D73"/>
    <w:rsid w:val="00372AC0"/>
    <w:rsid w:val="00386199"/>
    <w:rsid w:val="003867F0"/>
    <w:rsid w:val="00395ECF"/>
    <w:rsid w:val="003C5501"/>
    <w:rsid w:val="003D22D2"/>
    <w:rsid w:val="003D5952"/>
    <w:rsid w:val="003E0FCF"/>
    <w:rsid w:val="003E1421"/>
    <w:rsid w:val="003E2280"/>
    <w:rsid w:val="003E321C"/>
    <w:rsid w:val="003E39D1"/>
    <w:rsid w:val="003E5BF3"/>
    <w:rsid w:val="003F0AA4"/>
    <w:rsid w:val="003F4E76"/>
    <w:rsid w:val="003F68D5"/>
    <w:rsid w:val="0040374E"/>
    <w:rsid w:val="00407323"/>
    <w:rsid w:val="00415239"/>
    <w:rsid w:val="00421640"/>
    <w:rsid w:val="00423B24"/>
    <w:rsid w:val="0042698C"/>
    <w:rsid w:val="0043676E"/>
    <w:rsid w:val="00457EF2"/>
    <w:rsid w:val="004610A1"/>
    <w:rsid w:val="004617E7"/>
    <w:rsid w:val="00463132"/>
    <w:rsid w:val="00481FD6"/>
    <w:rsid w:val="004823B1"/>
    <w:rsid w:val="004824E7"/>
    <w:rsid w:val="004847CA"/>
    <w:rsid w:val="00487B50"/>
    <w:rsid w:val="0049160E"/>
    <w:rsid w:val="004A074C"/>
    <w:rsid w:val="004A16F1"/>
    <w:rsid w:val="004A3AA6"/>
    <w:rsid w:val="004A61AA"/>
    <w:rsid w:val="004A70E8"/>
    <w:rsid w:val="004B182A"/>
    <w:rsid w:val="004B7981"/>
    <w:rsid w:val="004C3664"/>
    <w:rsid w:val="004C6EE8"/>
    <w:rsid w:val="004D06B2"/>
    <w:rsid w:val="004D1BC3"/>
    <w:rsid w:val="004D50B3"/>
    <w:rsid w:val="004D56B8"/>
    <w:rsid w:val="004E0680"/>
    <w:rsid w:val="004E17A8"/>
    <w:rsid w:val="004F2575"/>
    <w:rsid w:val="0050120E"/>
    <w:rsid w:val="005015B8"/>
    <w:rsid w:val="00501738"/>
    <w:rsid w:val="005046F0"/>
    <w:rsid w:val="00505A79"/>
    <w:rsid w:val="00506969"/>
    <w:rsid w:val="00511081"/>
    <w:rsid w:val="00511BEA"/>
    <w:rsid w:val="005156AE"/>
    <w:rsid w:val="00520ACA"/>
    <w:rsid w:val="00522CEE"/>
    <w:rsid w:val="00523207"/>
    <w:rsid w:val="0052617A"/>
    <w:rsid w:val="00531273"/>
    <w:rsid w:val="00536891"/>
    <w:rsid w:val="00542101"/>
    <w:rsid w:val="0055392A"/>
    <w:rsid w:val="005636F2"/>
    <w:rsid w:val="005647E9"/>
    <w:rsid w:val="00573B6D"/>
    <w:rsid w:val="00587E4F"/>
    <w:rsid w:val="00597234"/>
    <w:rsid w:val="005A105A"/>
    <w:rsid w:val="005B0083"/>
    <w:rsid w:val="005C0F63"/>
    <w:rsid w:val="005C15AE"/>
    <w:rsid w:val="005C2147"/>
    <w:rsid w:val="005D2725"/>
    <w:rsid w:val="005D2922"/>
    <w:rsid w:val="005D5EEC"/>
    <w:rsid w:val="005D7B4B"/>
    <w:rsid w:val="005E01F2"/>
    <w:rsid w:val="005E6516"/>
    <w:rsid w:val="005F09C7"/>
    <w:rsid w:val="006030F9"/>
    <w:rsid w:val="00623B58"/>
    <w:rsid w:val="0063599D"/>
    <w:rsid w:val="00664C6F"/>
    <w:rsid w:val="00670380"/>
    <w:rsid w:val="006709CC"/>
    <w:rsid w:val="00670EC7"/>
    <w:rsid w:val="00675A6F"/>
    <w:rsid w:val="0068101F"/>
    <w:rsid w:val="00681F1B"/>
    <w:rsid w:val="00685A1E"/>
    <w:rsid w:val="0069417E"/>
    <w:rsid w:val="006947AF"/>
    <w:rsid w:val="006A1FE2"/>
    <w:rsid w:val="006B1753"/>
    <w:rsid w:val="006B276B"/>
    <w:rsid w:val="006B5519"/>
    <w:rsid w:val="006C3AE2"/>
    <w:rsid w:val="006D059A"/>
    <w:rsid w:val="006D2298"/>
    <w:rsid w:val="006D4181"/>
    <w:rsid w:val="006D4823"/>
    <w:rsid w:val="006D757B"/>
    <w:rsid w:val="006E041B"/>
    <w:rsid w:val="006E3260"/>
    <w:rsid w:val="006F0086"/>
    <w:rsid w:val="006F6748"/>
    <w:rsid w:val="006F7A9F"/>
    <w:rsid w:val="00705497"/>
    <w:rsid w:val="0071108F"/>
    <w:rsid w:val="007206BB"/>
    <w:rsid w:val="00720A4C"/>
    <w:rsid w:val="00725868"/>
    <w:rsid w:val="00726041"/>
    <w:rsid w:val="00737E8B"/>
    <w:rsid w:val="007533BC"/>
    <w:rsid w:val="00753C7B"/>
    <w:rsid w:val="00755C8B"/>
    <w:rsid w:val="0075744E"/>
    <w:rsid w:val="007712BD"/>
    <w:rsid w:val="00777F51"/>
    <w:rsid w:val="00781C33"/>
    <w:rsid w:val="00782BC7"/>
    <w:rsid w:val="0078673E"/>
    <w:rsid w:val="00786CE2"/>
    <w:rsid w:val="00794DE8"/>
    <w:rsid w:val="007A0A99"/>
    <w:rsid w:val="007A39A2"/>
    <w:rsid w:val="007D621C"/>
    <w:rsid w:val="007D7791"/>
    <w:rsid w:val="007E2231"/>
    <w:rsid w:val="007E5471"/>
    <w:rsid w:val="007E5F3E"/>
    <w:rsid w:val="007E74E3"/>
    <w:rsid w:val="007F198F"/>
    <w:rsid w:val="007F40E7"/>
    <w:rsid w:val="008013FA"/>
    <w:rsid w:val="00811A85"/>
    <w:rsid w:val="00811C49"/>
    <w:rsid w:val="008139B9"/>
    <w:rsid w:val="00833D90"/>
    <w:rsid w:val="00836B1B"/>
    <w:rsid w:val="00837E15"/>
    <w:rsid w:val="008424DA"/>
    <w:rsid w:val="00844242"/>
    <w:rsid w:val="00844F7E"/>
    <w:rsid w:val="00856EDB"/>
    <w:rsid w:val="008610D2"/>
    <w:rsid w:val="008617B9"/>
    <w:rsid w:val="00876D31"/>
    <w:rsid w:val="00880947"/>
    <w:rsid w:val="00883F22"/>
    <w:rsid w:val="00885044"/>
    <w:rsid w:val="00891929"/>
    <w:rsid w:val="00891EAD"/>
    <w:rsid w:val="00894F7B"/>
    <w:rsid w:val="0089554F"/>
    <w:rsid w:val="008A41D1"/>
    <w:rsid w:val="008A6230"/>
    <w:rsid w:val="008B1244"/>
    <w:rsid w:val="008C03D6"/>
    <w:rsid w:val="008C1C15"/>
    <w:rsid w:val="008C2F80"/>
    <w:rsid w:val="008C598B"/>
    <w:rsid w:val="008C5EC4"/>
    <w:rsid w:val="008C67A7"/>
    <w:rsid w:val="008D1C3C"/>
    <w:rsid w:val="008D1F60"/>
    <w:rsid w:val="008D4395"/>
    <w:rsid w:val="008D4457"/>
    <w:rsid w:val="008E54CD"/>
    <w:rsid w:val="00902228"/>
    <w:rsid w:val="00902806"/>
    <w:rsid w:val="00911159"/>
    <w:rsid w:val="009119B8"/>
    <w:rsid w:val="00915013"/>
    <w:rsid w:val="00917D21"/>
    <w:rsid w:val="00920601"/>
    <w:rsid w:val="00922CEB"/>
    <w:rsid w:val="00925C2D"/>
    <w:rsid w:val="00926671"/>
    <w:rsid w:val="0093333E"/>
    <w:rsid w:val="00952FC3"/>
    <w:rsid w:val="0096064E"/>
    <w:rsid w:val="00963AE1"/>
    <w:rsid w:val="0096739B"/>
    <w:rsid w:val="00971C0E"/>
    <w:rsid w:val="0098250F"/>
    <w:rsid w:val="009850C2"/>
    <w:rsid w:val="00985DDF"/>
    <w:rsid w:val="009878ED"/>
    <w:rsid w:val="00991E00"/>
    <w:rsid w:val="00992068"/>
    <w:rsid w:val="009925FF"/>
    <w:rsid w:val="00996736"/>
    <w:rsid w:val="009A1F39"/>
    <w:rsid w:val="009A5FE4"/>
    <w:rsid w:val="009B31A3"/>
    <w:rsid w:val="009B5D6A"/>
    <w:rsid w:val="009B7705"/>
    <w:rsid w:val="009B7766"/>
    <w:rsid w:val="009C3492"/>
    <w:rsid w:val="009C69AE"/>
    <w:rsid w:val="009D3675"/>
    <w:rsid w:val="009D428A"/>
    <w:rsid w:val="009D650B"/>
    <w:rsid w:val="009E23C1"/>
    <w:rsid w:val="009E2746"/>
    <w:rsid w:val="009E50C2"/>
    <w:rsid w:val="009E7877"/>
    <w:rsid w:val="009F2813"/>
    <w:rsid w:val="009F7A97"/>
    <w:rsid w:val="00A010C9"/>
    <w:rsid w:val="00A20895"/>
    <w:rsid w:val="00A217F3"/>
    <w:rsid w:val="00A44EC4"/>
    <w:rsid w:val="00A52B78"/>
    <w:rsid w:val="00A53FF1"/>
    <w:rsid w:val="00A55D0C"/>
    <w:rsid w:val="00A674B7"/>
    <w:rsid w:val="00A776C0"/>
    <w:rsid w:val="00A83149"/>
    <w:rsid w:val="00A85821"/>
    <w:rsid w:val="00A90AB3"/>
    <w:rsid w:val="00A90DB6"/>
    <w:rsid w:val="00A9415E"/>
    <w:rsid w:val="00AA0A4C"/>
    <w:rsid w:val="00AB19CD"/>
    <w:rsid w:val="00AB5907"/>
    <w:rsid w:val="00AB7F88"/>
    <w:rsid w:val="00AC25FE"/>
    <w:rsid w:val="00AC36E0"/>
    <w:rsid w:val="00AC5A8A"/>
    <w:rsid w:val="00AC5BD6"/>
    <w:rsid w:val="00AC7E8D"/>
    <w:rsid w:val="00AD2275"/>
    <w:rsid w:val="00AD33B0"/>
    <w:rsid w:val="00AE332A"/>
    <w:rsid w:val="00AE6779"/>
    <w:rsid w:val="00AF5B9A"/>
    <w:rsid w:val="00AF7466"/>
    <w:rsid w:val="00B00C79"/>
    <w:rsid w:val="00B03526"/>
    <w:rsid w:val="00B1047F"/>
    <w:rsid w:val="00B107B7"/>
    <w:rsid w:val="00B130D5"/>
    <w:rsid w:val="00B17776"/>
    <w:rsid w:val="00B52768"/>
    <w:rsid w:val="00B60BA8"/>
    <w:rsid w:val="00B63AA6"/>
    <w:rsid w:val="00B71C70"/>
    <w:rsid w:val="00B748F2"/>
    <w:rsid w:val="00B93567"/>
    <w:rsid w:val="00B96B8A"/>
    <w:rsid w:val="00BA68F9"/>
    <w:rsid w:val="00BB3A0B"/>
    <w:rsid w:val="00BB589D"/>
    <w:rsid w:val="00BC1088"/>
    <w:rsid w:val="00BC1EEA"/>
    <w:rsid w:val="00BC21FA"/>
    <w:rsid w:val="00BC23E5"/>
    <w:rsid w:val="00BD2427"/>
    <w:rsid w:val="00BD3D6B"/>
    <w:rsid w:val="00BD414B"/>
    <w:rsid w:val="00BD6E3B"/>
    <w:rsid w:val="00BE25E0"/>
    <w:rsid w:val="00BE3436"/>
    <w:rsid w:val="00BE492A"/>
    <w:rsid w:val="00BE542B"/>
    <w:rsid w:val="00BE7C73"/>
    <w:rsid w:val="00BF294C"/>
    <w:rsid w:val="00BF2A1E"/>
    <w:rsid w:val="00BF3662"/>
    <w:rsid w:val="00BF39FA"/>
    <w:rsid w:val="00BF632C"/>
    <w:rsid w:val="00C07586"/>
    <w:rsid w:val="00C1167A"/>
    <w:rsid w:val="00C144E9"/>
    <w:rsid w:val="00C17FA9"/>
    <w:rsid w:val="00C20220"/>
    <w:rsid w:val="00C21936"/>
    <w:rsid w:val="00C266D1"/>
    <w:rsid w:val="00C336BB"/>
    <w:rsid w:val="00C3538C"/>
    <w:rsid w:val="00C365BD"/>
    <w:rsid w:val="00C50EF3"/>
    <w:rsid w:val="00C52FB5"/>
    <w:rsid w:val="00C53125"/>
    <w:rsid w:val="00C578BC"/>
    <w:rsid w:val="00C60277"/>
    <w:rsid w:val="00C73EFE"/>
    <w:rsid w:val="00C812A6"/>
    <w:rsid w:val="00C821E4"/>
    <w:rsid w:val="00C86C70"/>
    <w:rsid w:val="00C94700"/>
    <w:rsid w:val="00C95ABC"/>
    <w:rsid w:val="00C9698E"/>
    <w:rsid w:val="00CA3E1B"/>
    <w:rsid w:val="00CA5289"/>
    <w:rsid w:val="00CA59CC"/>
    <w:rsid w:val="00CA68BB"/>
    <w:rsid w:val="00CB5233"/>
    <w:rsid w:val="00CC4A84"/>
    <w:rsid w:val="00CD5234"/>
    <w:rsid w:val="00CD6940"/>
    <w:rsid w:val="00CD6978"/>
    <w:rsid w:val="00CE25A7"/>
    <w:rsid w:val="00CE77B1"/>
    <w:rsid w:val="00CF5FF3"/>
    <w:rsid w:val="00D0097D"/>
    <w:rsid w:val="00D06450"/>
    <w:rsid w:val="00D0750E"/>
    <w:rsid w:val="00D16C8E"/>
    <w:rsid w:val="00D227FA"/>
    <w:rsid w:val="00D22C47"/>
    <w:rsid w:val="00D246BE"/>
    <w:rsid w:val="00D50048"/>
    <w:rsid w:val="00D53E71"/>
    <w:rsid w:val="00D557CA"/>
    <w:rsid w:val="00D635C1"/>
    <w:rsid w:val="00D65A61"/>
    <w:rsid w:val="00D734CA"/>
    <w:rsid w:val="00D74F12"/>
    <w:rsid w:val="00D84B6D"/>
    <w:rsid w:val="00D85C81"/>
    <w:rsid w:val="00D8630C"/>
    <w:rsid w:val="00DA08D3"/>
    <w:rsid w:val="00DA17A4"/>
    <w:rsid w:val="00DA4176"/>
    <w:rsid w:val="00DA5C8F"/>
    <w:rsid w:val="00DB3EB7"/>
    <w:rsid w:val="00DB45CC"/>
    <w:rsid w:val="00DC4E7F"/>
    <w:rsid w:val="00DD0308"/>
    <w:rsid w:val="00DD4A23"/>
    <w:rsid w:val="00DD689D"/>
    <w:rsid w:val="00DE2418"/>
    <w:rsid w:val="00DE329B"/>
    <w:rsid w:val="00DE3BD4"/>
    <w:rsid w:val="00E030B8"/>
    <w:rsid w:val="00E07694"/>
    <w:rsid w:val="00E2193B"/>
    <w:rsid w:val="00E22E2A"/>
    <w:rsid w:val="00E25DB7"/>
    <w:rsid w:val="00E26F9A"/>
    <w:rsid w:val="00E2764E"/>
    <w:rsid w:val="00E431FE"/>
    <w:rsid w:val="00E43FE2"/>
    <w:rsid w:val="00E57892"/>
    <w:rsid w:val="00E72077"/>
    <w:rsid w:val="00E740F0"/>
    <w:rsid w:val="00E80CC9"/>
    <w:rsid w:val="00E8240E"/>
    <w:rsid w:val="00E916D7"/>
    <w:rsid w:val="00E921A2"/>
    <w:rsid w:val="00EA15E4"/>
    <w:rsid w:val="00EA227E"/>
    <w:rsid w:val="00EA6F48"/>
    <w:rsid w:val="00EB3F0C"/>
    <w:rsid w:val="00EC5605"/>
    <w:rsid w:val="00EC7CB4"/>
    <w:rsid w:val="00ED32C6"/>
    <w:rsid w:val="00EF588D"/>
    <w:rsid w:val="00EF7198"/>
    <w:rsid w:val="00F01ADD"/>
    <w:rsid w:val="00F15EBE"/>
    <w:rsid w:val="00F20EA4"/>
    <w:rsid w:val="00F2118C"/>
    <w:rsid w:val="00F25DA7"/>
    <w:rsid w:val="00F30752"/>
    <w:rsid w:val="00F44C83"/>
    <w:rsid w:val="00F47228"/>
    <w:rsid w:val="00F476E9"/>
    <w:rsid w:val="00F555DD"/>
    <w:rsid w:val="00F62F82"/>
    <w:rsid w:val="00F82312"/>
    <w:rsid w:val="00F85EA5"/>
    <w:rsid w:val="00F90CC9"/>
    <w:rsid w:val="00F94976"/>
    <w:rsid w:val="00F97E10"/>
    <w:rsid w:val="00FA3614"/>
    <w:rsid w:val="00FB4BBC"/>
    <w:rsid w:val="00FC2D0F"/>
    <w:rsid w:val="00FC3734"/>
    <w:rsid w:val="00FC6DEF"/>
    <w:rsid w:val="00FD3B63"/>
    <w:rsid w:val="00FE2C77"/>
    <w:rsid w:val="00FE444D"/>
    <w:rsid w:val="00FE47A0"/>
    <w:rsid w:val="00FE7578"/>
    <w:rsid w:val="00FF23CD"/>
    <w:rsid w:val="00FF42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2796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576"/>
    <w:pPr>
      <w:ind w:left="720"/>
      <w:contextualSpacing/>
    </w:pPr>
  </w:style>
  <w:style w:type="character" w:styleId="CommentReference">
    <w:name w:val="annotation reference"/>
    <w:basedOn w:val="DefaultParagraphFont"/>
    <w:uiPriority w:val="99"/>
    <w:semiHidden/>
    <w:unhideWhenUsed/>
    <w:rsid w:val="009B7705"/>
    <w:rPr>
      <w:sz w:val="18"/>
      <w:szCs w:val="18"/>
    </w:rPr>
  </w:style>
  <w:style w:type="paragraph" w:styleId="CommentText">
    <w:name w:val="annotation text"/>
    <w:basedOn w:val="Normal"/>
    <w:link w:val="CommentTextChar"/>
    <w:uiPriority w:val="99"/>
    <w:unhideWhenUsed/>
    <w:rsid w:val="009B7705"/>
  </w:style>
  <w:style w:type="character" w:customStyle="1" w:styleId="CommentTextChar">
    <w:name w:val="Comment Text Char"/>
    <w:basedOn w:val="DefaultParagraphFont"/>
    <w:link w:val="CommentText"/>
    <w:uiPriority w:val="99"/>
    <w:rsid w:val="009B7705"/>
  </w:style>
  <w:style w:type="paragraph" w:styleId="CommentSubject">
    <w:name w:val="annotation subject"/>
    <w:basedOn w:val="CommentText"/>
    <w:next w:val="CommentText"/>
    <w:link w:val="CommentSubjectChar"/>
    <w:uiPriority w:val="99"/>
    <w:semiHidden/>
    <w:unhideWhenUsed/>
    <w:rsid w:val="009B7705"/>
    <w:rPr>
      <w:b/>
      <w:bCs/>
      <w:sz w:val="20"/>
      <w:szCs w:val="20"/>
    </w:rPr>
  </w:style>
  <w:style w:type="character" w:customStyle="1" w:styleId="CommentSubjectChar">
    <w:name w:val="Comment Subject Char"/>
    <w:basedOn w:val="CommentTextChar"/>
    <w:link w:val="CommentSubject"/>
    <w:uiPriority w:val="99"/>
    <w:semiHidden/>
    <w:rsid w:val="009B7705"/>
    <w:rPr>
      <w:b/>
      <w:bCs/>
      <w:sz w:val="20"/>
      <w:szCs w:val="20"/>
    </w:rPr>
  </w:style>
  <w:style w:type="paragraph" w:styleId="BalloonText">
    <w:name w:val="Balloon Text"/>
    <w:basedOn w:val="Normal"/>
    <w:link w:val="BalloonTextChar"/>
    <w:uiPriority w:val="99"/>
    <w:semiHidden/>
    <w:unhideWhenUsed/>
    <w:rsid w:val="009B77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705"/>
    <w:rPr>
      <w:rFonts w:ascii="Times New Roman" w:hAnsi="Times New Roman" w:cs="Times New Roman"/>
      <w:sz w:val="18"/>
      <w:szCs w:val="18"/>
    </w:rPr>
  </w:style>
  <w:style w:type="character" w:customStyle="1" w:styleId="apple-converted-space">
    <w:name w:val="apple-converted-space"/>
    <w:basedOn w:val="DefaultParagraphFont"/>
    <w:rsid w:val="00CB5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75905">
      <w:bodyDiv w:val="1"/>
      <w:marLeft w:val="0"/>
      <w:marRight w:val="0"/>
      <w:marTop w:val="0"/>
      <w:marBottom w:val="0"/>
      <w:divBdr>
        <w:top w:val="none" w:sz="0" w:space="0" w:color="auto"/>
        <w:left w:val="none" w:sz="0" w:space="0" w:color="auto"/>
        <w:bottom w:val="none" w:sz="0" w:space="0" w:color="auto"/>
        <w:right w:val="none" w:sz="0" w:space="0" w:color="auto"/>
      </w:divBdr>
    </w:div>
    <w:div w:id="388695875">
      <w:bodyDiv w:val="1"/>
      <w:marLeft w:val="0"/>
      <w:marRight w:val="0"/>
      <w:marTop w:val="0"/>
      <w:marBottom w:val="0"/>
      <w:divBdr>
        <w:top w:val="none" w:sz="0" w:space="0" w:color="auto"/>
        <w:left w:val="none" w:sz="0" w:space="0" w:color="auto"/>
        <w:bottom w:val="none" w:sz="0" w:space="0" w:color="auto"/>
        <w:right w:val="none" w:sz="0" w:space="0" w:color="auto"/>
      </w:divBdr>
    </w:div>
    <w:div w:id="1166290300">
      <w:bodyDiv w:val="1"/>
      <w:marLeft w:val="0"/>
      <w:marRight w:val="0"/>
      <w:marTop w:val="0"/>
      <w:marBottom w:val="0"/>
      <w:divBdr>
        <w:top w:val="none" w:sz="0" w:space="0" w:color="auto"/>
        <w:left w:val="none" w:sz="0" w:space="0" w:color="auto"/>
        <w:bottom w:val="none" w:sz="0" w:space="0" w:color="auto"/>
        <w:right w:val="none" w:sz="0" w:space="0" w:color="auto"/>
      </w:divBdr>
    </w:div>
    <w:div w:id="1331445344">
      <w:bodyDiv w:val="1"/>
      <w:marLeft w:val="0"/>
      <w:marRight w:val="0"/>
      <w:marTop w:val="0"/>
      <w:marBottom w:val="0"/>
      <w:divBdr>
        <w:top w:val="none" w:sz="0" w:space="0" w:color="auto"/>
        <w:left w:val="none" w:sz="0" w:space="0" w:color="auto"/>
        <w:bottom w:val="none" w:sz="0" w:space="0" w:color="auto"/>
        <w:right w:val="none" w:sz="0" w:space="0" w:color="auto"/>
      </w:divBdr>
    </w:div>
    <w:div w:id="1401752210">
      <w:bodyDiv w:val="1"/>
      <w:marLeft w:val="0"/>
      <w:marRight w:val="0"/>
      <w:marTop w:val="0"/>
      <w:marBottom w:val="0"/>
      <w:divBdr>
        <w:top w:val="none" w:sz="0" w:space="0" w:color="auto"/>
        <w:left w:val="none" w:sz="0" w:space="0" w:color="auto"/>
        <w:bottom w:val="none" w:sz="0" w:space="0" w:color="auto"/>
        <w:right w:val="none" w:sz="0" w:space="0" w:color="auto"/>
      </w:divBdr>
    </w:div>
    <w:div w:id="1515535840">
      <w:bodyDiv w:val="1"/>
      <w:marLeft w:val="0"/>
      <w:marRight w:val="0"/>
      <w:marTop w:val="0"/>
      <w:marBottom w:val="0"/>
      <w:divBdr>
        <w:top w:val="none" w:sz="0" w:space="0" w:color="auto"/>
        <w:left w:val="none" w:sz="0" w:space="0" w:color="auto"/>
        <w:bottom w:val="none" w:sz="0" w:space="0" w:color="auto"/>
        <w:right w:val="none" w:sz="0" w:space="0" w:color="auto"/>
      </w:divBdr>
    </w:div>
    <w:div w:id="1645045392">
      <w:bodyDiv w:val="1"/>
      <w:marLeft w:val="0"/>
      <w:marRight w:val="0"/>
      <w:marTop w:val="0"/>
      <w:marBottom w:val="0"/>
      <w:divBdr>
        <w:top w:val="none" w:sz="0" w:space="0" w:color="auto"/>
        <w:left w:val="none" w:sz="0" w:space="0" w:color="auto"/>
        <w:bottom w:val="none" w:sz="0" w:space="0" w:color="auto"/>
        <w:right w:val="none" w:sz="0" w:space="0" w:color="auto"/>
      </w:divBdr>
    </w:div>
    <w:div w:id="1646816990">
      <w:bodyDiv w:val="1"/>
      <w:marLeft w:val="0"/>
      <w:marRight w:val="0"/>
      <w:marTop w:val="0"/>
      <w:marBottom w:val="0"/>
      <w:divBdr>
        <w:top w:val="none" w:sz="0" w:space="0" w:color="auto"/>
        <w:left w:val="none" w:sz="0" w:space="0" w:color="auto"/>
        <w:bottom w:val="none" w:sz="0" w:space="0" w:color="auto"/>
        <w:right w:val="none" w:sz="0" w:space="0" w:color="auto"/>
      </w:divBdr>
    </w:div>
    <w:div w:id="1888451523">
      <w:bodyDiv w:val="1"/>
      <w:marLeft w:val="0"/>
      <w:marRight w:val="0"/>
      <w:marTop w:val="0"/>
      <w:marBottom w:val="0"/>
      <w:divBdr>
        <w:top w:val="none" w:sz="0" w:space="0" w:color="auto"/>
        <w:left w:val="none" w:sz="0" w:space="0" w:color="auto"/>
        <w:bottom w:val="none" w:sz="0" w:space="0" w:color="auto"/>
        <w:right w:val="none" w:sz="0" w:space="0" w:color="auto"/>
      </w:divBdr>
    </w:div>
    <w:div w:id="1910458985">
      <w:bodyDiv w:val="1"/>
      <w:marLeft w:val="0"/>
      <w:marRight w:val="0"/>
      <w:marTop w:val="0"/>
      <w:marBottom w:val="0"/>
      <w:divBdr>
        <w:top w:val="none" w:sz="0" w:space="0" w:color="auto"/>
        <w:left w:val="none" w:sz="0" w:space="0" w:color="auto"/>
        <w:bottom w:val="none" w:sz="0" w:space="0" w:color="auto"/>
        <w:right w:val="none" w:sz="0" w:space="0" w:color="auto"/>
      </w:divBdr>
    </w:div>
    <w:div w:id="2054959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3011</Words>
  <Characters>17165</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Desai</dc:creator>
  <cp:keywords/>
  <dc:description/>
  <cp:lastModifiedBy>Manisha Desai</cp:lastModifiedBy>
  <cp:revision>3</cp:revision>
  <dcterms:created xsi:type="dcterms:W3CDTF">2017-05-13T02:08:00Z</dcterms:created>
  <dcterms:modified xsi:type="dcterms:W3CDTF">2017-05-13T02:09:00Z</dcterms:modified>
</cp:coreProperties>
</file>