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340BB3" w:rsidP="00F42194">
      <w:pPr>
        <w:pStyle w:val="LabTitle"/>
      </w:pPr>
      <w:r>
        <w:t>Packet Tracer –</w:t>
      </w:r>
      <w:r w:rsidR="008806F9">
        <w:t xml:space="preserve"> </w:t>
      </w:r>
      <w:r w:rsidR="00426C43" w:rsidRPr="00426C43">
        <w:t xml:space="preserve">Configuring </w:t>
      </w:r>
      <w:proofErr w:type="spellStart"/>
      <w:r w:rsidR="00426C43" w:rsidRPr="00426C43">
        <w:t>RIPng</w:t>
      </w:r>
      <w:proofErr w:type="spellEnd"/>
    </w:p>
    <w:p w:rsidR="003C6BCA" w:rsidRDefault="008806F9" w:rsidP="008806F9">
      <w:pPr>
        <w:pStyle w:val="LabSection"/>
        <w:numPr>
          <w:ilvl w:val="0"/>
          <w:numId w:val="0"/>
        </w:numPr>
      </w:pPr>
      <w:r>
        <w:t>Topology</w:t>
      </w:r>
    </w:p>
    <w:p w:rsidR="00AD6C60" w:rsidRPr="00AD6C60" w:rsidRDefault="00416E19" w:rsidP="00AD6C60">
      <w:pPr>
        <w:pStyle w:val="BodyText1"/>
        <w:jc w:val="center"/>
      </w:pPr>
      <w:r>
        <w:rPr>
          <w:noProof/>
        </w:rPr>
        <w:drawing>
          <wp:inline distT="0" distB="0" distL="0" distR="0">
            <wp:extent cx="5123811" cy="2666667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2" w:rsidRPr="000B0C00" w:rsidRDefault="008806F9" w:rsidP="00D86592">
      <w:pPr>
        <w:pStyle w:val="LabSection"/>
        <w:tabs>
          <w:tab w:val="num" w:pos="0"/>
        </w:tabs>
      </w:pPr>
      <w:r>
        <w:t>Addressing Table</w:t>
      </w:r>
    </w:p>
    <w:tbl>
      <w:tblPr>
        <w:tblW w:w="547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23"/>
        <w:gridCol w:w="1260"/>
        <w:gridCol w:w="2790"/>
      </w:tblGrid>
      <w:tr w:rsidR="00416E19" w:rsidRPr="000B0C00" w:rsidTr="00416E19">
        <w:trPr>
          <w:cantSplit/>
          <w:jc w:val="center"/>
        </w:trPr>
        <w:tc>
          <w:tcPr>
            <w:tcW w:w="1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16E19" w:rsidRPr="000B0C00" w:rsidRDefault="00416E19" w:rsidP="00CD0BA2">
            <w:pPr>
              <w:pStyle w:val="TableHeading"/>
            </w:pPr>
            <w:r w:rsidRPr="000B0C00">
              <w:t>Device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16E19" w:rsidRPr="000B0C00" w:rsidRDefault="00416E19" w:rsidP="00CD0BA2">
            <w:pPr>
              <w:pStyle w:val="TableHeading"/>
            </w:pPr>
            <w:r w:rsidRPr="000B0C00">
              <w:t>Interface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16E19" w:rsidRPr="000B0C00" w:rsidRDefault="00416E19" w:rsidP="00CD0BA2">
            <w:pPr>
              <w:pStyle w:val="TableHeading"/>
            </w:pPr>
            <w:r w:rsidRPr="000B0C00">
              <w:t>IPv6 Address/Prefix</w:t>
            </w:r>
          </w:p>
        </w:tc>
      </w:tr>
      <w:tr w:rsidR="00416E19" w:rsidRPr="000B0C00" w:rsidTr="00416E19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416E19" w:rsidRPr="000B0C00" w:rsidRDefault="00416E19" w:rsidP="00CD0BA2">
            <w:pPr>
              <w:pStyle w:val="TableText"/>
            </w:pPr>
            <w:r w:rsidRPr="000B0C00">
              <w:t>R1</w:t>
            </w:r>
          </w:p>
        </w:tc>
        <w:tc>
          <w:tcPr>
            <w:tcW w:w="1260" w:type="dxa"/>
            <w:vAlign w:val="bottom"/>
          </w:tcPr>
          <w:p w:rsidR="00416E19" w:rsidRPr="000B0C00" w:rsidRDefault="00416E19" w:rsidP="00CD0BA2">
            <w:pPr>
              <w:pStyle w:val="TableText"/>
            </w:pPr>
            <w:r w:rsidRPr="000B0C00">
              <w:t>G0/0</w:t>
            </w:r>
          </w:p>
        </w:tc>
        <w:tc>
          <w:tcPr>
            <w:tcW w:w="2790" w:type="dxa"/>
            <w:vAlign w:val="bottom"/>
          </w:tcPr>
          <w:p w:rsidR="00416E19" w:rsidRPr="000B0C00" w:rsidRDefault="00416E19" w:rsidP="00CD0BA2">
            <w:pPr>
              <w:pStyle w:val="TableText"/>
            </w:pPr>
            <w:r>
              <w:t>2001:DB8:</w:t>
            </w:r>
            <w:r w:rsidR="00996538">
              <w:t>1</w:t>
            </w:r>
            <w:r>
              <w:t>:1::1/64</w:t>
            </w:r>
          </w:p>
        </w:tc>
      </w:tr>
      <w:tr w:rsidR="00416E19" w:rsidRPr="000B0C00" w:rsidTr="00416E19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416E19" w:rsidRPr="000B0C00" w:rsidRDefault="00416E19" w:rsidP="00CD0BA2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416E19" w:rsidRPr="000B0C00" w:rsidRDefault="00416E19" w:rsidP="00CD0BA2">
            <w:pPr>
              <w:pStyle w:val="TableText"/>
            </w:pPr>
            <w:r w:rsidRPr="000B0C00">
              <w:t>S0/0/0</w:t>
            </w:r>
          </w:p>
        </w:tc>
        <w:tc>
          <w:tcPr>
            <w:tcW w:w="2790" w:type="dxa"/>
            <w:vAlign w:val="bottom"/>
          </w:tcPr>
          <w:p w:rsidR="00416E19" w:rsidRPr="000B0C00" w:rsidRDefault="00416E19" w:rsidP="00CD0BA2">
            <w:pPr>
              <w:pStyle w:val="TableText"/>
            </w:pPr>
            <w:r>
              <w:t>2001:DB8:</w:t>
            </w:r>
            <w:r w:rsidR="00996538">
              <w:t>1</w:t>
            </w:r>
            <w:r>
              <w:t>:A001::1/64</w:t>
            </w:r>
          </w:p>
        </w:tc>
      </w:tr>
      <w:tr w:rsidR="00416E19" w:rsidRPr="000B0C00" w:rsidTr="00416E19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416E19" w:rsidRPr="000B0C00" w:rsidRDefault="00416E19" w:rsidP="00CD0BA2">
            <w:pPr>
              <w:pStyle w:val="TableText"/>
            </w:pPr>
            <w:r>
              <w:t>R2</w:t>
            </w:r>
          </w:p>
        </w:tc>
        <w:tc>
          <w:tcPr>
            <w:tcW w:w="1260" w:type="dxa"/>
            <w:vAlign w:val="bottom"/>
          </w:tcPr>
          <w:p w:rsidR="00416E19" w:rsidRPr="000B0C00" w:rsidRDefault="00416E19" w:rsidP="00CD0BA2">
            <w:pPr>
              <w:pStyle w:val="TableText"/>
            </w:pPr>
            <w:r w:rsidRPr="000B0C00">
              <w:t>G0/0</w:t>
            </w:r>
          </w:p>
        </w:tc>
        <w:tc>
          <w:tcPr>
            <w:tcW w:w="2790" w:type="dxa"/>
            <w:vAlign w:val="bottom"/>
          </w:tcPr>
          <w:p w:rsidR="00416E19" w:rsidRPr="000B0C00" w:rsidRDefault="00416E19" w:rsidP="00CD0BA2">
            <w:pPr>
              <w:pStyle w:val="TableText"/>
            </w:pPr>
            <w:r>
              <w:t>2001:DB8:</w:t>
            </w:r>
            <w:r w:rsidR="00996538">
              <w:t>1</w:t>
            </w:r>
            <w:r>
              <w:t>:2::1/64</w:t>
            </w:r>
          </w:p>
        </w:tc>
      </w:tr>
      <w:tr w:rsidR="00416E19" w:rsidRPr="000B0C00" w:rsidTr="00416E19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416E19" w:rsidRPr="000B0C00" w:rsidRDefault="00416E19" w:rsidP="00CD0BA2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416E19" w:rsidRPr="000B0C00" w:rsidRDefault="00416E19" w:rsidP="00CD0BA2">
            <w:pPr>
              <w:pStyle w:val="TableText"/>
            </w:pPr>
            <w:r w:rsidRPr="000B0C00">
              <w:t>S0/0/0</w:t>
            </w:r>
          </w:p>
        </w:tc>
        <w:tc>
          <w:tcPr>
            <w:tcW w:w="2790" w:type="dxa"/>
            <w:vAlign w:val="bottom"/>
          </w:tcPr>
          <w:p w:rsidR="00416E19" w:rsidRPr="000B0C00" w:rsidRDefault="00416E19" w:rsidP="00CD0BA2">
            <w:pPr>
              <w:pStyle w:val="TableText"/>
            </w:pPr>
            <w:r>
              <w:t>2001:DB8:</w:t>
            </w:r>
            <w:r w:rsidR="00996538">
              <w:t>1</w:t>
            </w:r>
            <w:r>
              <w:t>:A001::2/64</w:t>
            </w:r>
          </w:p>
        </w:tc>
      </w:tr>
      <w:tr w:rsidR="00416E19" w:rsidRPr="000B0C00" w:rsidTr="00416E19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416E19" w:rsidRPr="000B0C00" w:rsidRDefault="00416E19" w:rsidP="00CD0BA2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416E19" w:rsidRPr="000B0C00" w:rsidRDefault="00416E19" w:rsidP="00CD0BA2">
            <w:pPr>
              <w:pStyle w:val="TableText"/>
            </w:pPr>
            <w:r w:rsidRPr="000B0C00">
              <w:t>S0/0/</w:t>
            </w:r>
            <w:r>
              <w:t>1</w:t>
            </w:r>
          </w:p>
        </w:tc>
        <w:tc>
          <w:tcPr>
            <w:tcW w:w="2790" w:type="dxa"/>
            <w:vAlign w:val="bottom"/>
          </w:tcPr>
          <w:p w:rsidR="00416E19" w:rsidRPr="000B0C00" w:rsidRDefault="00416E19" w:rsidP="00CD0BA2">
            <w:pPr>
              <w:pStyle w:val="TableText"/>
            </w:pPr>
            <w:r>
              <w:t>2001:DB8:</w:t>
            </w:r>
            <w:r w:rsidR="00996538">
              <w:t>1</w:t>
            </w:r>
            <w:r>
              <w:t>:A002::1/64</w:t>
            </w:r>
          </w:p>
        </w:tc>
      </w:tr>
      <w:tr w:rsidR="00416E19" w:rsidRPr="000B0C00" w:rsidTr="00416E19">
        <w:trPr>
          <w:cantSplit/>
          <w:jc w:val="center"/>
        </w:trPr>
        <w:tc>
          <w:tcPr>
            <w:tcW w:w="1423" w:type="dxa"/>
            <w:vMerge w:val="restart"/>
            <w:vAlign w:val="center"/>
          </w:tcPr>
          <w:p w:rsidR="00416E19" w:rsidRPr="000B0C00" w:rsidRDefault="00416E19" w:rsidP="00CD0BA2">
            <w:pPr>
              <w:pStyle w:val="TableText"/>
            </w:pPr>
            <w:r>
              <w:t>R3</w:t>
            </w:r>
          </w:p>
        </w:tc>
        <w:tc>
          <w:tcPr>
            <w:tcW w:w="1260" w:type="dxa"/>
            <w:vAlign w:val="bottom"/>
          </w:tcPr>
          <w:p w:rsidR="00416E19" w:rsidRPr="000B0C00" w:rsidRDefault="00416E19" w:rsidP="00CD0BA2">
            <w:pPr>
              <w:pStyle w:val="TableText"/>
            </w:pPr>
            <w:r w:rsidRPr="000B0C00">
              <w:t>G0/0</w:t>
            </w:r>
          </w:p>
        </w:tc>
        <w:tc>
          <w:tcPr>
            <w:tcW w:w="2790" w:type="dxa"/>
            <w:vAlign w:val="bottom"/>
          </w:tcPr>
          <w:p w:rsidR="00416E19" w:rsidRPr="000B0C00" w:rsidRDefault="00416E19" w:rsidP="00CD0BA2">
            <w:pPr>
              <w:pStyle w:val="TableText"/>
            </w:pPr>
            <w:r>
              <w:t>2001:DB8:</w:t>
            </w:r>
            <w:r w:rsidR="00996538">
              <w:t>1</w:t>
            </w:r>
            <w:r>
              <w:t>:3::1/64</w:t>
            </w:r>
          </w:p>
        </w:tc>
      </w:tr>
      <w:tr w:rsidR="00416E19" w:rsidRPr="000B0C00" w:rsidTr="00416E19">
        <w:trPr>
          <w:cantSplit/>
          <w:jc w:val="center"/>
        </w:trPr>
        <w:tc>
          <w:tcPr>
            <w:tcW w:w="1423" w:type="dxa"/>
            <w:vMerge/>
            <w:vAlign w:val="bottom"/>
          </w:tcPr>
          <w:p w:rsidR="00416E19" w:rsidRPr="000B0C00" w:rsidRDefault="00416E19" w:rsidP="00CD0BA2">
            <w:pPr>
              <w:pStyle w:val="TableText"/>
            </w:pPr>
          </w:p>
        </w:tc>
        <w:tc>
          <w:tcPr>
            <w:tcW w:w="1260" w:type="dxa"/>
            <w:vAlign w:val="bottom"/>
          </w:tcPr>
          <w:p w:rsidR="00416E19" w:rsidRPr="000B0C00" w:rsidRDefault="00416E19" w:rsidP="00CD0BA2">
            <w:pPr>
              <w:pStyle w:val="TableText"/>
            </w:pPr>
            <w:r w:rsidRPr="000B0C00">
              <w:t>S0/0/</w:t>
            </w:r>
            <w:r>
              <w:t>1</w:t>
            </w:r>
          </w:p>
        </w:tc>
        <w:tc>
          <w:tcPr>
            <w:tcW w:w="2790" w:type="dxa"/>
            <w:vAlign w:val="bottom"/>
          </w:tcPr>
          <w:p w:rsidR="00416E19" w:rsidRPr="000B0C00" w:rsidRDefault="00416E19" w:rsidP="00CD0BA2">
            <w:pPr>
              <w:pStyle w:val="TableText"/>
            </w:pPr>
            <w:r>
              <w:t>2001:DB8:</w:t>
            </w:r>
            <w:r w:rsidR="00996538">
              <w:t>1</w:t>
            </w:r>
            <w:r>
              <w:t>:A002::2/64</w:t>
            </w:r>
          </w:p>
        </w:tc>
      </w:tr>
    </w:tbl>
    <w:p w:rsidR="009D2C27" w:rsidRPr="00BB73FF" w:rsidRDefault="009D2C27" w:rsidP="00D86592">
      <w:pPr>
        <w:pStyle w:val="LabSection"/>
        <w:numPr>
          <w:ilvl w:val="0"/>
          <w:numId w:val="0"/>
        </w:numPr>
      </w:pPr>
      <w:r w:rsidRPr="00BB73FF">
        <w:t>Objectives</w:t>
      </w:r>
    </w:p>
    <w:p w:rsidR="00BA627F" w:rsidRPr="004C0909" w:rsidRDefault="00D86592" w:rsidP="00E67847">
      <w:pPr>
        <w:pStyle w:val="BodyTextL25Bold"/>
      </w:pPr>
      <w:r>
        <w:t xml:space="preserve">Part </w:t>
      </w:r>
      <w:r w:rsidR="008E360A">
        <w:t>1</w:t>
      </w:r>
      <w:r>
        <w:t xml:space="preserve">: </w:t>
      </w:r>
      <w:r w:rsidRPr="00D86592">
        <w:t xml:space="preserve">Configure </w:t>
      </w:r>
      <w:proofErr w:type="spellStart"/>
      <w:r w:rsidRPr="00D86592">
        <w:t>RIPng</w:t>
      </w:r>
      <w:proofErr w:type="spellEnd"/>
    </w:p>
    <w:p w:rsidR="00D86592" w:rsidRDefault="008A48F9" w:rsidP="00D86592">
      <w:pPr>
        <w:pStyle w:val="BodyTextL25Bold"/>
      </w:pPr>
      <w:r>
        <w:t xml:space="preserve">Part 2: Verify </w:t>
      </w:r>
      <w:r w:rsidR="00416E19">
        <w:t xml:space="preserve">Configurations and </w:t>
      </w:r>
      <w:r>
        <w:t>C</w:t>
      </w:r>
      <w:r w:rsidR="00D86592">
        <w:t>onnectivity</w:t>
      </w:r>
    </w:p>
    <w:p w:rsidR="000C5BC9" w:rsidRDefault="000C5BC9" w:rsidP="000C5BC9">
      <w:pPr>
        <w:pStyle w:val="LabSection"/>
      </w:pPr>
      <w:r>
        <w:t>Background</w:t>
      </w:r>
    </w:p>
    <w:p w:rsidR="000C5BC9" w:rsidRPr="004C0909" w:rsidRDefault="000C5BC9" w:rsidP="000C5BC9">
      <w:pPr>
        <w:pStyle w:val="BodyTextL25"/>
      </w:pPr>
      <w:proofErr w:type="spellStart"/>
      <w:r>
        <w:t>RIPng</w:t>
      </w:r>
      <w:proofErr w:type="spellEnd"/>
      <w:r>
        <w:t xml:space="preserve"> (RIP Next Generation) is a distance vector routing protocol for routing IPv6 addresses. </w:t>
      </w:r>
      <w:proofErr w:type="spellStart"/>
      <w:r>
        <w:t>RIPng</w:t>
      </w:r>
      <w:proofErr w:type="spellEnd"/>
      <w:r>
        <w:t xml:space="preserve"> is based on RIPv2 and has the same administrative distance and 15 hop limitation. This activity will help you become more familiar with </w:t>
      </w:r>
      <w:proofErr w:type="spellStart"/>
      <w:r>
        <w:t>RIPng</w:t>
      </w:r>
      <w:proofErr w:type="spellEnd"/>
      <w:r>
        <w:t>.</w:t>
      </w:r>
    </w:p>
    <w:p w:rsidR="003963EA" w:rsidRPr="00C11449" w:rsidRDefault="003963EA" w:rsidP="003963EA">
      <w:pPr>
        <w:pStyle w:val="PartHead"/>
      </w:pPr>
      <w:r>
        <w:lastRenderedPageBreak/>
        <w:t xml:space="preserve">Configure </w:t>
      </w:r>
      <w:proofErr w:type="spellStart"/>
      <w:r>
        <w:t>RIPng</w:t>
      </w:r>
      <w:proofErr w:type="spellEnd"/>
    </w:p>
    <w:p w:rsidR="003963EA" w:rsidRPr="00C07FD9" w:rsidRDefault="003963EA" w:rsidP="003963EA">
      <w:pPr>
        <w:pStyle w:val="StepHead"/>
      </w:pPr>
      <w:r w:rsidRPr="00EE3B71">
        <w:t xml:space="preserve">Configure </w:t>
      </w:r>
      <w:proofErr w:type="spellStart"/>
      <w:r>
        <w:t>RIPng</w:t>
      </w:r>
      <w:proofErr w:type="spellEnd"/>
      <w:r w:rsidRPr="00EE3B71">
        <w:t xml:space="preserve"> on R1</w:t>
      </w:r>
      <w:r>
        <w:t>.</w:t>
      </w:r>
    </w:p>
    <w:p w:rsidR="003963EA" w:rsidRDefault="003963EA" w:rsidP="003963EA">
      <w:pPr>
        <w:pStyle w:val="SubStepAlpha"/>
      </w:pPr>
      <w:r>
        <w:t xml:space="preserve">Enable IPv6 routing on </w:t>
      </w:r>
      <w:r w:rsidRPr="003963EA">
        <w:rPr>
          <w:b/>
        </w:rPr>
        <w:t>R1</w:t>
      </w:r>
      <w:r>
        <w:t>.</w:t>
      </w:r>
    </w:p>
    <w:p w:rsidR="003963EA" w:rsidRDefault="003963EA" w:rsidP="003963EA">
      <w:pPr>
        <w:pStyle w:val="CMD"/>
      </w:pPr>
      <w:proofErr w:type="gramStart"/>
      <w:r w:rsidRPr="003963EA">
        <w:t>R1(</w:t>
      </w:r>
      <w:proofErr w:type="spellStart"/>
      <w:proofErr w:type="gramEnd"/>
      <w:r w:rsidRPr="003963EA">
        <w:t>config</w:t>
      </w:r>
      <w:proofErr w:type="spellEnd"/>
      <w:r w:rsidRPr="003963EA">
        <w:t>)#</w:t>
      </w:r>
      <w:r>
        <w:t xml:space="preserve"> </w:t>
      </w:r>
      <w:r w:rsidRPr="003963EA">
        <w:rPr>
          <w:b/>
        </w:rPr>
        <w:t>ipv6 unicast-routing</w:t>
      </w:r>
    </w:p>
    <w:p w:rsidR="003963EA" w:rsidRDefault="003963EA" w:rsidP="003963EA">
      <w:pPr>
        <w:pStyle w:val="SubStepAlpha"/>
      </w:pPr>
      <w:r>
        <w:t xml:space="preserve">Enter </w:t>
      </w:r>
      <w:proofErr w:type="spellStart"/>
      <w:r>
        <w:t>RIPng</w:t>
      </w:r>
      <w:proofErr w:type="spellEnd"/>
      <w:r>
        <w:t xml:space="preserve"> protocol configuration mode.</w:t>
      </w:r>
    </w:p>
    <w:p w:rsidR="003963EA" w:rsidRDefault="003963EA" w:rsidP="003963EA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3963EA">
        <w:rPr>
          <w:b/>
        </w:rPr>
        <w:t>ipv6 router rip CISCO</w:t>
      </w:r>
    </w:p>
    <w:p w:rsidR="003963EA" w:rsidRDefault="003963EA" w:rsidP="003963EA">
      <w:pPr>
        <w:pStyle w:val="SubStepAlpha"/>
      </w:pPr>
      <w:r>
        <w:t xml:space="preserve">Enable </w:t>
      </w:r>
      <w:proofErr w:type="spellStart"/>
      <w:r>
        <w:t>RIPng</w:t>
      </w:r>
      <w:proofErr w:type="spellEnd"/>
      <w:r>
        <w:t xml:space="preserve"> for the networks that </w:t>
      </w:r>
      <w:r w:rsidR="008A48F9">
        <w:t xml:space="preserve">connect to </w:t>
      </w:r>
      <w:r w:rsidRPr="00C365B7">
        <w:rPr>
          <w:b/>
        </w:rPr>
        <w:t>R1</w:t>
      </w:r>
      <w:r>
        <w:t>.</w:t>
      </w:r>
    </w:p>
    <w:p w:rsidR="003963EA" w:rsidRPr="003963EA" w:rsidRDefault="003963EA" w:rsidP="003963EA">
      <w:pPr>
        <w:pStyle w:val="CMD"/>
        <w:rPr>
          <w:b/>
        </w:rPr>
      </w:pPr>
      <w:proofErr w:type="gramStart"/>
      <w:r w:rsidRPr="003963EA">
        <w:t>R1(</w:t>
      </w:r>
      <w:proofErr w:type="spellStart"/>
      <w:proofErr w:type="gramEnd"/>
      <w:r w:rsidRPr="003963EA">
        <w:t>config-rtr</w:t>
      </w:r>
      <w:proofErr w:type="spellEnd"/>
      <w:r w:rsidRPr="003963EA">
        <w:t xml:space="preserve">)# </w:t>
      </w:r>
      <w:proofErr w:type="spellStart"/>
      <w:r w:rsidRPr="003963EA">
        <w:rPr>
          <w:b/>
        </w:rPr>
        <w:t>int</w:t>
      </w:r>
      <w:proofErr w:type="spellEnd"/>
      <w:r w:rsidRPr="003963EA">
        <w:rPr>
          <w:b/>
        </w:rPr>
        <w:t xml:space="preserve"> g0/0</w:t>
      </w:r>
    </w:p>
    <w:p w:rsidR="003963EA" w:rsidRPr="003963EA" w:rsidRDefault="003963EA" w:rsidP="003963EA">
      <w:pPr>
        <w:pStyle w:val="CMD"/>
        <w:rPr>
          <w:b/>
        </w:rPr>
      </w:pPr>
      <w:proofErr w:type="gramStart"/>
      <w:r w:rsidRPr="003963EA">
        <w:t>R1(</w:t>
      </w:r>
      <w:proofErr w:type="spellStart"/>
      <w:proofErr w:type="gramEnd"/>
      <w:r w:rsidRPr="003963EA">
        <w:t>config</w:t>
      </w:r>
      <w:proofErr w:type="spellEnd"/>
      <w:r w:rsidRPr="003963EA">
        <w:t xml:space="preserve">-if)# </w:t>
      </w:r>
      <w:r w:rsidRPr="003963EA">
        <w:rPr>
          <w:b/>
        </w:rPr>
        <w:t>ipv6 rip CISC</w:t>
      </w:r>
      <w:r w:rsidR="008A48F9">
        <w:rPr>
          <w:b/>
        </w:rPr>
        <w:t>O enable</w:t>
      </w:r>
    </w:p>
    <w:p w:rsidR="003963EA" w:rsidRPr="003963EA" w:rsidRDefault="003963EA" w:rsidP="003963EA">
      <w:pPr>
        <w:pStyle w:val="CMD"/>
        <w:rPr>
          <w:b/>
        </w:rPr>
      </w:pPr>
      <w:proofErr w:type="gramStart"/>
      <w:r w:rsidRPr="003963EA">
        <w:t>R1(</w:t>
      </w:r>
      <w:proofErr w:type="spellStart"/>
      <w:proofErr w:type="gramEnd"/>
      <w:r w:rsidRPr="003963EA">
        <w:t>config</w:t>
      </w:r>
      <w:proofErr w:type="spellEnd"/>
      <w:r w:rsidRPr="003963EA">
        <w:t xml:space="preserve">-if)# </w:t>
      </w:r>
      <w:proofErr w:type="spellStart"/>
      <w:r w:rsidRPr="003963EA">
        <w:rPr>
          <w:b/>
        </w:rPr>
        <w:t>int</w:t>
      </w:r>
      <w:proofErr w:type="spellEnd"/>
      <w:r w:rsidRPr="003963EA">
        <w:rPr>
          <w:b/>
        </w:rPr>
        <w:t xml:space="preserve"> s0/0/0</w:t>
      </w:r>
    </w:p>
    <w:p w:rsidR="003963EA" w:rsidRPr="003963EA" w:rsidRDefault="003963EA" w:rsidP="003963EA">
      <w:pPr>
        <w:pStyle w:val="CMD"/>
      </w:pPr>
      <w:proofErr w:type="gramStart"/>
      <w:r w:rsidRPr="003963EA">
        <w:t>R1(</w:t>
      </w:r>
      <w:proofErr w:type="spellStart"/>
      <w:proofErr w:type="gramEnd"/>
      <w:r w:rsidRPr="003963EA">
        <w:t>config</w:t>
      </w:r>
      <w:proofErr w:type="spellEnd"/>
      <w:r w:rsidRPr="003963EA">
        <w:t xml:space="preserve">-if)# </w:t>
      </w:r>
      <w:r w:rsidRPr="003963EA">
        <w:rPr>
          <w:b/>
        </w:rPr>
        <w:t>ipv6 rip CISCO enable</w:t>
      </w:r>
    </w:p>
    <w:p w:rsidR="003963EA" w:rsidRDefault="003963EA" w:rsidP="003963EA">
      <w:pPr>
        <w:pStyle w:val="SubStepAlpha"/>
      </w:pPr>
      <w:r>
        <w:t>Save the configuration.</w:t>
      </w:r>
    </w:p>
    <w:p w:rsidR="003963EA" w:rsidRPr="00C07FD9" w:rsidRDefault="003963EA" w:rsidP="003963EA">
      <w:pPr>
        <w:pStyle w:val="StepHead"/>
      </w:pPr>
      <w:r>
        <w:t xml:space="preserve">Configure </w:t>
      </w:r>
      <w:proofErr w:type="spellStart"/>
      <w:r>
        <w:t>RIPng</w:t>
      </w:r>
      <w:proofErr w:type="spellEnd"/>
      <w:r>
        <w:t xml:space="preserve"> on </w:t>
      </w:r>
      <w:r w:rsidR="003267F8">
        <w:t xml:space="preserve">R2 and </w:t>
      </w:r>
      <w:r>
        <w:t>R3</w:t>
      </w:r>
    </w:p>
    <w:p w:rsidR="008E360A" w:rsidRPr="00F42194" w:rsidRDefault="00996538" w:rsidP="00F42194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Repeat Step 1a to Step</w:t>
      </w:r>
      <w:r w:rsidR="003267F8">
        <w:t xml:space="preserve"> </w:t>
      </w:r>
      <w:r>
        <w:t>1</w:t>
      </w:r>
      <w:r w:rsidR="003267F8">
        <w:t>d</w:t>
      </w:r>
      <w:r w:rsidR="003963EA">
        <w:t xml:space="preserve"> on </w:t>
      </w:r>
      <w:r w:rsidR="003963EA" w:rsidRPr="00C365B7">
        <w:rPr>
          <w:b/>
        </w:rPr>
        <w:t>R</w:t>
      </w:r>
      <w:r w:rsidR="003267F8">
        <w:rPr>
          <w:b/>
        </w:rPr>
        <w:t xml:space="preserve">2 </w:t>
      </w:r>
      <w:r w:rsidR="003267F8" w:rsidRPr="003267F8">
        <w:t>and</w:t>
      </w:r>
      <w:r w:rsidR="003267F8">
        <w:rPr>
          <w:b/>
        </w:rPr>
        <w:t xml:space="preserve"> R</w:t>
      </w:r>
      <w:r w:rsidR="003963EA" w:rsidRPr="00C365B7">
        <w:rPr>
          <w:b/>
        </w:rPr>
        <w:t>3</w:t>
      </w:r>
      <w:r w:rsidR="003963EA">
        <w:t>.</w:t>
      </w:r>
      <w:bookmarkStart w:id="0" w:name="_GoBack"/>
      <w:bookmarkEnd w:id="0"/>
    </w:p>
    <w:p w:rsidR="003963EA" w:rsidRPr="004C0909" w:rsidRDefault="008A48F9" w:rsidP="003963EA">
      <w:pPr>
        <w:pStyle w:val="PartHead"/>
      </w:pPr>
      <w:r>
        <w:t>Verify C</w:t>
      </w:r>
      <w:r w:rsidR="003963EA" w:rsidRPr="00EE3B71">
        <w:t>on</w:t>
      </w:r>
      <w:r w:rsidR="00416E19">
        <w:t>figurations and Connectivity</w:t>
      </w:r>
    </w:p>
    <w:p w:rsidR="003963EA" w:rsidRDefault="003963EA" w:rsidP="003963EA">
      <w:pPr>
        <w:pStyle w:val="StepHead"/>
      </w:pPr>
      <w:r w:rsidRPr="00EE3B71">
        <w:t>View routing tables of R1, R2, and R3.</w:t>
      </w:r>
    </w:p>
    <w:p w:rsidR="003963EA" w:rsidRDefault="003963EA" w:rsidP="003963EA">
      <w:pPr>
        <w:pStyle w:val="SubStepAlpha"/>
      </w:pPr>
      <w:r>
        <w:t xml:space="preserve">Use the appropriate command to </w:t>
      </w:r>
      <w:r w:rsidR="008E360A">
        <w:t>view</w:t>
      </w:r>
      <w:r>
        <w:t xml:space="preserve"> the routing table </w:t>
      </w:r>
      <w:r w:rsidR="008E360A">
        <w:t>for</w:t>
      </w:r>
      <w:r>
        <w:t xml:space="preserve"> </w:t>
      </w:r>
      <w:r w:rsidRPr="00D8478F">
        <w:rPr>
          <w:b/>
        </w:rPr>
        <w:t>R1</w:t>
      </w:r>
      <w:r>
        <w:t xml:space="preserve">. </w:t>
      </w:r>
      <w:proofErr w:type="spellStart"/>
      <w:r>
        <w:t>RIP</w:t>
      </w:r>
      <w:r w:rsidR="00271F3D">
        <w:t>ng</w:t>
      </w:r>
      <w:proofErr w:type="spellEnd"/>
      <w:r>
        <w:t xml:space="preserve"> (R) now </w:t>
      </w:r>
      <w:proofErr w:type="gramStart"/>
      <w:r>
        <w:t>appear</w:t>
      </w:r>
      <w:proofErr w:type="gramEnd"/>
      <w:r>
        <w:t xml:space="preserve"> with </w:t>
      </w:r>
      <w:r w:rsidR="00271F3D">
        <w:t xml:space="preserve">connected </w:t>
      </w:r>
      <w:r>
        <w:t>(C) and local (L) routes in the routing table. All networks have an entry.</w:t>
      </w:r>
    </w:p>
    <w:p w:rsidR="00A57E9C" w:rsidRDefault="00A57E9C" w:rsidP="003963EA">
      <w:pPr>
        <w:pStyle w:val="SubStepAlpha"/>
      </w:pPr>
      <w:r>
        <w:t xml:space="preserve">Verify that the appropriate interfaces are using </w:t>
      </w:r>
      <w:proofErr w:type="spellStart"/>
      <w:r>
        <w:t>RIPng</w:t>
      </w:r>
      <w:proofErr w:type="spellEnd"/>
      <w:r>
        <w:t>.</w:t>
      </w:r>
    </w:p>
    <w:p w:rsidR="00A57E9C" w:rsidRDefault="00A57E9C" w:rsidP="00A57E9C">
      <w:pPr>
        <w:pStyle w:val="CMD"/>
      </w:pPr>
      <w:r>
        <w:t xml:space="preserve">R1# </w:t>
      </w:r>
      <w:r w:rsidRPr="00A57E9C">
        <w:rPr>
          <w:b/>
        </w:rPr>
        <w:t>show ipv6 protocols</w:t>
      </w:r>
    </w:p>
    <w:p w:rsidR="00A57E9C" w:rsidRDefault="008E360A" w:rsidP="00A57E9C">
      <w:pPr>
        <w:pStyle w:val="SubStepAlpha"/>
      </w:pPr>
      <w:r>
        <w:t>View</w:t>
      </w:r>
      <w:r w:rsidR="00A57E9C">
        <w:t xml:space="preserve"> the running configuration of </w:t>
      </w:r>
      <w:r w:rsidR="00A57E9C" w:rsidRPr="00D8478F">
        <w:rPr>
          <w:b/>
        </w:rPr>
        <w:t>R1</w:t>
      </w:r>
      <w:r w:rsidR="00A57E9C">
        <w:t xml:space="preserve">. </w:t>
      </w:r>
      <w:proofErr w:type="spellStart"/>
      <w:r w:rsidR="00A57E9C">
        <w:t>RIPng</w:t>
      </w:r>
      <w:proofErr w:type="spellEnd"/>
      <w:r w:rsidR="00A57E9C">
        <w:t xml:space="preserve"> entries </w:t>
      </w:r>
      <w:r w:rsidR="00996538">
        <w:t>are</w:t>
      </w:r>
      <w:r w:rsidR="00A57E9C">
        <w:t xml:space="preserve"> present.</w:t>
      </w:r>
    </w:p>
    <w:p w:rsidR="00A57E9C" w:rsidRDefault="00996538" w:rsidP="008A48F9">
      <w:pPr>
        <w:pStyle w:val="SubStepAlpha"/>
      </w:pPr>
      <w:r>
        <w:t>Repeat Step 1a to Step 1</w:t>
      </w:r>
      <w:r w:rsidR="00A57E9C">
        <w:t>c</w:t>
      </w:r>
      <w:r w:rsidR="003963EA">
        <w:t xml:space="preserve"> with </w:t>
      </w:r>
      <w:r w:rsidR="003963EA" w:rsidRPr="00A81B91">
        <w:rPr>
          <w:b/>
        </w:rPr>
        <w:t>R2</w:t>
      </w:r>
      <w:r w:rsidR="003963EA">
        <w:t xml:space="preserve"> and </w:t>
      </w:r>
      <w:r w:rsidR="003963EA" w:rsidRPr="00A81B91">
        <w:rPr>
          <w:b/>
        </w:rPr>
        <w:t>R3</w:t>
      </w:r>
      <w:r w:rsidR="003963EA">
        <w:t xml:space="preserve"> to verify that they were properly configured.</w:t>
      </w:r>
    </w:p>
    <w:p w:rsidR="003963EA" w:rsidRDefault="008E360A" w:rsidP="003963EA">
      <w:pPr>
        <w:pStyle w:val="StepHead"/>
      </w:pPr>
      <w:r>
        <w:t>Verify full connectivity</w:t>
      </w:r>
      <w:r w:rsidR="003963EA" w:rsidRPr="00EE3B71">
        <w:t>.</w:t>
      </w:r>
    </w:p>
    <w:p w:rsidR="007A3B2A" w:rsidRPr="007A3B2A" w:rsidRDefault="008E360A" w:rsidP="008E360A">
      <w:pPr>
        <w:pStyle w:val="BodyTextL25"/>
      </w:pPr>
      <w:r>
        <w:t>Every device should now be able to ping every other device. If not, review your configurations for errors and implement appropriate solutions.</w:t>
      </w:r>
    </w:p>
    <w:sectPr w:rsidR="007A3B2A" w:rsidRPr="007A3B2A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742" w:rsidRDefault="003B2742" w:rsidP="0090659A">
      <w:pPr>
        <w:spacing w:after="0" w:line="240" w:lineRule="auto"/>
      </w:pPr>
      <w:r>
        <w:separator/>
      </w:r>
    </w:p>
    <w:p w:rsidR="003B2742" w:rsidRDefault="003B2742"/>
    <w:p w:rsidR="003B2742" w:rsidRDefault="003B2742"/>
    <w:p w:rsidR="003B2742" w:rsidRDefault="003B2742"/>
    <w:p w:rsidR="003B2742" w:rsidRDefault="003B2742"/>
  </w:endnote>
  <w:endnote w:type="continuationSeparator" w:id="0">
    <w:p w:rsidR="003B2742" w:rsidRDefault="003B2742" w:rsidP="0090659A">
      <w:pPr>
        <w:spacing w:after="0" w:line="240" w:lineRule="auto"/>
      </w:pPr>
      <w:r>
        <w:continuationSeparator/>
      </w:r>
    </w:p>
    <w:p w:rsidR="003B2742" w:rsidRDefault="003B2742"/>
    <w:p w:rsidR="003B2742" w:rsidRDefault="003B2742"/>
    <w:p w:rsidR="003B2742" w:rsidRDefault="003B2742"/>
    <w:p w:rsidR="003B2742" w:rsidRDefault="003B2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066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0667C" w:rsidRPr="0090659A">
      <w:rPr>
        <w:b/>
        <w:szCs w:val="16"/>
      </w:rPr>
      <w:fldChar w:fldCharType="separate"/>
    </w:r>
    <w:r w:rsidR="00F42194">
      <w:rPr>
        <w:b/>
        <w:noProof/>
        <w:szCs w:val="16"/>
      </w:rPr>
      <w:t>2</w:t>
    </w:r>
    <w:r w:rsidR="000066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066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0667C" w:rsidRPr="0090659A">
      <w:rPr>
        <w:b/>
        <w:szCs w:val="16"/>
      </w:rPr>
      <w:fldChar w:fldCharType="separate"/>
    </w:r>
    <w:r w:rsidR="00F42194">
      <w:rPr>
        <w:b/>
        <w:noProof/>
        <w:szCs w:val="16"/>
      </w:rPr>
      <w:t>2</w:t>
    </w:r>
    <w:r w:rsidR="000066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066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0667C" w:rsidRPr="0090659A">
      <w:rPr>
        <w:b/>
        <w:szCs w:val="16"/>
      </w:rPr>
      <w:fldChar w:fldCharType="separate"/>
    </w:r>
    <w:r w:rsidR="00F42194">
      <w:rPr>
        <w:b/>
        <w:noProof/>
        <w:szCs w:val="16"/>
      </w:rPr>
      <w:t>1</w:t>
    </w:r>
    <w:r w:rsidR="000066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066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0667C" w:rsidRPr="0090659A">
      <w:rPr>
        <w:b/>
        <w:szCs w:val="16"/>
      </w:rPr>
      <w:fldChar w:fldCharType="separate"/>
    </w:r>
    <w:r w:rsidR="00F42194">
      <w:rPr>
        <w:b/>
        <w:noProof/>
        <w:szCs w:val="16"/>
      </w:rPr>
      <w:t>3</w:t>
    </w:r>
    <w:r w:rsidR="000066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742" w:rsidRDefault="003B2742" w:rsidP="0090659A">
      <w:pPr>
        <w:spacing w:after="0" w:line="240" w:lineRule="auto"/>
      </w:pPr>
      <w:r>
        <w:separator/>
      </w:r>
    </w:p>
    <w:p w:rsidR="003B2742" w:rsidRDefault="003B2742"/>
    <w:p w:rsidR="003B2742" w:rsidRDefault="003B2742"/>
    <w:p w:rsidR="003B2742" w:rsidRDefault="003B2742"/>
    <w:p w:rsidR="003B2742" w:rsidRDefault="003B2742"/>
  </w:footnote>
  <w:footnote w:type="continuationSeparator" w:id="0">
    <w:p w:rsidR="003B2742" w:rsidRDefault="003B2742" w:rsidP="0090659A">
      <w:pPr>
        <w:spacing w:after="0" w:line="240" w:lineRule="auto"/>
      </w:pPr>
      <w:r>
        <w:continuationSeparator/>
      </w:r>
    </w:p>
    <w:p w:rsidR="003B2742" w:rsidRDefault="003B2742"/>
    <w:p w:rsidR="003B2742" w:rsidRDefault="003B2742"/>
    <w:p w:rsidR="003B2742" w:rsidRDefault="003B2742"/>
    <w:p w:rsidR="003B2742" w:rsidRDefault="003B27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AD6C60" w:rsidP="008A48F9">
    <w:pPr>
      <w:pStyle w:val="PageHead"/>
      <w:tabs>
        <w:tab w:val="left" w:pos="5535"/>
      </w:tabs>
    </w:pPr>
    <w:r>
      <w:t xml:space="preserve">Packet Tracer – Configuring </w:t>
    </w:r>
    <w:proofErr w:type="spellStart"/>
    <w:r>
      <w:t>RIPng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F57EC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0667C"/>
    <w:rsid w:val="000160F7"/>
    <w:rsid w:val="00016F30"/>
    <w:rsid w:val="0002047C"/>
    <w:rsid w:val="00021B9A"/>
    <w:rsid w:val="000242D6"/>
    <w:rsid w:val="000408AB"/>
    <w:rsid w:val="00041AF6"/>
    <w:rsid w:val="00045457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C5BC9"/>
    <w:rsid w:val="000E65F0"/>
    <w:rsid w:val="000F072C"/>
    <w:rsid w:val="000F6743"/>
    <w:rsid w:val="00107B2B"/>
    <w:rsid w:val="00112AC5"/>
    <w:rsid w:val="001133DD"/>
    <w:rsid w:val="00120CBE"/>
    <w:rsid w:val="00125981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69D1"/>
    <w:rsid w:val="001F7470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5630E"/>
    <w:rsid w:val="00260CD4"/>
    <w:rsid w:val="002639D8"/>
    <w:rsid w:val="00265F77"/>
    <w:rsid w:val="00266C83"/>
    <w:rsid w:val="002715CD"/>
    <w:rsid w:val="00271F3D"/>
    <w:rsid w:val="002A6C56"/>
    <w:rsid w:val="002B0C06"/>
    <w:rsid w:val="002C090C"/>
    <w:rsid w:val="002C1243"/>
    <w:rsid w:val="002C1815"/>
    <w:rsid w:val="002C4CD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267F8"/>
    <w:rsid w:val="00340BB3"/>
    <w:rsid w:val="0034455D"/>
    <w:rsid w:val="00346D17"/>
    <w:rsid w:val="003559CC"/>
    <w:rsid w:val="003569D7"/>
    <w:rsid w:val="003608AC"/>
    <w:rsid w:val="0036465A"/>
    <w:rsid w:val="00392C65"/>
    <w:rsid w:val="00396308"/>
    <w:rsid w:val="003963EA"/>
    <w:rsid w:val="003A19DC"/>
    <w:rsid w:val="003A1B45"/>
    <w:rsid w:val="003A6F80"/>
    <w:rsid w:val="003B2742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16E19"/>
    <w:rsid w:val="00422476"/>
    <w:rsid w:val="0042385C"/>
    <w:rsid w:val="00426C43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27B0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6E62"/>
    <w:rsid w:val="005D1B41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46A1"/>
    <w:rsid w:val="00662C7D"/>
    <w:rsid w:val="00672919"/>
    <w:rsid w:val="00673CE7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5030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C25"/>
    <w:rsid w:val="007971C2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806F9"/>
    <w:rsid w:val="008846E3"/>
    <w:rsid w:val="00890108"/>
    <w:rsid w:val="00893877"/>
    <w:rsid w:val="0089532C"/>
    <w:rsid w:val="00896681"/>
    <w:rsid w:val="008A2749"/>
    <w:rsid w:val="008A3A90"/>
    <w:rsid w:val="008A48F9"/>
    <w:rsid w:val="008B06D4"/>
    <w:rsid w:val="008B4F20"/>
    <w:rsid w:val="008B784D"/>
    <w:rsid w:val="008B7FFD"/>
    <w:rsid w:val="008C2920"/>
    <w:rsid w:val="008D1BB3"/>
    <w:rsid w:val="008D23DF"/>
    <w:rsid w:val="008D73BF"/>
    <w:rsid w:val="008E360A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63E34"/>
    <w:rsid w:val="00966FBC"/>
    <w:rsid w:val="0098155C"/>
    <w:rsid w:val="00983B77"/>
    <w:rsid w:val="00996538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036D"/>
    <w:rsid w:val="009F562D"/>
    <w:rsid w:val="00A014A3"/>
    <w:rsid w:val="00A0412D"/>
    <w:rsid w:val="00A21211"/>
    <w:rsid w:val="00A22108"/>
    <w:rsid w:val="00A27F00"/>
    <w:rsid w:val="00A34E7F"/>
    <w:rsid w:val="00A46F0A"/>
    <w:rsid w:val="00A47CC2"/>
    <w:rsid w:val="00A57E9C"/>
    <w:rsid w:val="00A60146"/>
    <w:rsid w:val="00A622C4"/>
    <w:rsid w:val="00A754B4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D6C60"/>
    <w:rsid w:val="00AE0BC7"/>
    <w:rsid w:val="00AE56C0"/>
    <w:rsid w:val="00AF7AB9"/>
    <w:rsid w:val="00B00914"/>
    <w:rsid w:val="00B02A8E"/>
    <w:rsid w:val="00B045FE"/>
    <w:rsid w:val="00B052EE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5D60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96FC9"/>
    <w:rsid w:val="00CA73D5"/>
    <w:rsid w:val="00CC09DB"/>
    <w:rsid w:val="00CC1C87"/>
    <w:rsid w:val="00CC3000"/>
    <w:rsid w:val="00CC4859"/>
    <w:rsid w:val="00CC7A35"/>
    <w:rsid w:val="00CD072A"/>
    <w:rsid w:val="00CD0BA2"/>
    <w:rsid w:val="00CE0D28"/>
    <w:rsid w:val="00CE25AF"/>
    <w:rsid w:val="00CE26C5"/>
    <w:rsid w:val="00CE36AF"/>
    <w:rsid w:val="00CF0DA5"/>
    <w:rsid w:val="00CF60EA"/>
    <w:rsid w:val="00CF791A"/>
    <w:rsid w:val="00D00D7D"/>
    <w:rsid w:val="00D067D7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61CF"/>
    <w:rsid w:val="00D86592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6E20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194"/>
    <w:rsid w:val="00F428A7"/>
    <w:rsid w:val="00F46BD9"/>
    <w:rsid w:val="00F57ECE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1929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9A7DD-6548-494E-B19D-41C950CE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2013-07-16T18:56:00Z</dcterms:created>
  <dcterms:modified xsi:type="dcterms:W3CDTF">2013-07-16T18:56:00Z</dcterms:modified>
</cp:coreProperties>
</file>