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EF4623" w:rsidP="00FD4A68">
      <w:pPr>
        <w:pStyle w:val="LabTitle"/>
        <w:rPr>
          <w:rStyle w:val="LabTitleInstVersred"/>
          <w:b/>
          <w:color w:val="auto"/>
        </w:rPr>
      </w:pPr>
      <w:r>
        <w:t>Packet Tracer –</w:t>
      </w:r>
      <w:r w:rsidR="002D6C2A" w:rsidRPr="00FD4A68">
        <w:t xml:space="preserve"> </w:t>
      </w:r>
      <w:r w:rsidR="00E12807" w:rsidRPr="00E12807">
        <w:t>Skills Integration Challenge</w:t>
      </w:r>
      <w:r w:rsidR="00E12807" w:rsidRPr="00E12807">
        <w:rPr>
          <w:rStyle w:val="LabTitleInstVersred"/>
          <w:b/>
          <w:color w:val="auto"/>
        </w:rPr>
        <w:t xml:space="preserve"> </w:t>
      </w:r>
    </w:p>
    <w:p w:rsidR="00AE2437" w:rsidRPr="000B0C00" w:rsidRDefault="00AE56C0" w:rsidP="00C87381">
      <w:pPr>
        <w:pStyle w:val="LabSection"/>
      </w:pPr>
      <w:r w:rsidRPr="00BB73FF">
        <w:t>Addressing Table</w:t>
      </w:r>
    </w:p>
    <w:tbl>
      <w:tblPr>
        <w:tblW w:w="7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236"/>
        <w:gridCol w:w="1120"/>
        <w:gridCol w:w="1540"/>
        <w:gridCol w:w="1732"/>
        <w:gridCol w:w="2079"/>
      </w:tblGrid>
      <w:tr w:rsidR="00AE2437" w:rsidRPr="000B0C00" w:rsidTr="00CE71E4">
        <w:trPr>
          <w:cantSplit/>
          <w:trHeight w:val="255"/>
          <w:jc w:val="center"/>
        </w:trPr>
        <w:tc>
          <w:tcPr>
            <w:tcW w:w="1257" w:type="dxa"/>
            <w:vMerge w:val="restart"/>
            <w:tcBorders>
              <w:top w:val="single" w:sz="2" w:space="0" w:color="auto"/>
              <w:left w:val="single" w:sz="2" w:space="0" w:color="auto"/>
              <w:right w:val="single" w:sz="2" w:space="0" w:color="auto"/>
              <w:tl2br w:val="nil"/>
              <w:tr2bl w:val="nil"/>
            </w:tcBorders>
            <w:shd w:val="clear" w:color="auto" w:fill="DBE5F1"/>
            <w:vAlign w:val="center"/>
          </w:tcPr>
          <w:p w:rsidR="00AE2437" w:rsidRPr="000B0C00" w:rsidRDefault="00AE2437" w:rsidP="004D126F">
            <w:pPr>
              <w:pStyle w:val="TableHeading"/>
            </w:pPr>
            <w:r w:rsidRPr="000B0C00">
              <w:t>Device</w:t>
            </w:r>
          </w:p>
        </w:tc>
        <w:tc>
          <w:tcPr>
            <w:tcW w:w="1124" w:type="dxa"/>
            <w:vMerge w:val="restart"/>
            <w:tcBorders>
              <w:top w:val="single" w:sz="2" w:space="0" w:color="auto"/>
              <w:left w:val="single" w:sz="2" w:space="0" w:color="auto"/>
              <w:right w:val="single" w:sz="2" w:space="0" w:color="auto"/>
              <w:tl2br w:val="nil"/>
              <w:tr2bl w:val="nil"/>
            </w:tcBorders>
            <w:shd w:val="clear" w:color="auto" w:fill="DBE5F1"/>
            <w:vAlign w:val="center"/>
          </w:tcPr>
          <w:p w:rsidR="00AE2437" w:rsidRPr="000B0C00" w:rsidRDefault="00AE2437" w:rsidP="004D126F">
            <w:pPr>
              <w:pStyle w:val="TableHeading"/>
            </w:pPr>
            <w:r w:rsidRPr="000B0C00">
              <w:t>Interface</w:t>
            </w:r>
          </w:p>
        </w:tc>
        <w:tc>
          <w:tcPr>
            <w:tcW w:w="15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AE2437" w:rsidRPr="000B0C00" w:rsidRDefault="00AE2437" w:rsidP="004D126F">
            <w:pPr>
              <w:pStyle w:val="TableHeading"/>
            </w:pPr>
            <w:r w:rsidRPr="000B0C00">
              <w:t>IPv4 Address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AE2437" w:rsidRPr="000B0C00" w:rsidRDefault="00AE2437" w:rsidP="004D126F">
            <w:pPr>
              <w:pStyle w:val="TableHeading"/>
            </w:pPr>
            <w:r w:rsidRPr="000B0C00">
              <w:t>Subnet Mask</w:t>
            </w:r>
          </w:p>
        </w:tc>
        <w:tc>
          <w:tcPr>
            <w:tcW w:w="2143" w:type="dxa"/>
            <w:vMerge w:val="restart"/>
            <w:tcBorders>
              <w:top w:val="single" w:sz="2" w:space="0" w:color="auto"/>
              <w:left w:val="single" w:sz="2" w:space="0" w:color="auto"/>
              <w:right w:val="single" w:sz="2" w:space="0" w:color="auto"/>
              <w:tl2br w:val="nil"/>
              <w:tr2bl w:val="nil"/>
            </w:tcBorders>
            <w:shd w:val="clear" w:color="auto" w:fill="DBE5F1"/>
            <w:vAlign w:val="center"/>
          </w:tcPr>
          <w:p w:rsidR="00AE2437" w:rsidRPr="000B0C00" w:rsidRDefault="00AE2437" w:rsidP="004D126F">
            <w:pPr>
              <w:pStyle w:val="TableHeading"/>
            </w:pPr>
            <w:r w:rsidRPr="000B0C00">
              <w:t>Default Gateway</w:t>
            </w:r>
          </w:p>
        </w:tc>
      </w:tr>
      <w:tr w:rsidR="00AE2437" w:rsidRPr="000B0C00" w:rsidTr="00CE71E4">
        <w:trPr>
          <w:cantSplit/>
          <w:trHeight w:val="255"/>
          <w:jc w:val="center"/>
        </w:trPr>
        <w:tc>
          <w:tcPr>
            <w:tcW w:w="1257" w:type="dxa"/>
            <w:vMerge/>
            <w:tcBorders>
              <w:left w:val="single" w:sz="2" w:space="0" w:color="auto"/>
              <w:bottom w:val="single" w:sz="2" w:space="0" w:color="auto"/>
              <w:right w:val="single" w:sz="2" w:space="0" w:color="auto"/>
              <w:tl2br w:val="nil"/>
              <w:tr2bl w:val="nil"/>
            </w:tcBorders>
            <w:shd w:val="clear" w:color="auto" w:fill="DBE5F1"/>
            <w:vAlign w:val="bottom"/>
          </w:tcPr>
          <w:p w:rsidR="00AE2437" w:rsidRPr="000B0C00" w:rsidRDefault="00AE2437" w:rsidP="004D126F">
            <w:pPr>
              <w:pStyle w:val="TableHeading"/>
            </w:pPr>
          </w:p>
        </w:tc>
        <w:tc>
          <w:tcPr>
            <w:tcW w:w="1124" w:type="dxa"/>
            <w:vMerge/>
            <w:tcBorders>
              <w:left w:val="single" w:sz="2" w:space="0" w:color="auto"/>
              <w:bottom w:val="single" w:sz="2" w:space="0" w:color="auto"/>
              <w:right w:val="single" w:sz="2" w:space="0" w:color="auto"/>
              <w:tl2br w:val="nil"/>
              <w:tr2bl w:val="nil"/>
            </w:tcBorders>
            <w:shd w:val="clear" w:color="auto" w:fill="DBE5F1"/>
            <w:vAlign w:val="bottom"/>
          </w:tcPr>
          <w:p w:rsidR="00AE2437" w:rsidRPr="000B0C00" w:rsidRDefault="00AE2437" w:rsidP="004D126F">
            <w:pPr>
              <w:pStyle w:val="TableHeading"/>
            </w:pPr>
          </w:p>
        </w:tc>
        <w:tc>
          <w:tcPr>
            <w:tcW w:w="318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E2437" w:rsidRPr="000B0C00" w:rsidRDefault="00AE2437" w:rsidP="004D126F">
            <w:pPr>
              <w:pStyle w:val="TableHeading"/>
            </w:pPr>
            <w:r w:rsidRPr="000B0C00">
              <w:t>IPv6 Address/Prefix</w:t>
            </w:r>
          </w:p>
        </w:tc>
        <w:tc>
          <w:tcPr>
            <w:tcW w:w="2143" w:type="dxa"/>
            <w:vMerge/>
            <w:tcBorders>
              <w:left w:val="single" w:sz="2" w:space="0" w:color="auto"/>
              <w:bottom w:val="single" w:sz="2" w:space="0" w:color="auto"/>
              <w:right w:val="single" w:sz="2" w:space="0" w:color="auto"/>
              <w:tl2br w:val="nil"/>
              <w:tr2bl w:val="nil"/>
            </w:tcBorders>
            <w:shd w:val="clear" w:color="auto" w:fill="DBE5F1"/>
            <w:vAlign w:val="bottom"/>
          </w:tcPr>
          <w:p w:rsidR="00AE2437" w:rsidRPr="000B0C00" w:rsidRDefault="00AE2437" w:rsidP="004D126F">
            <w:pPr>
              <w:pStyle w:val="TableHeading"/>
            </w:pPr>
          </w:p>
        </w:tc>
      </w:tr>
      <w:tr w:rsidR="00A24818" w:rsidRPr="00CE71E4" w:rsidTr="00CE71E4">
        <w:trPr>
          <w:cantSplit/>
          <w:jc w:val="center"/>
        </w:trPr>
        <w:tc>
          <w:tcPr>
            <w:tcW w:w="1257" w:type="dxa"/>
            <w:vMerge w:val="restart"/>
            <w:vAlign w:val="center"/>
          </w:tcPr>
          <w:p w:rsidR="00A24818" w:rsidRPr="00CE71E4" w:rsidRDefault="00A24818" w:rsidP="00CE71E4">
            <w:pPr>
              <w:pStyle w:val="TableText"/>
            </w:pPr>
            <w:r w:rsidRPr="00CE71E4">
              <w:t>RA</w:t>
            </w:r>
          </w:p>
        </w:tc>
        <w:tc>
          <w:tcPr>
            <w:tcW w:w="1124" w:type="dxa"/>
            <w:vAlign w:val="center"/>
          </w:tcPr>
          <w:p w:rsidR="00A24818" w:rsidRPr="00CE71E4" w:rsidRDefault="00A24818" w:rsidP="00CE71E4">
            <w:pPr>
              <w:pStyle w:val="TableText"/>
            </w:pPr>
            <w:r w:rsidRPr="00CE71E4">
              <w:t>G0/0</w:t>
            </w:r>
          </w:p>
        </w:tc>
        <w:tc>
          <w:tcPr>
            <w:tcW w:w="1563" w:type="dxa"/>
            <w:vAlign w:val="bottom"/>
          </w:tcPr>
          <w:p w:rsidR="00A24818" w:rsidRPr="00CE71E4" w:rsidRDefault="00A24818" w:rsidP="00CE71E4">
            <w:pPr>
              <w:pStyle w:val="TableText"/>
            </w:pPr>
            <w:r w:rsidRPr="00CE71E4">
              <w:t>172.31.0.1</w:t>
            </w:r>
          </w:p>
        </w:tc>
        <w:tc>
          <w:tcPr>
            <w:tcW w:w="1620" w:type="dxa"/>
            <w:vAlign w:val="bottom"/>
          </w:tcPr>
          <w:p w:rsidR="00A24818" w:rsidRPr="00CE71E4" w:rsidRDefault="00A24818" w:rsidP="00CE71E4">
            <w:pPr>
              <w:pStyle w:val="TableText"/>
            </w:pPr>
            <w:r w:rsidRPr="00CE71E4">
              <w:t>255.255.254.0</w:t>
            </w:r>
          </w:p>
        </w:tc>
        <w:tc>
          <w:tcPr>
            <w:tcW w:w="2143" w:type="dxa"/>
            <w:vAlign w:val="bottom"/>
          </w:tcPr>
          <w:p w:rsidR="00A24818" w:rsidRPr="00CE71E4" w:rsidRDefault="00A24818" w:rsidP="00CE71E4">
            <w:pPr>
              <w:pStyle w:val="TableText"/>
            </w:pPr>
            <w:r w:rsidRPr="00CE71E4">
              <w:t>N/A</w:t>
            </w:r>
          </w:p>
        </w:tc>
      </w:tr>
      <w:tr w:rsidR="00A24818" w:rsidRPr="00CE71E4" w:rsidTr="00CE71E4">
        <w:trPr>
          <w:cantSplit/>
          <w:jc w:val="center"/>
        </w:trPr>
        <w:tc>
          <w:tcPr>
            <w:tcW w:w="1257" w:type="dxa"/>
            <w:vMerge/>
            <w:vAlign w:val="bottom"/>
          </w:tcPr>
          <w:p w:rsidR="00A24818" w:rsidRPr="00CE71E4" w:rsidRDefault="00A24818" w:rsidP="00CE71E4">
            <w:pPr>
              <w:pStyle w:val="TableText"/>
            </w:pPr>
          </w:p>
        </w:tc>
        <w:tc>
          <w:tcPr>
            <w:tcW w:w="1124" w:type="dxa"/>
            <w:vAlign w:val="bottom"/>
          </w:tcPr>
          <w:p w:rsidR="00A24818" w:rsidRPr="00CE71E4" w:rsidRDefault="00A24818" w:rsidP="00C929D0">
            <w:pPr>
              <w:pStyle w:val="TableText"/>
            </w:pPr>
            <w:r w:rsidRPr="00CE71E4">
              <w:t>S0/</w:t>
            </w:r>
            <w:r w:rsidR="00C929D0">
              <w:t>0</w:t>
            </w:r>
            <w:r w:rsidRPr="00CE71E4">
              <w:t>/0</w:t>
            </w:r>
          </w:p>
        </w:tc>
        <w:tc>
          <w:tcPr>
            <w:tcW w:w="1563" w:type="dxa"/>
            <w:vAlign w:val="bottom"/>
          </w:tcPr>
          <w:p w:rsidR="00A24818" w:rsidRPr="00CE71E4" w:rsidRDefault="00A24818" w:rsidP="00CE71E4">
            <w:pPr>
              <w:pStyle w:val="TableText"/>
            </w:pPr>
            <w:r w:rsidRPr="00CE71E4">
              <w:t>172.31.4.1</w:t>
            </w:r>
          </w:p>
        </w:tc>
        <w:tc>
          <w:tcPr>
            <w:tcW w:w="1620" w:type="dxa"/>
            <w:vAlign w:val="bottom"/>
          </w:tcPr>
          <w:p w:rsidR="00A24818" w:rsidRPr="00CE71E4" w:rsidRDefault="00A24818" w:rsidP="00CE71E4">
            <w:pPr>
              <w:pStyle w:val="TableText"/>
            </w:pPr>
            <w:r w:rsidRPr="00CE71E4">
              <w:t>255.255.255.252</w:t>
            </w:r>
          </w:p>
        </w:tc>
        <w:tc>
          <w:tcPr>
            <w:tcW w:w="2143" w:type="dxa"/>
            <w:vAlign w:val="bottom"/>
          </w:tcPr>
          <w:p w:rsidR="00A24818" w:rsidRPr="00CE71E4" w:rsidRDefault="00A24818" w:rsidP="00CE71E4">
            <w:pPr>
              <w:pStyle w:val="TableText"/>
            </w:pPr>
            <w:r w:rsidRPr="00CE71E4">
              <w:t>N/A</w:t>
            </w:r>
          </w:p>
        </w:tc>
      </w:tr>
      <w:tr w:rsidR="00A24818" w:rsidRPr="00CE71E4" w:rsidTr="00CE71E4">
        <w:trPr>
          <w:cantSplit/>
          <w:jc w:val="center"/>
        </w:trPr>
        <w:tc>
          <w:tcPr>
            <w:tcW w:w="1257" w:type="dxa"/>
            <w:vMerge w:val="restart"/>
            <w:vAlign w:val="center"/>
          </w:tcPr>
          <w:p w:rsidR="00A24818" w:rsidRPr="00CE71E4" w:rsidRDefault="00A24818" w:rsidP="00CE71E4">
            <w:pPr>
              <w:pStyle w:val="TableText"/>
            </w:pPr>
            <w:r w:rsidRPr="00CE71E4">
              <w:t>RB</w:t>
            </w:r>
          </w:p>
        </w:tc>
        <w:tc>
          <w:tcPr>
            <w:tcW w:w="1124" w:type="dxa"/>
            <w:vMerge w:val="restart"/>
            <w:vAlign w:val="bottom"/>
          </w:tcPr>
          <w:p w:rsidR="00A24818" w:rsidRPr="00CE71E4" w:rsidRDefault="00A24818" w:rsidP="00CE71E4">
            <w:pPr>
              <w:pStyle w:val="TableText"/>
            </w:pPr>
            <w:r w:rsidRPr="00CE71E4">
              <w:t>G0/0</w:t>
            </w:r>
          </w:p>
        </w:tc>
        <w:tc>
          <w:tcPr>
            <w:tcW w:w="1563" w:type="dxa"/>
            <w:vAlign w:val="bottom"/>
          </w:tcPr>
          <w:p w:rsidR="00A24818" w:rsidRPr="00CE71E4" w:rsidRDefault="00A24818" w:rsidP="00CE71E4">
            <w:pPr>
              <w:pStyle w:val="TableText"/>
            </w:pPr>
            <w:r w:rsidRPr="00CE71E4">
              <w:t>172.31.2.1</w:t>
            </w:r>
          </w:p>
        </w:tc>
        <w:tc>
          <w:tcPr>
            <w:tcW w:w="1620" w:type="dxa"/>
            <w:vAlign w:val="bottom"/>
          </w:tcPr>
          <w:p w:rsidR="00A24818" w:rsidRPr="00CE71E4" w:rsidRDefault="00A24818" w:rsidP="00CE71E4">
            <w:pPr>
              <w:pStyle w:val="TableText"/>
            </w:pPr>
            <w:r w:rsidRPr="00CE71E4">
              <w:t>255.255.254.0</w:t>
            </w:r>
          </w:p>
        </w:tc>
        <w:tc>
          <w:tcPr>
            <w:tcW w:w="2143" w:type="dxa"/>
            <w:vAlign w:val="bottom"/>
          </w:tcPr>
          <w:p w:rsidR="00A24818" w:rsidRPr="00CE71E4" w:rsidRDefault="00A24818" w:rsidP="00CE71E4">
            <w:pPr>
              <w:pStyle w:val="TableText"/>
            </w:pPr>
            <w:r w:rsidRPr="00CE71E4">
              <w:t>N/A</w:t>
            </w:r>
          </w:p>
        </w:tc>
      </w:tr>
      <w:tr w:rsidR="00A24818" w:rsidRPr="00CE71E4" w:rsidTr="00CE71E4">
        <w:trPr>
          <w:cantSplit/>
          <w:jc w:val="center"/>
        </w:trPr>
        <w:tc>
          <w:tcPr>
            <w:tcW w:w="1257" w:type="dxa"/>
            <w:vMerge/>
            <w:vAlign w:val="bottom"/>
          </w:tcPr>
          <w:p w:rsidR="00A24818" w:rsidRPr="00CE71E4" w:rsidRDefault="00A24818" w:rsidP="00CE71E4">
            <w:pPr>
              <w:pStyle w:val="TableText"/>
            </w:pPr>
          </w:p>
        </w:tc>
        <w:tc>
          <w:tcPr>
            <w:tcW w:w="1124" w:type="dxa"/>
            <w:vMerge/>
            <w:vAlign w:val="bottom"/>
          </w:tcPr>
          <w:p w:rsidR="00A24818" w:rsidRPr="00CE71E4" w:rsidRDefault="00A24818" w:rsidP="00CE71E4">
            <w:pPr>
              <w:pStyle w:val="TableText"/>
            </w:pPr>
          </w:p>
        </w:tc>
        <w:tc>
          <w:tcPr>
            <w:tcW w:w="3183" w:type="dxa"/>
            <w:gridSpan w:val="2"/>
            <w:vAlign w:val="bottom"/>
          </w:tcPr>
          <w:p w:rsidR="00A24818" w:rsidRPr="00CE71E4" w:rsidRDefault="00A24818" w:rsidP="00CE71E4">
            <w:pPr>
              <w:pStyle w:val="TableText"/>
            </w:pPr>
            <w:r w:rsidRPr="00CE71E4">
              <w:t>2001:DB8:</w:t>
            </w:r>
            <w:r w:rsidR="00CE71E4" w:rsidRPr="00CE71E4">
              <w:t>1::1/64</w:t>
            </w:r>
          </w:p>
        </w:tc>
        <w:tc>
          <w:tcPr>
            <w:tcW w:w="2143" w:type="dxa"/>
            <w:vAlign w:val="bottom"/>
          </w:tcPr>
          <w:p w:rsidR="00A24818" w:rsidRPr="00CE71E4" w:rsidRDefault="00A24818" w:rsidP="00CE71E4">
            <w:pPr>
              <w:pStyle w:val="TableText"/>
            </w:pPr>
            <w:r w:rsidRPr="00CE71E4">
              <w:t>N/A</w:t>
            </w:r>
          </w:p>
        </w:tc>
      </w:tr>
      <w:tr w:rsidR="00A24818" w:rsidRPr="00CE71E4" w:rsidTr="00CE71E4">
        <w:trPr>
          <w:cantSplit/>
          <w:jc w:val="center"/>
        </w:trPr>
        <w:tc>
          <w:tcPr>
            <w:tcW w:w="1257" w:type="dxa"/>
            <w:vMerge/>
            <w:vAlign w:val="bottom"/>
          </w:tcPr>
          <w:p w:rsidR="00A24818" w:rsidRPr="00CE71E4" w:rsidRDefault="00A24818" w:rsidP="00CE71E4">
            <w:pPr>
              <w:pStyle w:val="TableText"/>
            </w:pPr>
          </w:p>
        </w:tc>
        <w:tc>
          <w:tcPr>
            <w:tcW w:w="1124" w:type="dxa"/>
            <w:vAlign w:val="bottom"/>
          </w:tcPr>
          <w:p w:rsidR="00A24818" w:rsidRPr="00CE71E4" w:rsidRDefault="00A24818" w:rsidP="00CE71E4">
            <w:pPr>
              <w:pStyle w:val="TableText"/>
            </w:pPr>
            <w:r w:rsidRPr="00CE71E4">
              <w:t>S0/0/0</w:t>
            </w:r>
          </w:p>
        </w:tc>
        <w:tc>
          <w:tcPr>
            <w:tcW w:w="1563" w:type="dxa"/>
            <w:vAlign w:val="bottom"/>
          </w:tcPr>
          <w:p w:rsidR="00A24818" w:rsidRPr="00CE71E4" w:rsidRDefault="00A24818" w:rsidP="00CE71E4">
            <w:pPr>
              <w:pStyle w:val="TableText"/>
            </w:pPr>
            <w:r w:rsidRPr="00CE71E4">
              <w:t>172.31.4.2</w:t>
            </w:r>
          </w:p>
        </w:tc>
        <w:tc>
          <w:tcPr>
            <w:tcW w:w="1620" w:type="dxa"/>
            <w:vAlign w:val="bottom"/>
          </w:tcPr>
          <w:p w:rsidR="00A24818" w:rsidRPr="00CE71E4" w:rsidRDefault="00A24818" w:rsidP="00CE71E4">
            <w:pPr>
              <w:pStyle w:val="TableText"/>
            </w:pPr>
            <w:r w:rsidRPr="00CE71E4">
              <w:t>255.255.255.252</w:t>
            </w:r>
          </w:p>
        </w:tc>
        <w:tc>
          <w:tcPr>
            <w:tcW w:w="2143" w:type="dxa"/>
            <w:vAlign w:val="bottom"/>
          </w:tcPr>
          <w:p w:rsidR="00A24818" w:rsidRPr="00CE71E4" w:rsidRDefault="00A24818" w:rsidP="00CE71E4">
            <w:pPr>
              <w:pStyle w:val="TableText"/>
            </w:pPr>
            <w:r w:rsidRPr="00CE71E4">
              <w:t>N/A</w:t>
            </w:r>
          </w:p>
        </w:tc>
      </w:tr>
      <w:tr w:rsidR="00A24818" w:rsidRPr="00CE71E4" w:rsidTr="00CE71E4">
        <w:trPr>
          <w:cantSplit/>
          <w:jc w:val="center"/>
        </w:trPr>
        <w:tc>
          <w:tcPr>
            <w:tcW w:w="1257" w:type="dxa"/>
            <w:vMerge/>
            <w:vAlign w:val="bottom"/>
          </w:tcPr>
          <w:p w:rsidR="00A24818" w:rsidRPr="00CE71E4" w:rsidRDefault="00A24818" w:rsidP="00CE71E4">
            <w:pPr>
              <w:pStyle w:val="TableText"/>
            </w:pPr>
          </w:p>
        </w:tc>
        <w:tc>
          <w:tcPr>
            <w:tcW w:w="1124" w:type="dxa"/>
            <w:vAlign w:val="bottom"/>
          </w:tcPr>
          <w:p w:rsidR="00A24818" w:rsidRPr="00CE71E4" w:rsidRDefault="00A24818" w:rsidP="00CE71E4">
            <w:pPr>
              <w:pStyle w:val="TableText"/>
            </w:pPr>
            <w:r w:rsidRPr="00CE71E4">
              <w:t>S0/0/1</w:t>
            </w:r>
          </w:p>
        </w:tc>
        <w:tc>
          <w:tcPr>
            <w:tcW w:w="3183" w:type="dxa"/>
            <w:gridSpan w:val="2"/>
            <w:vAlign w:val="bottom"/>
          </w:tcPr>
          <w:p w:rsidR="00A24818" w:rsidRPr="00CE71E4" w:rsidRDefault="00A24818" w:rsidP="00CE71E4">
            <w:pPr>
              <w:pStyle w:val="TableText"/>
            </w:pPr>
            <w:r w:rsidRPr="00CE71E4">
              <w:t>2001:DB8:</w:t>
            </w:r>
            <w:r w:rsidR="00CE71E4" w:rsidRPr="00CE71E4">
              <w:t>2::1/64</w:t>
            </w:r>
          </w:p>
        </w:tc>
        <w:tc>
          <w:tcPr>
            <w:tcW w:w="2143" w:type="dxa"/>
            <w:vAlign w:val="bottom"/>
          </w:tcPr>
          <w:p w:rsidR="00A24818" w:rsidRPr="00CE71E4" w:rsidRDefault="00A24818" w:rsidP="00CE71E4">
            <w:pPr>
              <w:pStyle w:val="TableText"/>
            </w:pPr>
            <w:r w:rsidRPr="00CE71E4">
              <w:t>N/A</w:t>
            </w:r>
          </w:p>
        </w:tc>
      </w:tr>
      <w:tr w:rsidR="00A24818" w:rsidRPr="00CE71E4" w:rsidTr="00CE71E4">
        <w:trPr>
          <w:cantSplit/>
          <w:jc w:val="center"/>
        </w:trPr>
        <w:tc>
          <w:tcPr>
            <w:tcW w:w="1257" w:type="dxa"/>
            <w:vMerge w:val="restart"/>
            <w:vAlign w:val="center"/>
          </w:tcPr>
          <w:p w:rsidR="00A24818" w:rsidRPr="00CE71E4" w:rsidRDefault="00A24818" w:rsidP="00CE71E4">
            <w:pPr>
              <w:pStyle w:val="TableText"/>
            </w:pPr>
            <w:r w:rsidRPr="00CE71E4">
              <w:t>RC</w:t>
            </w:r>
          </w:p>
        </w:tc>
        <w:tc>
          <w:tcPr>
            <w:tcW w:w="1124" w:type="dxa"/>
            <w:vAlign w:val="bottom"/>
          </w:tcPr>
          <w:p w:rsidR="00A24818" w:rsidRPr="00CE71E4" w:rsidRDefault="00A24818" w:rsidP="00CE71E4">
            <w:pPr>
              <w:pStyle w:val="TableText"/>
            </w:pPr>
            <w:r w:rsidRPr="00CE71E4">
              <w:t>G0/0</w:t>
            </w:r>
          </w:p>
        </w:tc>
        <w:tc>
          <w:tcPr>
            <w:tcW w:w="3183" w:type="dxa"/>
            <w:gridSpan w:val="2"/>
            <w:vAlign w:val="bottom"/>
          </w:tcPr>
          <w:p w:rsidR="00A24818" w:rsidRPr="00CE71E4" w:rsidRDefault="00A24818" w:rsidP="00CE71E4">
            <w:pPr>
              <w:pStyle w:val="TableText"/>
            </w:pPr>
            <w:r w:rsidRPr="00CE71E4">
              <w:t>2001:DB8:</w:t>
            </w:r>
            <w:r w:rsidR="00CE71E4" w:rsidRPr="00CE71E4">
              <w:t>3::1/64</w:t>
            </w:r>
          </w:p>
        </w:tc>
        <w:tc>
          <w:tcPr>
            <w:tcW w:w="2143" w:type="dxa"/>
            <w:vAlign w:val="bottom"/>
          </w:tcPr>
          <w:p w:rsidR="00A24818" w:rsidRPr="00CE71E4" w:rsidRDefault="00A24818" w:rsidP="00CE71E4">
            <w:pPr>
              <w:pStyle w:val="TableText"/>
            </w:pPr>
            <w:r w:rsidRPr="00CE71E4">
              <w:t>N/A</w:t>
            </w:r>
          </w:p>
        </w:tc>
      </w:tr>
      <w:tr w:rsidR="00A24818" w:rsidRPr="00CE71E4" w:rsidTr="00CE71E4">
        <w:trPr>
          <w:cantSplit/>
          <w:jc w:val="center"/>
        </w:trPr>
        <w:tc>
          <w:tcPr>
            <w:tcW w:w="1257" w:type="dxa"/>
            <w:vMerge/>
            <w:vAlign w:val="bottom"/>
          </w:tcPr>
          <w:p w:rsidR="00A24818" w:rsidRPr="00CE71E4" w:rsidRDefault="00A24818" w:rsidP="00CE71E4">
            <w:pPr>
              <w:pStyle w:val="TableText"/>
            </w:pPr>
          </w:p>
        </w:tc>
        <w:tc>
          <w:tcPr>
            <w:tcW w:w="1124" w:type="dxa"/>
            <w:vAlign w:val="bottom"/>
          </w:tcPr>
          <w:p w:rsidR="00A24818" w:rsidRPr="00CE71E4" w:rsidRDefault="00A24818" w:rsidP="00CE71E4">
            <w:pPr>
              <w:pStyle w:val="TableText"/>
            </w:pPr>
            <w:r w:rsidRPr="00CE71E4">
              <w:t>S0/0/</w:t>
            </w:r>
            <w:r w:rsidR="000D5CD0">
              <w:t>0</w:t>
            </w:r>
          </w:p>
        </w:tc>
        <w:tc>
          <w:tcPr>
            <w:tcW w:w="3183" w:type="dxa"/>
            <w:gridSpan w:val="2"/>
            <w:vAlign w:val="bottom"/>
          </w:tcPr>
          <w:p w:rsidR="00A24818" w:rsidRPr="00CE71E4" w:rsidRDefault="00CE71E4" w:rsidP="00CE71E4">
            <w:pPr>
              <w:pStyle w:val="TableText"/>
            </w:pPr>
            <w:r w:rsidRPr="00CE71E4">
              <w:t>2001:DB8:2::2/64</w:t>
            </w:r>
          </w:p>
        </w:tc>
        <w:tc>
          <w:tcPr>
            <w:tcW w:w="2143" w:type="dxa"/>
            <w:vAlign w:val="bottom"/>
          </w:tcPr>
          <w:p w:rsidR="00A24818" w:rsidRPr="00CE71E4" w:rsidRDefault="00A24818" w:rsidP="00CE71E4">
            <w:pPr>
              <w:pStyle w:val="TableText"/>
            </w:pPr>
            <w:r w:rsidRPr="00CE71E4">
              <w:t>N/A</w:t>
            </w:r>
          </w:p>
        </w:tc>
      </w:tr>
      <w:tr w:rsidR="00AE2437" w:rsidRPr="00CE71E4" w:rsidTr="00CE71E4">
        <w:trPr>
          <w:cantSplit/>
          <w:jc w:val="center"/>
        </w:trPr>
        <w:tc>
          <w:tcPr>
            <w:tcW w:w="1257" w:type="dxa"/>
            <w:vAlign w:val="bottom"/>
          </w:tcPr>
          <w:p w:rsidR="00AE2437" w:rsidRPr="00CE71E4" w:rsidRDefault="00AE2437" w:rsidP="00CE71E4">
            <w:pPr>
              <w:pStyle w:val="TableText"/>
            </w:pPr>
            <w:bookmarkStart w:id="0" w:name="_GoBack" w:colFirst="2" w:colLast="3"/>
            <w:r w:rsidRPr="00CE71E4">
              <w:t>PC-A</w:t>
            </w:r>
          </w:p>
        </w:tc>
        <w:tc>
          <w:tcPr>
            <w:tcW w:w="1124" w:type="dxa"/>
            <w:vAlign w:val="bottom"/>
          </w:tcPr>
          <w:p w:rsidR="00AE2437" w:rsidRPr="00CE71E4" w:rsidRDefault="00AE2437" w:rsidP="00CE71E4">
            <w:pPr>
              <w:pStyle w:val="TableText"/>
            </w:pPr>
            <w:r w:rsidRPr="00CE71E4">
              <w:t>NIC</w:t>
            </w:r>
          </w:p>
        </w:tc>
        <w:tc>
          <w:tcPr>
            <w:tcW w:w="1563" w:type="dxa"/>
            <w:vAlign w:val="bottom"/>
          </w:tcPr>
          <w:p w:rsidR="00AE2437" w:rsidRPr="00C80D0A" w:rsidRDefault="00AE2437" w:rsidP="00CE71E4">
            <w:pPr>
              <w:pStyle w:val="TableText"/>
              <w:rPr>
                <w:szCs w:val="22"/>
              </w:rPr>
            </w:pPr>
          </w:p>
        </w:tc>
        <w:tc>
          <w:tcPr>
            <w:tcW w:w="1620" w:type="dxa"/>
            <w:vAlign w:val="bottom"/>
          </w:tcPr>
          <w:p w:rsidR="00AE2437" w:rsidRPr="00C80D0A" w:rsidRDefault="00AE2437" w:rsidP="00CE71E4">
            <w:pPr>
              <w:pStyle w:val="TableText"/>
              <w:rPr>
                <w:szCs w:val="22"/>
              </w:rPr>
            </w:pPr>
          </w:p>
        </w:tc>
        <w:tc>
          <w:tcPr>
            <w:tcW w:w="2143" w:type="dxa"/>
            <w:vAlign w:val="bottom"/>
          </w:tcPr>
          <w:p w:rsidR="00AE2437" w:rsidRPr="00C80D0A" w:rsidRDefault="00AE2437" w:rsidP="00CE71E4">
            <w:pPr>
              <w:pStyle w:val="TableText"/>
              <w:rPr>
                <w:szCs w:val="22"/>
              </w:rPr>
            </w:pPr>
          </w:p>
        </w:tc>
      </w:tr>
      <w:tr w:rsidR="00AE2437" w:rsidRPr="00CE71E4" w:rsidTr="00CE71E4">
        <w:trPr>
          <w:cantSplit/>
          <w:jc w:val="center"/>
        </w:trPr>
        <w:tc>
          <w:tcPr>
            <w:tcW w:w="1257" w:type="dxa"/>
            <w:vMerge w:val="restart"/>
            <w:vAlign w:val="center"/>
          </w:tcPr>
          <w:p w:rsidR="00AE2437" w:rsidRPr="00CE71E4" w:rsidRDefault="00AE2437" w:rsidP="00CE71E4">
            <w:pPr>
              <w:pStyle w:val="TableText"/>
            </w:pPr>
            <w:r w:rsidRPr="00CE71E4">
              <w:t>PC-B</w:t>
            </w:r>
          </w:p>
        </w:tc>
        <w:tc>
          <w:tcPr>
            <w:tcW w:w="1124" w:type="dxa"/>
            <w:vMerge w:val="restart"/>
            <w:vAlign w:val="center"/>
          </w:tcPr>
          <w:p w:rsidR="00AE2437" w:rsidRPr="00CE71E4" w:rsidRDefault="00AE2437" w:rsidP="00CE71E4">
            <w:pPr>
              <w:pStyle w:val="TableText"/>
            </w:pPr>
            <w:r w:rsidRPr="00CE71E4">
              <w:t>NIC</w:t>
            </w:r>
          </w:p>
        </w:tc>
        <w:tc>
          <w:tcPr>
            <w:tcW w:w="1563" w:type="dxa"/>
            <w:vAlign w:val="bottom"/>
          </w:tcPr>
          <w:p w:rsidR="00AE2437" w:rsidRPr="00C80D0A" w:rsidRDefault="00AE2437" w:rsidP="00CE71E4">
            <w:pPr>
              <w:pStyle w:val="TableText"/>
              <w:rPr>
                <w:szCs w:val="22"/>
              </w:rPr>
            </w:pPr>
          </w:p>
        </w:tc>
        <w:tc>
          <w:tcPr>
            <w:tcW w:w="1620" w:type="dxa"/>
            <w:vAlign w:val="bottom"/>
          </w:tcPr>
          <w:p w:rsidR="00AE2437" w:rsidRPr="00C80D0A" w:rsidRDefault="00AE2437" w:rsidP="00CE71E4">
            <w:pPr>
              <w:pStyle w:val="TableText"/>
              <w:rPr>
                <w:szCs w:val="22"/>
              </w:rPr>
            </w:pPr>
          </w:p>
        </w:tc>
        <w:tc>
          <w:tcPr>
            <w:tcW w:w="2143" w:type="dxa"/>
            <w:vAlign w:val="bottom"/>
          </w:tcPr>
          <w:p w:rsidR="00AE2437" w:rsidRPr="00C80D0A" w:rsidRDefault="00AE2437" w:rsidP="00CE71E4">
            <w:pPr>
              <w:pStyle w:val="TableText"/>
              <w:rPr>
                <w:szCs w:val="22"/>
              </w:rPr>
            </w:pPr>
          </w:p>
        </w:tc>
      </w:tr>
      <w:tr w:rsidR="00AE2437" w:rsidRPr="00CE71E4" w:rsidTr="00CE71E4">
        <w:trPr>
          <w:cantSplit/>
          <w:jc w:val="center"/>
        </w:trPr>
        <w:tc>
          <w:tcPr>
            <w:tcW w:w="1257" w:type="dxa"/>
            <w:vMerge/>
            <w:vAlign w:val="bottom"/>
          </w:tcPr>
          <w:p w:rsidR="00AE2437" w:rsidRPr="00CE71E4" w:rsidRDefault="00AE2437" w:rsidP="00CE71E4">
            <w:pPr>
              <w:pStyle w:val="TableText"/>
            </w:pPr>
          </w:p>
        </w:tc>
        <w:tc>
          <w:tcPr>
            <w:tcW w:w="1124" w:type="dxa"/>
            <w:vMerge/>
            <w:vAlign w:val="bottom"/>
          </w:tcPr>
          <w:p w:rsidR="00AE2437" w:rsidRPr="00CE71E4" w:rsidRDefault="00AE2437" w:rsidP="00CE71E4">
            <w:pPr>
              <w:pStyle w:val="TableText"/>
            </w:pPr>
          </w:p>
        </w:tc>
        <w:tc>
          <w:tcPr>
            <w:tcW w:w="3183" w:type="dxa"/>
            <w:gridSpan w:val="2"/>
            <w:vAlign w:val="bottom"/>
          </w:tcPr>
          <w:p w:rsidR="00AE2437" w:rsidRPr="00C80D0A" w:rsidRDefault="00AE2437" w:rsidP="00CE71E4">
            <w:pPr>
              <w:pStyle w:val="TableText"/>
              <w:rPr>
                <w:szCs w:val="22"/>
              </w:rPr>
            </w:pPr>
          </w:p>
        </w:tc>
        <w:tc>
          <w:tcPr>
            <w:tcW w:w="2143" w:type="dxa"/>
            <w:vAlign w:val="bottom"/>
          </w:tcPr>
          <w:p w:rsidR="00AE2437" w:rsidRPr="00C80D0A" w:rsidRDefault="00AE2437" w:rsidP="00CE71E4">
            <w:pPr>
              <w:pStyle w:val="TableText"/>
              <w:rPr>
                <w:szCs w:val="22"/>
              </w:rPr>
            </w:pPr>
          </w:p>
        </w:tc>
      </w:tr>
      <w:tr w:rsidR="00AE2437" w:rsidRPr="00CE71E4" w:rsidTr="00CE71E4">
        <w:trPr>
          <w:cantSplit/>
          <w:jc w:val="center"/>
        </w:trPr>
        <w:tc>
          <w:tcPr>
            <w:tcW w:w="1257" w:type="dxa"/>
            <w:vAlign w:val="bottom"/>
          </w:tcPr>
          <w:p w:rsidR="00AE2437" w:rsidRPr="00CE71E4" w:rsidRDefault="00AE2437" w:rsidP="00CE71E4">
            <w:pPr>
              <w:pStyle w:val="TableText"/>
            </w:pPr>
            <w:r w:rsidRPr="00CE71E4">
              <w:t>PC-C</w:t>
            </w:r>
          </w:p>
        </w:tc>
        <w:tc>
          <w:tcPr>
            <w:tcW w:w="1124" w:type="dxa"/>
            <w:vAlign w:val="bottom"/>
          </w:tcPr>
          <w:p w:rsidR="00AE2437" w:rsidRPr="00CE71E4" w:rsidRDefault="00AE2437" w:rsidP="00CE71E4">
            <w:pPr>
              <w:pStyle w:val="TableText"/>
            </w:pPr>
            <w:r w:rsidRPr="00CE71E4">
              <w:t>NIC</w:t>
            </w:r>
          </w:p>
        </w:tc>
        <w:tc>
          <w:tcPr>
            <w:tcW w:w="3183" w:type="dxa"/>
            <w:gridSpan w:val="2"/>
            <w:vAlign w:val="bottom"/>
          </w:tcPr>
          <w:p w:rsidR="00AE2437" w:rsidRPr="00C80D0A" w:rsidRDefault="00AE2437" w:rsidP="00CE71E4">
            <w:pPr>
              <w:pStyle w:val="TableText"/>
              <w:rPr>
                <w:szCs w:val="22"/>
              </w:rPr>
            </w:pPr>
          </w:p>
        </w:tc>
        <w:tc>
          <w:tcPr>
            <w:tcW w:w="2143" w:type="dxa"/>
            <w:vAlign w:val="bottom"/>
          </w:tcPr>
          <w:p w:rsidR="00AE2437" w:rsidRPr="00C80D0A" w:rsidRDefault="00AE2437" w:rsidP="00CE71E4">
            <w:pPr>
              <w:pStyle w:val="TableText"/>
              <w:rPr>
                <w:szCs w:val="22"/>
              </w:rPr>
            </w:pPr>
          </w:p>
        </w:tc>
      </w:tr>
    </w:tbl>
    <w:bookmarkEnd w:id="0"/>
    <w:p w:rsidR="00CE71E4" w:rsidRDefault="00CE71E4" w:rsidP="0014219C">
      <w:pPr>
        <w:pStyle w:val="LabSection"/>
      </w:pPr>
      <w:r>
        <w:t>Background</w:t>
      </w:r>
    </w:p>
    <w:p w:rsidR="00CE71E4" w:rsidRDefault="00CE71E4" w:rsidP="00E70BED">
      <w:pPr>
        <w:pStyle w:val="BodyTextL25"/>
      </w:pPr>
      <w:r>
        <w:t>In this Skills Integration Challenge, your focus is OSPFv2 and OSPFv3 configurations. You will configure IP addressing for all devices. Then you will configure OSPFv2 routing for the IPv4 portion of the network and OSPFv3 routing for the IPv6 portion of the network. One router will be configured with both IPv4 and IPv6 configurations. Finally, you will verify your configurations and test connectivity between end devices.</w:t>
      </w:r>
    </w:p>
    <w:p w:rsidR="00E70BED" w:rsidRPr="00CE71E4" w:rsidRDefault="00E70BED" w:rsidP="00E70BED">
      <w:pPr>
        <w:pStyle w:val="BodyTextL25"/>
      </w:pPr>
      <w:r>
        <w:rPr>
          <w:b/>
        </w:rPr>
        <w:t xml:space="preserve">Note: </w:t>
      </w:r>
      <w:r>
        <w:t xml:space="preserve">This activity is graded using a combination of assessment items and connectivity tests. The instructions window will not show your score. To see your score, click </w:t>
      </w:r>
      <w:r w:rsidRPr="009149C4">
        <w:rPr>
          <w:b/>
        </w:rPr>
        <w:t xml:space="preserve">Check Results </w:t>
      </w:r>
      <w:r>
        <w:t xml:space="preserve">&gt; </w:t>
      </w:r>
      <w:r w:rsidRPr="009149C4">
        <w:rPr>
          <w:b/>
        </w:rPr>
        <w:t>Assessment Items</w:t>
      </w:r>
      <w:r>
        <w:t xml:space="preserve">. To see the results of a specific connectivity test, click </w:t>
      </w:r>
      <w:r w:rsidRPr="009149C4">
        <w:rPr>
          <w:b/>
        </w:rPr>
        <w:t>Check Results</w:t>
      </w:r>
      <w:r>
        <w:t xml:space="preserve"> &gt; </w:t>
      </w:r>
      <w:r w:rsidRPr="009149C4">
        <w:rPr>
          <w:b/>
        </w:rPr>
        <w:t>Connectivity Tests</w:t>
      </w:r>
      <w:r>
        <w:t>.</w:t>
      </w:r>
    </w:p>
    <w:p w:rsidR="009D2C27" w:rsidRDefault="00CE71E4" w:rsidP="0014219C">
      <w:pPr>
        <w:pStyle w:val="LabSection"/>
      </w:pPr>
      <w:r>
        <w:t>Requirements</w:t>
      </w:r>
    </w:p>
    <w:p w:rsidR="00CE71E4" w:rsidRDefault="00CE71E4" w:rsidP="00CE71E4">
      <w:pPr>
        <w:pStyle w:val="Bulletlevel1"/>
      </w:pPr>
      <w:r>
        <w:t xml:space="preserve">Use the following requirements to configure </w:t>
      </w:r>
      <w:r>
        <w:rPr>
          <w:b/>
        </w:rPr>
        <w:t xml:space="preserve">RA </w:t>
      </w:r>
      <w:r>
        <w:t>addressing and OSPFv2 routing:</w:t>
      </w:r>
    </w:p>
    <w:p w:rsidR="00CE71E4" w:rsidRDefault="00CE71E4" w:rsidP="00CE71E4">
      <w:pPr>
        <w:pStyle w:val="Bulletlevel2"/>
      </w:pPr>
      <w:r>
        <w:t>IPv4 addressing according to the Addressing Table</w:t>
      </w:r>
    </w:p>
    <w:p w:rsidR="00CE71E4" w:rsidRDefault="00CE71E4" w:rsidP="00CE71E4">
      <w:pPr>
        <w:pStyle w:val="Bulletlevel2"/>
      </w:pPr>
      <w:r>
        <w:t>Process ID 1</w:t>
      </w:r>
    </w:p>
    <w:p w:rsidR="00CE71E4" w:rsidRDefault="00CE71E4" w:rsidP="00CE71E4">
      <w:pPr>
        <w:pStyle w:val="Bulletlevel2"/>
      </w:pPr>
      <w:r>
        <w:t>Router ID 1.1.1.1</w:t>
      </w:r>
    </w:p>
    <w:p w:rsidR="00CE71E4" w:rsidRDefault="00CE71E4" w:rsidP="00CE71E4">
      <w:pPr>
        <w:pStyle w:val="Bulletlevel2"/>
      </w:pPr>
      <w:r>
        <w:t xml:space="preserve">Network address for each interface </w:t>
      </w:r>
    </w:p>
    <w:p w:rsidR="00CE71E4" w:rsidRDefault="00CE71E4" w:rsidP="00CE71E4">
      <w:pPr>
        <w:pStyle w:val="Bulletlevel2"/>
      </w:pPr>
      <w:r>
        <w:t xml:space="preserve">LAN interface set to passive (do not use the </w:t>
      </w:r>
      <w:r>
        <w:rPr>
          <w:b/>
        </w:rPr>
        <w:t>default</w:t>
      </w:r>
      <w:r>
        <w:t xml:space="preserve"> keyword)</w:t>
      </w:r>
    </w:p>
    <w:p w:rsidR="00CE71E4" w:rsidRDefault="00CE71E4" w:rsidP="00CE71E4">
      <w:pPr>
        <w:pStyle w:val="Bulletlevel1"/>
      </w:pPr>
      <w:r>
        <w:t xml:space="preserve">Use the following requirements to configure </w:t>
      </w:r>
      <w:r>
        <w:rPr>
          <w:b/>
        </w:rPr>
        <w:t xml:space="preserve">RB </w:t>
      </w:r>
      <w:r>
        <w:t>addressing, OSPFv2 routing and OSPFv3 routing:</w:t>
      </w:r>
    </w:p>
    <w:p w:rsidR="00CE71E4" w:rsidRDefault="00CE71E4" w:rsidP="00CE71E4">
      <w:pPr>
        <w:pStyle w:val="Bulletlevel2"/>
      </w:pPr>
      <w:r>
        <w:t>IPv4 and IPv6 addressing according to the Addressing Table</w:t>
      </w:r>
    </w:p>
    <w:p w:rsidR="00CE71E4" w:rsidRDefault="00CE71E4" w:rsidP="00CE71E4">
      <w:pPr>
        <w:pStyle w:val="Bulletlevel2"/>
        <w:numPr>
          <w:ilvl w:val="0"/>
          <w:numId w:val="0"/>
        </w:numPr>
        <w:ind w:left="1440"/>
      </w:pPr>
      <w:r>
        <w:t>Set the Gigabit Ethernet 0/0 Link Local address to FE80::1</w:t>
      </w:r>
    </w:p>
    <w:p w:rsidR="00CE71E4" w:rsidRDefault="00CE71E4" w:rsidP="00CE71E4">
      <w:pPr>
        <w:pStyle w:val="Bulletlevel2"/>
      </w:pPr>
      <w:r>
        <w:lastRenderedPageBreak/>
        <w:t>OSPFv2 routing requirements:</w:t>
      </w:r>
    </w:p>
    <w:p w:rsidR="00CE71E4" w:rsidRPr="00CE71E4" w:rsidRDefault="00CE71E4" w:rsidP="00CE71E4">
      <w:pPr>
        <w:pStyle w:val="Bulletlevel2"/>
        <w:numPr>
          <w:ilvl w:val="0"/>
          <w:numId w:val="0"/>
        </w:numPr>
        <w:ind w:left="1440"/>
      </w:pPr>
      <w:r w:rsidRPr="00CE71E4">
        <w:t>Process ID 1</w:t>
      </w:r>
    </w:p>
    <w:p w:rsidR="00CE71E4" w:rsidRPr="00CE71E4" w:rsidRDefault="00CE71E4" w:rsidP="00CE71E4">
      <w:pPr>
        <w:pStyle w:val="Bulletlevel2"/>
        <w:numPr>
          <w:ilvl w:val="0"/>
          <w:numId w:val="0"/>
        </w:numPr>
        <w:ind w:left="1440"/>
      </w:pPr>
      <w:r w:rsidRPr="00CE71E4">
        <w:t>Router ID 2.2.2.2</w:t>
      </w:r>
    </w:p>
    <w:p w:rsidR="00CE71E4" w:rsidRPr="00CE71E4" w:rsidRDefault="00CE71E4" w:rsidP="00CE71E4">
      <w:pPr>
        <w:pStyle w:val="Bulletlevel2"/>
        <w:numPr>
          <w:ilvl w:val="0"/>
          <w:numId w:val="0"/>
        </w:numPr>
        <w:ind w:left="1440"/>
      </w:pPr>
      <w:r w:rsidRPr="00CE71E4">
        <w:t xml:space="preserve">Network address for each interface </w:t>
      </w:r>
    </w:p>
    <w:p w:rsidR="00CE71E4" w:rsidRPr="00CE71E4" w:rsidRDefault="00CE71E4" w:rsidP="00CE71E4">
      <w:pPr>
        <w:pStyle w:val="Bulletlevel2"/>
        <w:numPr>
          <w:ilvl w:val="0"/>
          <w:numId w:val="0"/>
        </w:numPr>
        <w:ind w:left="1440"/>
      </w:pPr>
      <w:r w:rsidRPr="00CE71E4">
        <w:t xml:space="preserve">LAN interface set to passive (do not use the </w:t>
      </w:r>
      <w:r w:rsidRPr="00CE71E4">
        <w:rPr>
          <w:b/>
        </w:rPr>
        <w:t>default</w:t>
      </w:r>
      <w:r w:rsidRPr="00CE71E4">
        <w:t xml:space="preserve"> keyword)</w:t>
      </w:r>
    </w:p>
    <w:p w:rsidR="00CE71E4" w:rsidRDefault="00CE71E4" w:rsidP="00CE71E4">
      <w:pPr>
        <w:pStyle w:val="Bulletlevel2"/>
      </w:pPr>
      <w:r>
        <w:t>OSPFv3 routing requirements:</w:t>
      </w:r>
    </w:p>
    <w:p w:rsidR="00CE71E4" w:rsidRDefault="00CE71E4" w:rsidP="00CE71E4">
      <w:pPr>
        <w:pStyle w:val="Bulletlevel2"/>
        <w:numPr>
          <w:ilvl w:val="0"/>
          <w:numId w:val="0"/>
        </w:numPr>
        <w:ind w:left="1440"/>
      </w:pPr>
      <w:r>
        <w:t>Enable IPv6 routing</w:t>
      </w:r>
    </w:p>
    <w:p w:rsidR="00CE71E4" w:rsidRDefault="00CE71E4" w:rsidP="00CE71E4">
      <w:pPr>
        <w:pStyle w:val="Bulletlevel2"/>
        <w:numPr>
          <w:ilvl w:val="0"/>
          <w:numId w:val="0"/>
        </w:numPr>
        <w:ind w:left="1440"/>
      </w:pPr>
      <w:r>
        <w:t>Process ID 1</w:t>
      </w:r>
    </w:p>
    <w:p w:rsidR="00CE71E4" w:rsidRDefault="00CE71E4" w:rsidP="00CE71E4">
      <w:pPr>
        <w:pStyle w:val="Bulletlevel2"/>
        <w:numPr>
          <w:ilvl w:val="0"/>
          <w:numId w:val="0"/>
        </w:numPr>
        <w:ind w:left="1440"/>
      </w:pPr>
      <w:r>
        <w:t>Router ID 2.2.2.2</w:t>
      </w:r>
    </w:p>
    <w:p w:rsidR="00CE71E4" w:rsidRDefault="00CE71E4" w:rsidP="00CE71E4">
      <w:pPr>
        <w:pStyle w:val="Bulletlevel2"/>
        <w:numPr>
          <w:ilvl w:val="0"/>
          <w:numId w:val="0"/>
        </w:numPr>
        <w:ind w:left="1440"/>
      </w:pPr>
      <w:r>
        <w:t>Enable OSPFv3 on each interface</w:t>
      </w:r>
    </w:p>
    <w:p w:rsidR="00CE71E4" w:rsidRDefault="00CE71E4" w:rsidP="00CE71E4">
      <w:pPr>
        <w:pStyle w:val="Bulletlevel1"/>
      </w:pPr>
      <w:r>
        <w:t xml:space="preserve">Use the following requirements to configure </w:t>
      </w:r>
      <w:r>
        <w:rPr>
          <w:b/>
        </w:rPr>
        <w:t xml:space="preserve">RC </w:t>
      </w:r>
      <w:r>
        <w:t>addressing and OSPFv3 routing:</w:t>
      </w:r>
    </w:p>
    <w:p w:rsidR="00CE71E4" w:rsidRDefault="00CE71E4" w:rsidP="00CE71E4">
      <w:pPr>
        <w:pStyle w:val="Bulletlevel2"/>
      </w:pPr>
      <w:r>
        <w:t>IPv6 addressing according to the Addressing Table</w:t>
      </w:r>
      <w:r w:rsidRPr="00CE71E4">
        <w:t xml:space="preserve"> </w:t>
      </w:r>
    </w:p>
    <w:p w:rsidR="00CE71E4" w:rsidRDefault="00CE71E4" w:rsidP="00CE71E4">
      <w:pPr>
        <w:pStyle w:val="Bulletlevel2"/>
        <w:numPr>
          <w:ilvl w:val="0"/>
          <w:numId w:val="0"/>
        </w:numPr>
        <w:ind w:left="1440"/>
      </w:pPr>
      <w:r>
        <w:t>Set the Gigabit Ethernet 0/0 Link Local address to FE80::3</w:t>
      </w:r>
    </w:p>
    <w:p w:rsidR="00CE71E4" w:rsidRDefault="00CE71E4" w:rsidP="00CE71E4">
      <w:pPr>
        <w:pStyle w:val="Bulletlevel2"/>
      </w:pPr>
      <w:r>
        <w:t>OSPFv3 routing requirements:</w:t>
      </w:r>
    </w:p>
    <w:p w:rsidR="00CE71E4" w:rsidRDefault="00CE71E4" w:rsidP="00CE71E4">
      <w:pPr>
        <w:pStyle w:val="Bulletlevel2"/>
        <w:numPr>
          <w:ilvl w:val="0"/>
          <w:numId w:val="0"/>
        </w:numPr>
        <w:ind w:left="1440"/>
      </w:pPr>
      <w:r>
        <w:t>Enable IPv6 routing</w:t>
      </w:r>
    </w:p>
    <w:p w:rsidR="00CE71E4" w:rsidRDefault="00CE71E4" w:rsidP="00CE71E4">
      <w:pPr>
        <w:pStyle w:val="Bulletlevel2"/>
        <w:numPr>
          <w:ilvl w:val="0"/>
          <w:numId w:val="0"/>
        </w:numPr>
        <w:ind w:left="1440"/>
      </w:pPr>
      <w:r>
        <w:t>Process ID 1</w:t>
      </w:r>
    </w:p>
    <w:p w:rsidR="00CE71E4" w:rsidRDefault="00CE71E4" w:rsidP="00CE71E4">
      <w:pPr>
        <w:pStyle w:val="Bulletlevel2"/>
        <w:numPr>
          <w:ilvl w:val="0"/>
          <w:numId w:val="0"/>
        </w:numPr>
        <w:ind w:left="1440"/>
      </w:pPr>
      <w:r>
        <w:t>Router ID 3.3.3.3</w:t>
      </w:r>
    </w:p>
    <w:p w:rsidR="00CE71E4" w:rsidRDefault="00CE71E4" w:rsidP="00CE71E4">
      <w:pPr>
        <w:pStyle w:val="Bulletlevel2"/>
        <w:numPr>
          <w:ilvl w:val="0"/>
          <w:numId w:val="0"/>
        </w:numPr>
        <w:ind w:left="1440"/>
      </w:pPr>
      <w:r>
        <w:t>Enable OSPFv3 on each interface</w:t>
      </w:r>
    </w:p>
    <w:p w:rsidR="00973E15" w:rsidRDefault="00CE71E4" w:rsidP="00CE71E4">
      <w:pPr>
        <w:pStyle w:val="Bulletlevel1"/>
      </w:pPr>
      <w:r>
        <w:t>Configure PCs with appropriate addressing.</w:t>
      </w:r>
    </w:p>
    <w:p w:rsidR="00DF122C" w:rsidRDefault="00DF122C" w:rsidP="00DF122C">
      <w:pPr>
        <w:pStyle w:val="Bulletlevel2"/>
      </w:pPr>
      <w:r w:rsidRPr="0003168C">
        <w:rPr>
          <w:b/>
        </w:rPr>
        <w:t>PCA</w:t>
      </w:r>
      <w:r>
        <w:t xml:space="preserve"> and </w:t>
      </w:r>
      <w:r w:rsidRPr="0003168C">
        <w:rPr>
          <w:b/>
        </w:rPr>
        <w:t>PCB</w:t>
      </w:r>
      <w:r>
        <w:t xml:space="preserve"> IPv4 addressing must use the last assignable address in the IPv4 subnet.</w:t>
      </w:r>
    </w:p>
    <w:p w:rsidR="00CE71E4" w:rsidRDefault="00CE71E4" w:rsidP="00CE71E4">
      <w:pPr>
        <w:pStyle w:val="Bulletlevel2"/>
      </w:pPr>
      <w:r>
        <w:rPr>
          <w:b/>
        </w:rPr>
        <w:t xml:space="preserve">PCB </w:t>
      </w:r>
      <w:r>
        <w:t xml:space="preserve">and </w:t>
      </w:r>
      <w:r w:rsidR="002104F3">
        <w:rPr>
          <w:b/>
        </w:rPr>
        <w:t>PCC</w:t>
      </w:r>
      <w:r>
        <w:rPr>
          <w:b/>
        </w:rPr>
        <w:t xml:space="preserve"> </w:t>
      </w:r>
      <w:r>
        <w:t xml:space="preserve">IPv6 addressing must use the </w:t>
      </w:r>
      <w:r w:rsidR="006F54B9">
        <w:t xml:space="preserve">second assignable address in the IPv6 network and the </w:t>
      </w:r>
      <w:r>
        <w:t>link-local FE80 address as the default gateway.</w:t>
      </w:r>
    </w:p>
    <w:p w:rsidR="00CE71E4" w:rsidRDefault="00CE71E4" w:rsidP="00CE71E4">
      <w:pPr>
        <w:pStyle w:val="Bulletlevel2"/>
      </w:pPr>
      <w:r>
        <w:t>Finish the Addressing Table documentation</w:t>
      </w:r>
    </w:p>
    <w:p w:rsidR="00CE71E4" w:rsidRDefault="00CE71E4" w:rsidP="00CE71E4">
      <w:pPr>
        <w:pStyle w:val="Bulletlevel1"/>
      </w:pPr>
      <w:r>
        <w:t>Verify your configurations and test connectivity</w:t>
      </w:r>
    </w:p>
    <w:p w:rsidR="00CE71E4" w:rsidRDefault="00CE71E4" w:rsidP="00CE71E4">
      <w:pPr>
        <w:pStyle w:val="Bulletlevel2"/>
      </w:pPr>
      <w:r>
        <w:t>OSPF neighbors should be established and routing tables should be complete</w:t>
      </w:r>
    </w:p>
    <w:p w:rsidR="00CE71E4" w:rsidRDefault="00CE71E4" w:rsidP="00CE71E4">
      <w:pPr>
        <w:pStyle w:val="Bulletlevel2"/>
      </w:pPr>
      <w:r>
        <w:t>Pings between PCA and PCB should be successful</w:t>
      </w:r>
    </w:p>
    <w:p w:rsidR="00CE71E4" w:rsidRDefault="00CE71E4" w:rsidP="00CE71E4">
      <w:pPr>
        <w:pStyle w:val="Bulletlevel2"/>
      </w:pPr>
      <w:r>
        <w:t>Pings between PCB and PCC should be successful</w:t>
      </w:r>
    </w:p>
    <w:p w:rsidR="00CE71E4" w:rsidRDefault="00CE71E4" w:rsidP="00CE71E4">
      <w:pPr>
        <w:pStyle w:val="BodyTextL50"/>
        <w:ind w:left="1080"/>
      </w:pPr>
      <w:r w:rsidRPr="00CE71E4">
        <w:rPr>
          <w:b/>
        </w:rPr>
        <w:t>Note:</w:t>
      </w:r>
      <w:r>
        <w:t xml:space="preserve"> If OSPFv3 has not converged, check the status of interfaces using the </w:t>
      </w:r>
      <w:r>
        <w:rPr>
          <w:b/>
        </w:rPr>
        <w:t xml:space="preserve">show ip ospf interface </w:t>
      </w:r>
      <w:r>
        <w:t>command. Sometimes, the OSPFv3 process needs to be removed and reapplied to force convergence.</w:t>
      </w:r>
    </w:p>
    <w:p w:rsidR="00CE71E4" w:rsidRDefault="00CE71E4" w:rsidP="00CE71E4">
      <w:pPr>
        <w:pStyle w:val="BodyTextL50"/>
        <w:ind w:left="1080"/>
      </w:pPr>
    </w:p>
    <w:sectPr w:rsidR="00CE71E4"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1C5" w:rsidRDefault="00FF61C5" w:rsidP="0090659A">
      <w:pPr>
        <w:spacing w:after="0" w:line="240" w:lineRule="auto"/>
      </w:pPr>
      <w:r>
        <w:separator/>
      </w:r>
    </w:p>
    <w:p w:rsidR="00FF61C5" w:rsidRDefault="00FF61C5"/>
    <w:p w:rsidR="00FF61C5" w:rsidRDefault="00FF61C5"/>
    <w:p w:rsidR="00FF61C5" w:rsidRDefault="00FF61C5"/>
    <w:p w:rsidR="00FF61C5" w:rsidRDefault="00FF61C5"/>
  </w:endnote>
  <w:endnote w:type="continuationSeparator" w:id="0">
    <w:p w:rsidR="00FF61C5" w:rsidRDefault="00FF61C5" w:rsidP="0090659A">
      <w:pPr>
        <w:spacing w:after="0" w:line="240" w:lineRule="auto"/>
      </w:pPr>
      <w:r>
        <w:continuationSeparator/>
      </w:r>
    </w:p>
    <w:p w:rsidR="00FF61C5" w:rsidRDefault="00FF61C5"/>
    <w:p w:rsidR="00FF61C5" w:rsidRDefault="00FF61C5"/>
    <w:p w:rsidR="00FF61C5" w:rsidRDefault="00FF61C5"/>
    <w:p w:rsidR="00FF61C5" w:rsidRDefault="00FF61C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6F54B9">
      <w:t>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F5C5C" w:rsidRPr="0090659A">
      <w:rPr>
        <w:b/>
        <w:szCs w:val="16"/>
      </w:rPr>
      <w:fldChar w:fldCharType="begin"/>
    </w:r>
    <w:r w:rsidRPr="0090659A">
      <w:rPr>
        <w:b/>
        <w:szCs w:val="16"/>
      </w:rPr>
      <w:instrText xml:space="preserve"> PAGE </w:instrText>
    </w:r>
    <w:r w:rsidR="006F5C5C" w:rsidRPr="0090659A">
      <w:rPr>
        <w:b/>
        <w:szCs w:val="16"/>
      </w:rPr>
      <w:fldChar w:fldCharType="separate"/>
    </w:r>
    <w:r w:rsidR="00C929D0">
      <w:rPr>
        <w:b/>
        <w:noProof/>
        <w:szCs w:val="16"/>
      </w:rPr>
      <w:t>2</w:t>
    </w:r>
    <w:r w:rsidR="006F5C5C" w:rsidRPr="0090659A">
      <w:rPr>
        <w:b/>
        <w:szCs w:val="16"/>
      </w:rPr>
      <w:fldChar w:fldCharType="end"/>
    </w:r>
    <w:r w:rsidRPr="0090659A">
      <w:rPr>
        <w:szCs w:val="16"/>
      </w:rPr>
      <w:t xml:space="preserve"> of </w:t>
    </w:r>
    <w:r w:rsidR="006F5C5C" w:rsidRPr="0090659A">
      <w:rPr>
        <w:b/>
        <w:szCs w:val="16"/>
      </w:rPr>
      <w:fldChar w:fldCharType="begin"/>
    </w:r>
    <w:r w:rsidRPr="0090659A">
      <w:rPr>
        <w:b/>
        <w:szCs w:val="16"/>
      </w:rPr>
      <w:instrText xml:space="preserve"> NUMPAGES  </w:instrText>
    </w:r>
    <w:r w:rsidR="006F5C5C" w:rsidRPr="0090659A">
      <w:rPr>
        <w:b/>
        <w:szCs w:val="16"/>
      </w:rPr>
      <w:fldChar w:fldCharType="separate"/>
    </w:r>
    <w:r w:rsidR="00C929D0">
      <w:rPr>
        <w:b/>
        <w:noProof/>
        <w:szCs w:val="16"/>
      </w:rPr>
      <w:t>2</w:t>
    </w:r>
    <w:r w:rsidR="006F5C5C"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6F54B9">
      <w:t>2014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F5C5C" w:rsidRPr="0090659A">
      <w:rPr>
        <w:b/>
        <w:szCs w:val="16"/>
      </w:rPr>
      <w:fldChar w:fldCharType="begin"/>
    </w:r>
    <w:r w:rsidRPr="0090659A">
      <w:rPr>
        <w:b/>
        <w:szCs w:val="16"/>
      </w:rPr>
      <w:instrText xml:space="preserve"> PAGE </w:instrText>
    </w:r>
    <w:r w:rsidR="006F5C5C" w:rsidRPr="0090659A">
      <w:rPr>
        <w:b/>
        <w:szCs w:val="16"/>
      </w:rPr>
      <w:fldChar w:fldCharType="separate"/>
    </w:r>
    <w:r w:rsidR="00C929D0">
      <w:rPr>
        <w:b/>
        <w:noProof/>
        <w:szCs w:val="16"/>
      </w:rPr>
      <w:t>1</w:t>
    </w:r>
    <w:r w:rsidR="006F5C5C" w:rsidRPr="0090659A">
      <w:rPr>
        <w:b/>
        <w:szCs w:val="16"/>
      </w:rPr>
      <w:fldChar w:fldCharType="end"/>
    </w:r>
    <w:r w:rsidRPr="0090659A">
      <w:rPr>
        <w:szCs w:val="16"/>
      </w:rPr>
      <w:t xml:space="preserve"> of </w:t>
    </w:r>
    <w:r w:rsidR="006F5C5C" w:rsidRPr="0090659A">
      <w:rPr>
        <w:b/>
        <w:szCs w:val="16"/>
      </w:rPr>
      <w:fldChar w:fldCharType="begin"/>
    </w:r>
    <w:r w:rsidRPr="0090659A">
      <w:rPr>
        <w:b/>
        <w:szCs w:val="16"/>
      </w:rPr>
      <w:instrText xml:space="preserve"> NUMPAGES  </w:instrText>
    </w:r>
    <w:r w:rsidR="006F5C5C" w:rsidRPr="0090659A">
      <w:rPr>
        <w:b/>
        <w:szCs w:val="16"/>
      </w:rPr>
      <w:fldChar w:fldCharType="separate"/>
    </w:r>
    <w:r w:rsidR="00C929D0">
      <w:rPr>
        <w:b/>
        <w:noProof/>
        <w:szCs w:val="16"/>
      </w:rPr>
      <w:t>2</w:t>
    </w:r>
    <w:r w:rsidR="006F5C5C"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1C5" w:rsidRDefault="00FF61C5" w:rsidP="0090659A">
      <w:pPr>
        <w:spacing w:after="0" w:line="240" w:lineRule="auto"/>
      </w:pPr>
      <w:r>
        <w:separator/>
      </w:r>
    </w:p>
    <w:p w:rsidR="00FF61C5" w:rsidRDefault="00FF61C5"/>
    <w:p w:rsidR="00FF61C5" w:rsidRDefault="00FF61C5"/>
    <w:p w:rsidR="00FF61C5" w:rsidRDefault="00FF61C5"/>
    <w:p w:rsidR="00FF61C5" w:rsidRDefault="00FF61C5"/>
  </w:footnote>
  <w:footnote w:type="continuationSeparator" w:id="0">
    <w:p w:rsidR="00FF61C5" w:rsidRDefault="00FF61C5" w:rsidP="0090659A">
      <w:pPr>
        <w:spacing w:after="0" w:line="240" w:lineRule="auto"/>
      </w:pPr>
      <w:r>
        <w:continuationSeparator/>
      </w:r>
    </w:p>
    <w:p w:rsidR="00FF61C5" w:rsidRDefault="00FF61C5"/>
    <w:p w:rsidR="00FF61C5" w:rsidRDefault="00FF61C5"/>
    <w:p w:rsidR="00FF61C5" w:rsidRDefault="00FF61C5"/>
    <w:p w:rsidR="00FF61C5" w:rsidRDefault="00FF61C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EF4623" w:rsidP="00C52BA6">
    <w:pPr>
      <w:pStyle w:val="PageHead"/>
    </w:pPr>
    <w:r>
      <w:t>Packet Tracer –</w:t>
    </w:r>
    <w:r w:rsidRPr="00FD4A68">
      <w:t xml:space="preserve"> </w:t>
    </w:r>
    <w:r w:rsidR="00E12807" w:rsidRPr="00E12807">
      <w:t>Skills Integration Challenge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2E7852">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3"/>
  </w:num>
  <w:num w:numId="7">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efaultTableStyle w:val="LabTableStyle"/>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4A5BC5"/>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B2344"/>
    <w:rsid w:val="000B7DE5"/>
    <w:rsid w:val="000D0782"/>
    <w:rsid w:val="000D55B4"/>
    <w:rsid w:val="000D5CD0"/>
    <w:rsid w:val="000E65F0"/>
    <w:rsid w:val="000F072C"/>
    <w:rsid w:val="000F6743"/>
    <w:rsid w:val="00107B2B"/>
    <w:rsid w:val="00112AC5"/>
    <w:rsid w:val="001133DD"/>
    <w:rsid w:val="00113B54"/>
    <w:rsid w:val="00114103"/>
    <w:rsid w:val="00120CBE"/>
    <w:rsid w:val="00135178"/>
    <w:rsid w:val="001366EC"/>
    <w:rsid w:val="0014219C"/>
    <w:rsid w:val="001425ED"/>
    <w:rsid w:val="00154E3A"/>
    <w:rsid w:val="00163164"/>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04F3"/>
    <w:rsid w:val="002113B8"/>
    <w:rsid w:val="00215665"/>
    <w:rsid w:val="0021792C"/>
    <w:rsid w:val="002240AB"/>
    <w:rsid w:val="00225E37"/>
    <w:rsid w:val="00242E3A"/>
    <w:rsid w:val="002506CF"/>
    <w:rsid w:val="0025107F"/>
    <w:rsid w:val="00260CD4"/>
    <w:rsid w:val="002639D8"/>
    <w:rsid w:val="00265F77"/>
    <w:rsid w:val="00266C83"/>
    <w:rsid w:val="002768DC"/>
    <w:rsid w:val="002A6C56"/>
    <w:rsid w:val="002B1CE7"/>
    <w:rsid w:val="002C090C"/>
    <w:rsid w:val="002C1243"/>
    <w:rsid w:val="002C1815"/>
    <w:rsid w:val="002C475E"/>
    <w:rsid w:val="002C6AD6"/>
    <w:rsid w:val="002D6C2A"/>
    <w:rsid w:val="002D7A86"/>
    <w:rsid w:val="002E7852"/>
    <w:rsid w:val="002F45FF"/>
    <w:rsid w:val="002F6D17"/>
    <w:rsid w:val="00302887"/>
    <w:rsid w:val="003056EB"/>
    <w:rsid w:val="003071FF"/>
    <w:rsid w:val="00310652"/>
    <w:rsid w:val="0031371D"/>
    <w:rsid w:val="003166AC"/>
    <w:rsid w:val="0031789F"/>
    <w:rsid w:val="00320788"/>
    <w:rsid w:val="003233A3"/>
    <w:rsid w:val="0034455D"/>
    <w:rsid w:val="0034604B"/>
    <w:rsid w:val="00346D17"/>
    <w:rsid w:val="00347972"/>
    <w:rsid w:val="003559CC"/>
    <w:rsid w:val="003569D7"/>
    <w:rsid w:val="003608AC"/>
    <w:rsid w:val="0036465A"/>
    <w:rsid w:val="00372BF6"/>
    <w:rsid w:val="00392C65"/>
    <w:rsid w:val="00392ED5"/>
    <w:rsid w:val="003A19DC"/>
    <w:rsid w:val="003A1B45"/>
    <w:rsid w:val="003A6E49"/>
    <w:rsid w:val="003B46FC"/>
    <w:rsid w:val="003B5767"/>
    <w:rsid w:val="003B7605"/>
    <w:rsid w:val="003C6BCA"/>
    <w:rsid w:val="003C7902"/>
    <w:rsid w:val="003D0BFF"/>
    <w:rsid w:val="003E5BE5"/>
    <w:rsid w:val="003F18D1"/>
    <w:rsid w:val="003F4F0E"/>
    <w:rsid w:val="003F6E06"/>
    <w:rsid w:val="00403C7A"/>
    <w:rsid w:val="004057A6"/>
    <w:rsid w:val="00406554"/>
    <w:rsid w:val="004131B0"/>
    <w:rsid w:val="004140C9"/>
    <w:rsid w:val="00416C42"/>
    <w:rsid w:val="00422476"/>
    <w:rsid w:val="0042385C"/>
    <w:rsid w:val="004249FE"/>
    <w:rsid w:val="00431654"/>
    <w:rsid w:val="00434926"/>
    <w:rsid w:val="00444217"/>
    <w:rsid w:val="004478F4"/>
    <w:rsid w:val="00450F7A"/>
    <w:rsid w:val="00452C6D"/>
    <w:rsid w:val="00455E0B"/>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E73"/>
    <w:rsid w:val="00593386"/>
    <w:rsid w:val="00596998"/>
    <w:rsid w:val="005A6E62"/>
    <w:rsid w:val="005D2B29"/>
    <w:rsid w:val="005D354A"/>
    <w:rsid w:val="005D47CF"/>
    <w:rsid w:val="005E3235"/>
    <w:rsid w:val="005E4176"/>
    <w:rsid w:val="005E65B5"/>
    <w:rsid w:val="005F3AE9"/>
    <w:rsid w:val="006007BB"/>
    <w:rsid w:val="00601DC0"/>
    <w:rsid w:val="006034CB"/>
    <w:rsid w:val="006131CE"/>
    <w:rsid w:val="00617D6E"/>
    <w:rsid w:val="00622D61"/>
    <w:rsid w:val="00623BE4"/>
    <w:rsid w:val="00623C77"/>
    <w:rsid w:val="00624198"/>
    <w:rsid w:val="006428E5"/>
    <w:rsid w:val="00643FFA"/>
    <w:rsid w:val="00644958"/>
    <w:rsid w:val="00672919"/>
    <w:rsid w:val="00681158"/>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2006"/>
    <w:rsid w:val="006E6581"/>
    <w:rsid w:val="006E71DF"/>
    <w:rsid w:val="006F1CC4"/>
    <w:rsid w:val="006F2A86"/>
    <w:rsid w:val="006F3163"/>
    <w:rsid w:val="006F54B9"/>
    <w:rsid w:val="006F5C5C"/>
    <w:rsid w:val="00705FEC"/>
    <w:rsid w:val="0071147A"/>
    <w:rsid w:val="0071185D"/>
    <w:rsid w:val="007222AD"/>
    <w:rsid w:val="007267CF"/>
    <w:rsid w:val="00731F3F"/>
    <w:rsid w:val="00733BAB"/>
    <w:rsid w:val="00735BA3"/>
    <w:rsid w:val="007436BF"/>
    <w:rsid w:val="007443E9"/>
    <w:rsid w:val="00745DCE"/>
    <w:rsid w:val="00753D89"/>
    <w:rsid w:val="00755C9B"/>
    <w:rsid w:val="00760FE4"/>
    <w:rsid w:val="0076218D"/>
    <w:rsid w:val="00763D8B"/>
    <w:rsid w:val="007657F6"/>
    <w:rsid w:val="0077125A"/>
    <w:rsid w:val="00775D52"/>
    <w:rsid w:val="00786F58"/>
    <w:rsid w:val="00787CC1"/>
    <w:rsid w:val="00792F4E"/>
    <w:rsid w:val="0079398D"/>
    <w:rsid w:val="00796C25"/>
    <w:rsid w:val="00797041"/>
    <w:rsid w:val="007A287C"/>
    <w:rsid w:val="007A3B2A"/>
    <w:rsid w:val="007B0853"/>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346A0"/>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30386"/>
    <w:rsid w:val="009309F5"/>
    <w:rsid w:val="00933237"/>
    <w:rsid w:val="00933F28"/>
    <w:rsid w:val="009355DC"/>
    <w:rsid w:val="009476C0"/>
    <w:rsid w:val="00955BDB"/>
    <w:rsid w:val="00962C87"/>
    <w:rsid w:val="00963E34"/>
    <w:rsid w:val="00964DFA"/>
    <w:rsid w:val="00973E15"/>
    <w:rsid w:val="0098155C"/>
    <w:rsid w:val="00983B77"/>
    <w:rsid w:val="00996053"/>
    <w:rsid w:val="009A0B2F"/>
    <w:rsid w:val="009A1CF4"/>
    <w:rsid w:val="009A37D7"/>
    <w:rsid w:val="009A4E17"/>
    <w:rsid w:val="009A5AED"/>
    <w:rsid w:val="009A6955"/>
    <w:rsid w:val="009B341C"/>
    <w:rsid w:val="009B5747"/>
    <w:rsid w:val="009D2C27"/>
    <w:rsid w:val="009E2309"/>
    <w:rsid w:val="009E42B9"/>
    <w:rsid w:val="00A014A3"/>
    <w:rsid w:val="00A0412D"/>
    <w:rsid w:val="00A21211"/>
    <w:rsid w:val="00A24818"/>
    <w:rsid w:val="00A34E7F"/>
    <w:rsid w:val="00A46F0A"/>
    <w:rsid w:val="00A46F25"/>
    <w:rsid w:val="00A47CC2"/>
    <w:rsid w:val="00A60146"/>
    <w:rsid w:val="00A622C4"/>
    <w:rsid w:val="00A754B4"/>
    <w:rsid w:val="00A807C1"/>
    <w:rsid w:val="00A83374"/>
    <w:rsid w:val="00A96172"/>
    <w:rsid w:val="00AA5ED3"/>
    <w:rsid w:val="00AB0D6A"/>
    <w:rsid w:val="00AB43B3"/>
    <w:rsid w:val="00AB49B9"/>
    <w:rsid w:val="00AB758A"/>
    <w:rsid w:val="00AC1E7E"/>
    <w:rsid w:val="00AC507D"/>
    <w:rsid w:val="00AC66E4"/>
    <w:rsid w:val="00AD4578"/>
    <w:rsid w:val="00AD68E9"/>
    <w:rsid w:val="00AE2437"/>
    <w:rsid w:val="00AE56C0"/>
    <w:rsid w:val="00B00914"/>
    <w:rsid w:val="00B02A8E"/>
    <w:rsid w:val="00B052EE"/>
    <w:rsid w:val="00B1081F"/>
    <w:rsid w:val="00B27499"/>
    <w:rsid w:val="00B3010D"/>
    <w:rsid w:val="00B35151"/>
    <w:rsid w:val="00B433F2"/>
    <w:rsid w:val="00B458E8"/>
    <w:rsid w:val="00B5397B"/>
    <w:rsid w:val="00B62809"/>
    <w:rsid w:val="00B7675A"/>
    <w:rsid w:val="00B81898"/>
    <w:rsid w:val="00B8459A"/>
    <w:rsid w:val="00B8606B"/>
    <w:rsid w:val="00B878E7"/>
    <w:rsid w:val="00B97278"/>
    <w:rsid w:val="00BA1D0B"/>
    <w:rsid w:val="00BA6972"/>
    <w:rsid w:val="00BB1E0D"/>
    <w:rsid w:val="00BB4D9B"/>
    <w:rsid w:val="00BB73FF"/>
    <w:rsid w:val="00BB7688"/>
    <w:rsid w:val="00BC7CAC"/>
    <w:rsid w:val="00BD6C25"/>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80D0A"/>
    <w:rsid w:val="00C87381"/>
    <w:rsid w:val="00C90311"/>
    <w:rsid w:val="00C91C26"/>
    <w:rsid w:val="00C929D0"/>
    <w:rsid w:val="00CA73D5"/>
    <w:rsid w:val="00CC1C87"/>
    <w:rsid w:val="00CC3000"/>
    <w:rsid w:val="00CC4859"/>
    <w:rsid w:val="00CC7A35"/>
    <w:rsid w:val="00CD072A"/>
    <w:rsid w:val="00CD7F73"/>
    <w:rsid w:val="00CE26C5"/>
    <w:rsid w:val="00CE36AF"/>
    <w:rsid w:val="00CE54DD"/>
    <w:rsid w:val="00CE71E4"/>
    <w:rsid w:val="00CF0DA5"/>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1BD"/>
    <w:rsid w:val="00DB5F4D"/>
    <w:rsid w:val="00DB6DA5"/>
    <w:rsid w:val="00DC076B"/>
    <w:rsid w:val="00DC186F"/>
    <w:rsid w:val="00DC252F"/>
    <w:rsid w:val="00DC6050"/>
    <w:rsid w:val="00DE6F44"/>
    <w:rsid w:val="00DF122C"/>
    <w:rsid w:val="00E037D9"/>
    <w:rsid w:val="00E12807"/>
    <w:rsid w:val="00E130EB"/>
    <w:rsid w:val="00E162CD"/>
    <w:rsid w:val="00E17FA5"/>
    <w:rsid w:val="00E26930"/>
    <w:rsid w:val="00E27257"/>
    <w:rsid w:val="00E449D0"/>
    <w:rsid w:val="00E4506A"/>
    <w:rsid w:val="00E53F99"/>
    <w:rsid w:val="00E56510"/>
    <w:rsid w:val="00E62EA8"/>
    <w:rsid w:val="00E67A6E"/>
    <w:rsid w:val="00E70BED"/>
    <w:rsid w:val="00E71B43"/>
    <w:rsid w:val="00E80F7D"/>
    <w:rsid w:val="00E81612"/>
    <w:rsid w:val="00E87D18"/>
    <w:rsid w:val="00E87D62"/>
    <w:rsid w:val="00EA486E"/>
    <w:rsid w:val="00EA4FA3"/>
    <w:rsid w:val="00EB001B"/>
    <w:rsid w:val="00EB6C33"/>
    <w:rsid w:val="00ED6019"/>
    <w:rsid w:val="00ED7830"/>
    <w:rsid w:val="00EE3909"/>
    <w:rsid w:val="00EF4205"/>
    <w:rsid w:val="00EF4623"/>
    <w:rsid w:val="00EF5939"/>
    <w:rsid w:val="00F01714"/>
    <w:rsid w:val="00F0258F"/>
    <w:rsid w:val="00F02D06"/>
    <w:rsid w:val="00F06FDD"/>
    <w:rsid w:val="00F10819"/>
    <w:rsid w:val="00F16F35"/>
    <w:rsid w:val="00F2229D"/>
    <w:rsid w:val="00F25ABB"/>
    <w:rsid w:val="00F27963"/>
    <w:rsid w:val="00F30446"/>
    <w:rsid w:val="00F30C64"/>
    <w:rsid w:val="00F4135D"/>
    <w:rsid w:val="00F41F1B"/>
    <w:rsid w:val="00F46BD9"/>
    <w:rsid w:val="00F60BE0"/>
    <w:rsid w:val="00F6280E"/>
    <w:rsid w:val="00F7050A"/>
    <w:rsid w:val="00F75533"/>
    <w:rsid w:val="00F9022A"/>
    <w:rsid w:val="00FA3811"/>
    <w:rsid w:val="00FA3B9F"/>
    <w:rsid w:val="00FA3F06"/>
    <w:rsid w:val="00FA4A26"/>
    <w:rsid w:val="00FA7084"/>
    <w:rsid w:val="00FA7BEF"/>
    <w:rsid w:val="00FB1929"/>
    <w:rsid w:val="00FB5FD9"/>
    <w:rsid w:val="00FC1D56"/>
    <w:rsid w:val="00FD33AB"/>
    <w:rsid w:val="00FD4724"/>
    <w:rsid w:val="00FD4A68"/>
    <w:rsid w:val="00FD68ED"/>
    <w:rsid w:val="00FE2824"/>
    <w:rsid w:val="00FE661F"/>
    <w:rsid w:val="00FF0400"/>
    <w:rsid w:val="00FF3D6B"/>
    <w:rsid w:val="00FF61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09FB98-5346-49B4-85C7-2B8EC0AFB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jjohnson</cp:lastModifiedBy>
  <cp:revision>4</cp:revision>
  <cp:lastPrinted>2013-05-08T17:03:00Z</cp:lastPrinted>
  <dcterms:created xsi:type="dcterms:W3CDTF">2014-04-17T23:15:00Z</dcterms:created>
  <dcterms:modified xsi:type="dcterms:W3CDTF">2014-11-30T05:30:00Z</dcterms:modified>
</cp:coreProperties>
</file>