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5B7472"/>
          <w:sz w:val="28"/>
        </w:rPr>
        <w:t>技术与功能手册</w:t>
      </w: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1F3A36"/>
          <w:sz w:val="60"/>
        </w:rPr>
        <w:t>工厂本体</w:t>
      </w:r>
    </w:p>
    <w:p>
      <w:pPr>
        <w:jc w:val="center"/>
      </w:pPr>
      <w:r>
        <w:rPr>
          <w:rFonts w:ascii="微软雅黑" w:hAnsi="微软雅黑" w:eastAsia="微软雅黑"/>
          <w:b w:val="0"/>
          <w:color w:val="0D9488"/>
          <w:sz w:val="26"/>
        </w:rPr>
        <w:t>技术与功能手册 · 面向实施、运维与二次开发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产品名称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工厂本体（factory-ontology，Apache-2.0 开源；行业落地由三油科技提供）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v1.0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适用版本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系统 1.0.0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2026 年 10 月 28 日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公开 · 可随仓库分发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维护方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北京三油科技有限责任公司 · data3oil.com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开源许可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Apache-2.0（核心算法层）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b/>
                <w:color w:val="5B7472"/>
                <w:sz w:val="20"/>
              </w:rPr>
              <w:t>版权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b w:val="0"/>
                <w:color w:val="1F3A36"/>
                <w:sz w:val="20"/>
              </w:rPr>
              <w:t>© 2026 北京三油科技有限责任公司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一　系统构成（本机实测）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项</w:t>
            </w:r>
          </w:p>
        </w:tc>
        <w:tc>
          <w:tcPr>
            <w:tcW w:type="dxa" w:w="204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数量</w:t>
            </w:r>
          </w:p>
        </w:tc>
        <w:tc>
          <w:tcPr>
            <w:tcW w:type="dxa" w:w="510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文件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131 个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算法原子 + API + 脚本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行数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36,105 行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最大文件 api_server.py 3,227 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 路由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68 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FastAPI，单端口同时托管移动端页面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行业词典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47 份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 个已注册可交付行业，其余为实验/行业扩展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 个文件 / 1,810 行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pytest + 验收脚本 17 个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CI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 个 job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单测与基准 + 本体检查（零依赖 CLI）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二　算法分层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层</w:t>
            </w:r>
          </w:p>
        </w:tc>
        <w:tc>
          <w:tcPr>
            <w:tcW w:type="dxa" w:w="419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职责</w:t>
            </w:r>
          </w:p>
        </w:tc>
        <w:tc>
          <w:tcPr>
            <w:tcW w:type="dxa" w:w="3402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关键文件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数据接入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CSV/数据库读取、字段识别、缺值处理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data_loader.py、csv_to_owl.py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本体生成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多表转实体与关系，生成 OWL/NT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schema_ontology.py、multi_table_*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问法解析 → 结构化查询 → 结果组织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ontology_qa_v3.py、ask_service.py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检索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BM25 + 向量混合检索，GraphRAG 补充关系上下文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bm25_retrieval.py、benchmark_graphrag.py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 路由、鉴权、多知识库切换、页面托管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api_server.py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质量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本体检查、评测基线、图谱一致性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ontology_check.py、ontology_ieee_eval.py、benchmark*.py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三　部署与运行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项</w:t>
            </w:r>
          </w:p>
        </w:tc>
        <w:tc>
          <w:tcPr>
            <w:tcW w:type="dxa" w:w="7370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做法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运行环境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3.10+；依赖见 requirements.txt（核心仅 FastAPI/uvicorn 等少量包）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启动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cd codes &amp;&amp; python api_server.py → 默认 :8000；前端可选 :3001（start.sh / start.bat 一键起）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鉴权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 fail-closed：未配 FOOD_ADMIN_KEY / FOOD_READ_KEY 时需鉴权接口一律 401，不静默放行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知识库注册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codes/config/kbs.json（可交付行业）+ kbs.dev.json（测试/模板残留，不随交付发布）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本体产物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output/*.nt，由数据生成，不提交仓库；首次启动或建模时生成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离线部署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Dockerfile 与 docker-compose.yml 提供容器化路径；信创环境需按适配差距表逐项验证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四　数据与本体约定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主键优先：设备编号、批次号、物料编码这类字段决定实体能否合并；缺主键时先补主键再建模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关系来自外键与语义声明：跨表属性自动检测 + 行业词典里显式声明的语义关系（如批次→原料）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时间字段统一为 ISO 文本，避免同一天三种写法导致统计漏算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数值列空值与 0 区分：空值不参与统计并在答案里说明覆盖率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本体文件（.nt）是生成物：不入库、不手改，重建即覆盖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五　质量门与评测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60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工具</w:t>
            </w:r>
          </w:p>
        </w:tc>
        <w:tc>
          <w:tcPr>
            <w:tcW w:type="dxa" w:w="4309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作用</w:t>
            </w:r>
          </w:p>
        </w:tc>
        <w:tc>
          <w:tcPr>
            <w:tcW w:type="dxa" w:w="215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判据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ontology_check.py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本体体检：孤立实体、断链关系、字段全空、命名重复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--threshold 60 通过，纯标准库零依赖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pytest codes/tests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单测：数据加载、本体生成、规则问答、GraphRAG、API 契约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全绿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benchmark*.py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规则引擎与 GraphRAG 的对照评测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结论可复现，两次跑一致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scripts/verify_*.py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硬化、租户、词典闭环、问答信封等专项验收（17 个）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可跑的全跑；依赖环境的进 nightly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scripts/check_demo_assets.py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去演示化门：演示资产清单 + 默认配置未引用</w:t>
            </w:r>
          </w:p>
        </w:tc>
        <w:tc>
          <w:tcPr>
            <w:tcW w:type="dxa" w:w="215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PASS 才算可交付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六　许可、合规与再分发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许可：Apache-2.0（见 LICENSE）。再分发须保留 LICENSE、NOTICE 与版权声明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商标：三油科技名称、标识与官网内容不在授权范围；二次分发不得暗示官方背书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第三方组件：声明集中在 NOTICE；新增依赖须为可嵌入闭源商用的许可（MIT/Apache/BSD）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数据合规：仓库不含客户数据；演示数据单独标注且不随交付包发布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安全披露：发现问题走 SECURITY 流程或联系维护方，不在公开 issue 贴可利用细节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七　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项</w:t>
            </w:r>
          </w:p>
        </w:tc>
        <w:tc>
          <w:tcPr>
            <w:tcW w:type="dxa" w:w="7257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现状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单文件体积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api_server.py 3,227 行，按域拆分尚未完成（拆前先加行数封顶门）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静默吞异常 82 处，尚未冻结（建议先冻结数量再逐批改日志）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前后端对账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 68 条路由中有 38 条前端未调用，未纳入门禁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信创适配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 类组件逐项待验证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云端模型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默认关闭；开启需客户书面同意并留审计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七　REST API 主要端点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94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端点</w:t>
            </w:r>
          </w:p>
        </w:tc>
        <w:tc>
          <w:tcPr>
            <w:tcW w:type="dxa" w:w="36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作用</w:t>
            </w:r>
          </w:p>
        </w:tc>
        <w:tc>
          <w:tcPr>
            <w:tcW w:type="dxa" w:w="249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备注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/api/ask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自然语言问答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返回答案 + 证据 + 计算过程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/api/kbs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知识库列表与当前生效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多知识库切换的基础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/api/ontology/standard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本体标准视图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前端建模页用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 /api/ontology/build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触发重建本体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重建期间查询会返回忙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/api/admin/kbs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管理端知识库视图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需管理员 key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 /health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健康检查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部署探活用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0D9488"/>
                <w:sz w:val="20"/>
              </w:rPr>
              <w:t>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>鉴权默认 fail-closed：未配置 FOOD_ADMIN_KEY / FOOD_READ_KEY 时，需鉴权的接口一律 401，不静默放行。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八　部署检查清单（上线前逐条打勾）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Python 版本与依赖装齐；requirements.txt 与现场版本一致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FOOD_ADMIN_KEY / FOOD_READ_KEY 已设为随机长串，且不写进脚本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kbs.json 只含可交付行业；kbs.dev.json 未随包发布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output/*.nt 由本厂数据重建，未沿用他厂产物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本体检查通过（--threshold 60），报告已归档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关掉外网与云端模型后，问答与看板仍可用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备份策略已定：数据库/本体产物/词典三样一起备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 w:val="0"/>
          <w:sz w:val="21"/>
        </w:rPr>
        <w:t>现场 30 个高频问法已抽样，未命中清单已记录</w:t>
      </w: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九　备份、升级与回滚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动作</w:t>
            </w:r>
          </w:p>
        </w:tc>
        <w:tc>
          <w:tcPr>
            <w:tcW w:type="dxa" w:w="453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做法</w:t>
            </w:r>
          </w:p>
        </w:tc>
        <w:tc>
          <w:tcPr>
            <w:tcW w:type="dxa" w:w="3175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注意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备份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本体产物 + 词典 + 配置 + 原始 CSV 一起打包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只备份数据库会丢本体与词典，重建结果可能不一致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升级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替换代码后重建本体，跑一遍基准对照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重建前后答案应一致；差异要能解释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回滚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保留上一版本体产物与代码目录，回滚后立即复跑基准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回滚也算一次变更，要留记录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8" w:color="0D9488"/>
        </w:pBdr>
      </w:pPr>
      <w:r>
        <w:rPr>
          <w:rFonts w:ascii="微软雅黑" w:hAnsi="微软雅黑" w:eastAsia="微软雅黑"/>
          <w:b/>
          <w:color w:val="1F3A36"/>
          <w:sz w:val="34"/>
        </w:rPr>
        <w:t>十　性能与容量（参考）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494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规模</w:t>
            </w:r>
          </w:p>
        </w:tc>
        <w:tc>
          <w:tcPr>
            <w:tcW w:type="dxa" w:w="362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表现</w:t>
            </w:r>
          </w:p>
        </w:tc>
        <w:tc>
          <w:tcPr>
            <w:tcW w:type="dxa" w:w="2948"/>
            <w:shd w:fill="F0FDFA"/>
          </w:tcPr>
          <w:p>
            <w:r/>
            <w:r>
              <w:rPr>
                <w:rFonts w:ascii="微软雅黑" w:hAnsi="微软雅黑" w:eastAsia="微软雅黑"/>
                <w:b/>
                <w:color w:val="1F3A36"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十万行级台账（单表）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建模分钟级；问答毫秒到秒级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规则路径不依赖模型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百万行级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建模型小时级，需分表与索引优化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建议按年分表，本体只建当前年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并发 20–50 人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常规配置可支撑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看板与问答读多写少，注意重建期间降级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B7472"/>
        <w:sz w:val="17"/>
      </w:rPr>
      <w:t xml:space="preserve">工厂本体　|　第 </w:t>
    </w:r>
    <w:r>
      <w:rPr>
        <w:rFonts w:ascii="微软雅黑" w:hAnsi="微软雅黑" w:eastAsia="微软雅黑"/>
        <w:b w:val="0"/>
        <w:color w:val="5B7472"/>
        <w:sz w:val="17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B7472"/>
        <w:sz w:val="17"/>
      </w:rPr>
      <w:t xml:space="preserve"> 页 / 共 </w:t>
    </w:r>
    <w:r>
      <w:rPr>
        <w:rFonts w:ascii="微软雅黑" w:hAnsi="微软雅黑" w:eastAsia="微软雅黑"/>
        <w:b w:val="0"/>
        <w:color w:val="5B7472"/>
        <w:sz w:val="17"/>
      </w:rPr>
      <w:fldChar w:fldCharType="begin"/>
      <w:instrText xml:space="preserve">NUMPAGES</w:instrText>
      <w:fldChar w:fldCharType="end"/>
    </w:r>
    <w:r>
      <w:rPr>
        <w:rFonts w:ascii="微软雅黑" w:hAnsi="微软雅黑" w:eastAsia="微软雅黑"/>
        <w:b w:val="0"/>
        <w:color w:val="5B7472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