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5B7472"/>
          <w:sz w:val="28"/>
        </w:rPr>
        <w:t>操作与培训手册</w:t>
      </w:r>
    </w:p>
    <w:p>
      <w:pPr>
        <w:spacing w:before="200"/>
        <w:jc w:val="center"/>
      </w:pPr>
      <w:r>
        <w:rPr>
          <w:rFonts w:ascii="微软雅黑" w:hAnsi="微软雅黑" w:eastAsia="微软雅黑"/>
          <w:b/>
          <w:color w:val="1F3A36"/>
          <w:sz w:val="60"/>
        </w:rPr>
        <w:t>工厂本体</w:t>
      </w:r>
    </w:p>
    <w:p>
      <w:pPr>
        <w:jc w:val="center"/>
      </w:pPr>
      <w:r>
        <w:rPr>
          <w:rFonts w:ascii="微软雅黑" w:hAnsi="微软雅黑" w:eastAsia="微软雅黑"/>
          <w:b w:val="0"/>
          <w:color w:val="0D9488"/>
          <w:sz w:val="26"/>
        </w:rPr>
        <w:t>操作与培训手册 · 面向实施顾问与现场数据员</w:t>
      </w:r>
    </w:p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b/>
                <w:color w:val="5B7472"/>
                <w:sz w:val="20"/>
              </w:rPr>
              <w:t>产品名称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color w:val="1F3A36"/>
                <w:sz w:val="20"/>
              </w:rPr>
              <w:t>工厂本体（factory-ontology，Apache-2.0 开源；行业落地由三油科技提供）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b/>
                <w:color w:val="5B7472"/>
                <w:sz w:val="20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color w:val="1F3A36"/>
                <w:sz w:val="20"/>
              </w:rPr>
              <w:t>v1.0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b/>
                <w:color w:val="5B7472"/>
                <w:sz w:val="20"/>
              </w:rPr>
              <w:t>适用版本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color w:val="1F3A36"/>
                <w:sz w:val="20"/>
              </w:rPr>
              <w:t>系统 1.0.0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b/>
                <w:color w:val="5B7472"/>
                <w:sz w:val="20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color w:val="1F3A36"/>
                <w:sz w:val="20"/>
              </w:rPr>
              <w:t>2026 年 10 月 28 日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b/>
                <w:color w:val="5B7472"/>
                <w:sz w:val="20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color w:val="1F3A36"/>
                <w:sz w:val="20"/>
              </w:rPr>
              <w:t>公开 · 可随仓库分发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b/>
                <w:color w:val="5B7472"/>
                <w:sz w:val="20"/>
              </w:rPr>
              <w:t>维护方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color w:val="1F3A36"/>
                <w:sz w:val="20"/>
              </w:rPr>
              <w:t>北京三油科技有限责任公司 · data3oil.com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b/>
                <w:color w:val="5B7472"/>
                <w:sz w:val="20"/>
              </w:rPr>
              <w:t>开源许可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color w:val="1F3A36"/>
                <w:sz w:val="20"/>
              </w:rPr>
              <w:t>Apache-2.0（核心算法层）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b/>
                <w:color w:val="5B7472"/>
                <w:sz w:val="20"/>
              </w:rPr>
              <w:t>版权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color w:val="1F3A36"/>
                <w:sz w:val="20"/>
              </w:rPr>
              <w:t>© 2026 北京三油科技有限责任公司</w:t>
            </w:r>
          </w:p>
        </w:tc>
      </w:tr>
    </w:tbl>
    <w:p>
      <w:r>
        <w:br w:type="page"/>
      </w: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一　开箱：三个入口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381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入口</w:t>
            </w:r>
          </w:p>
        </w:tc>
        <w:tc>
          <w:tcPr>
            <w:tcW w:type="dxa" w:w="4195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地址</w:t>
            </w:r>
          </w:p>
        </w:tc>
        <w:tc>
          <w:tcPr>
            <w:tcW w:type="dxa" w:w="2494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给谁用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问答与看板（Web）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http://&lt;服务器&gt;:8000（或 start.sh 起的 :3001）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现场人员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移动端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手机浏览器打开同一地址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车间、仓库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命令行/语音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 voice_assistant.py "乳制品的数量"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值班与巡检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0D9488"/>
                <w:sz w:val="20"/>
              </w:rPr>
              <w:t>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>现场第一次演示，建议先跑“设备台账问答”这个场景：数据最容易凑齐，效果最直观。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二　第一步：把数据准备好</w:t>
      </w:r>
    </w:p>
    <w:p>
      <w:pPr>
        <w:ind w:firstLine="0"/>
      </w:pPr>
      <w:r>
        <w:rPr>
          <w:rFonts w:ascii="微软雅黑" w:hAnsi="微软雅黑" w:eastAsia="微软雅黑"/>
          <w:b w:val="0"/>
          <w:sz w:val="21"/>
        </w:rPr>
        <w:t>不需要完美数据，但三件事必须先清楚：主键是什么、时间字段怎么写、哪些列有业务含义。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587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准备项</w:t>
            </w:r>
          </w:p>
        </w:tc>
        <w:tc>
          <w:tcPr>
            <w:tcW w:type="dxa" w:w="3742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要求</w:t>
            </w:r>
          </w:p>
        </w:tc>
        <w:tc>
          <w:tcPr>
            <w:tcW w:type="dxa" w:w="3742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不这样会怎样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主键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设备编号/批次号等唯一值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同一台设备被当成三台，统计翻倍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时间字段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统一 ISO 格式（2026-10-28）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同一天三种写法，月度统计漏算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字段含义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中文列名或字段说明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模型识别不出“停机时长（分）”是分钟还是小时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空值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空着就是空着，不要填 0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把没记录当成 0，会把停机时间算没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三　第二步：建模</w:t>
      </w:r>
    </w:p>
    <w:p>
      <w:pPr>
        <w:pStyle w:val="ListNumber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登录后进「1 建本体 → 数据建模」，上传 CSV 或连接数据库</w:t>
      </w:r>
    </w:p>
    <w:p>
      <w:pPr>
        <w:pStyle w:val="ListNumber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系统自动识别表、字段与跨表关系，给出实体与关系图；这时先看主键对不对</w:t>
      </w:r>
    </w:p>
    <w:p>
      <w:pPr>
        <w:pStyle w:val="ListNumber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需要补充语义关系（如批次→原料）时进「校验本体」补声明，补完重建</w:t>
      </w:r>
    </w:p>
    <w:p>
      <w:pPr>
        <w:pStyle w:val="ListNumber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重建后进入「本体检查」：孤立实体、断链关系、字段全空会列出来，逐项处理到阈值通过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0D9488"/>
                <w:sz w:val="20"/>
              </w:rPr>
              <w:t>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>建模不是一次到位：先能用（主键正确、主要关系接上），再逐步补语义关系。追求一步到位的现场通常卡在数据本身。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四　第三步：用现场的话试问答</w:t>
      </w:r>
    </w:p>
    <w:p>
      <w:pPr>
        <w:ind w:firstLine="0"/>
      </w:pPr>
      <w:r>
        <w:rPr>
          <w:rFonts w:ascii="微软雅黑" w:hAnsi="微软雅黑" w:eastAsia="微软雅黑"/>
          <w:b w:val="0"/>
          <w:sz w:val="21"/>
        </w:rPr>
        <w:t>建模做完不要自己先验收，直接找现场的人用他们平时的话问 30 个问题。答错的两类原因要分开处理：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814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答错类型</w:t>
            </w:r>
          </w:p>
        </w:tc>
        <w:tc>
          <w:tcPr>
            <w:tcW w:type="dxa" w:w="3628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典型表现</w:t>
            </w:r>
          </w:p>
        </w:tc>
        <w:tc>
          <w:tcPr>
            <w:tcW w:type="dxa" w:w="3628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怎么改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没听懂问法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答“未命中”或答非所问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补词典同义词（停机=停机时长=故障时长）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数据里没有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答得对但数字对不上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回到数据源头补记录；系统不该编数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五　第四步：配看板、做交付</w:t>
      </w:r>
    </w:p>
    <w:p>
      <w:pPr>
        <w:pStyle w:val="ListNumber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看板按现场关心的三到五个指标配：能用率、停机时长、能耗、库存周转</w:t>
      </w:r>
    </w:p>
    <w:p>
      <w:pPr>
        <w:pStyle w:val="ListNumber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每个指标点进去要能看到明细行，不能只给一个数字</w:t>
      </w:r>
    </w:p>
    <w:p>
      <w:pPr>
        <w:pStyle w:val="ListNumber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交付包包含：本体文件、词典、配置、验收报告、数据字典</w:t>
      </w:r>
    </w:p>
    <w:p>
      <w:pPr>
        <w:pStyle w:val="ListNumber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交付时把「答不出」的清单一起交，那是下一版要补的活</w:t>
      </w: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六　培训安排（一天版）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时段</w:t>
            </w:r>
          </w:p>
        </w:tc>
        <w:tc>
          <w:tcPr>
            <w:tcW w:type="dxa" w:w="5329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内容</w:t>
            </w:r>
          </w:p>
        </w:tc>
        <w:tc>
          <w:tcPr>
            <w:tcW w:type="dxa" w:w="2041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形式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09:00–09:30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这套系统解决什么、和 BI/大模型的区别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讲解 + 现场问答演示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09:30–10:30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准备数据：主键/时间/空值三件事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拿本厂真实表练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10:30–11:30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建模与本体检查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跟着做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13:30–14:30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用现场的话试问答，记录答不对的 30 条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分组实战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14:30–15:30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补词典、重建、复测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实战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15:30–16:30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配看板、出交付包、定下一步补数清单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演示 + 讨论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七　排错对照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381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现象</w:t>
            </w:r>
          </w:p>
        </w:tc>
        <w:tc>
          <w:tcPr>
            <w:tcW w:type="dxa" w:w="3515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多半原因</w:t>
            </w:r>
          </w:p>
        </w:tc>
        <w:tc>
          <w:tcPr>
            <w:tcW w:type="dxa" w:w="3175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先这样处理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页面 401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没配 key 或 key 不对（默认 fail-closed）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确认 FOOD_ADMIN_KEY / FOOD_READ_KEY 环境变量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问设备数量答 0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主键重复或字段识别错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看本体检查的重复实体报告，先修主键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问“停机多久”答未命中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词典没有同义词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补同义词后重建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数字对不上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数据本身缺记录或单位不一致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核对原始行；系统只算不编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换机后答案变了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数据版本不同或本体未重建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带同一份数据重建，再跑基准对照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前端页面打不开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只起了 API 没起前端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 start.sh/start.bat 一键起，或单独起 :3001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八　使用边界与合规提示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系统给的是事实与计算过程，最终判断由现场负责人下达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导出与截图按公司内部资料管理；客户数据不得进入公开仓库或演示环境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二次分发包须保留 LICENSE 与 NOTICE；如需对外宣传，先与维护方确认表述</w:t>
      </w: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九　三条现场纪律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答不出就说答不出：系统宁可“未命中”，也不给一个像样的错数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数字改动只能来自数据：模型不许改数，改了必须能追到哪一行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验收用现场的问法：内部测试通过不代表现场能用</w:t>
      </w: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九　现场 30 问清单（示例，按场景替换）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474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场景</w:t>
            </w:r>
          </w:p>
        </w:tc>
        <w:tc>
          <w:tcPr>
            <w:tcW w:type="dxa" w:w="6463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问法示例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设备</w:t>
            </w:r>
          </w:p>
        </w:tc>
        <w:tc>
          <w:tcPr>
            <w:tcW w:type="dxa" w:w="646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一共有多少台设备？哪条线设备最多？哪些设备没维修记录？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维修</w:t>
            </w:r>
          </w:p>
        </w:tc>
        <w:tc>
          <w:tcPr>
            <w:tcW w:type="dxa" w:w="646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这个月停机多久？哪台设备修得最多？平均修复时间多少？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能耗</w:t>
            </w:r>
          </w:p>
        </w:tc>
        <w:tc>
          <w:tcPr>
            <w:tcW w:type="dxa" w:w="646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上月总用电多少？哪条线能耗最高？同比变化多少？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库存</w:t>
            </w:r>
          </w:p>
        </w:tc>
        <w:tc>
          <w:tcPr>
            <w:tcW w:type="dxa" w:w="646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某备件还剩多少？低于安全库存的有哪些？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溯源</w:t>
            </w:r>
          </w:p>
        </w:tc>
        <w:tc>
          <w:tcPr>
            <w:tcW w:type="dxa" w:w="646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这批产品用了哪些原料？原料来自哪个供应商？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十　数据补录流程（答不对时怎么回补）</w:t>
      </w:r>
    </w:p>
    <w:p>
      <w:pPr>
        <w:pStyle w:val="ListNumber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把答不对的问题记成清单：问题、期望答案、实际答案、原因分类（没听懂/没数据/口径不一致）</w:t>
      </w:r>
    </w:p>
    <w:p>
      <w:pPr>
        <w:pStyle w:val="ListNumber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没听懂 → 补词典同义词，重建后复测</w:t>
      </w:r>
    </w:p>
    <w:p>
      <w:pPr>
        <w:pStyle w:val="ListNumber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没数据 → 回业务系统补记录，不要用模型“补”</w:t>
      </w:r>
    </w:p>
    <w:p>
      <w:pPr>
        <w:pStyle w:val="ListNumber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口径不一致 → 在交付文档里定死口径，两个部门签字后再改配置</w:t>
      </w:r>
    </w:p>
    <w:p>
      <w:pPr>
        <w:pStyle w:val="ListNumber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复测通过后把该问法加入回归清单，下次升级必须仍能答对</w:t>
      </w: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十一　验收报告怎么写（一页纸模板）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474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段落</w:t>
            </w:r>
          </w:p>
        </w:tc>
        <w:tc>
          <w:tcPr>
            <w:tcW w:type="dxa" w:w="6463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写什么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范围</w:t>
            </w:r>
          </w:p>
        </w:tc>
        <w:tc>
          <w:tcPr>
            <w:tcW w:type="dxa" w:w="646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本次覆盖的数据表、时间范围、业务场景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口径</w:t>
            </w:r>
          </w:p>
        </w:tc>
        <w:tc>
          <w:tcPr>
            <w:tcW w:type="dxa" w:w="646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停机时长、可用率等指标的计算口径，逐条列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结果</w:t>
            </w:r>
          </w:p>
        </w:tc>
        <w:tc>
          <w:tcPr>
            <w:tcW w:type="dxa" w:w="646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30 个抽样问法的通过数、未命中清单、数据缺口清单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限制</w:t>
            </w:r>
          </w:p>
        </w:tc>
        <w:tc>
          <w:tcPr>
            <w:tcW w:type="dxa" w:w="646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明确写出系统答不了的问题类型，避免过度承诺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下一步</w:t>
            </w:r>
          </w:p>
        </w:tc>
        <w:tc>
          <w:tcPr>
            <w:tcW w:type="dxa" w:w="646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补数、补词典、扩场景的具体责任人与时间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十二　多知识库与权限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一个部署可挂多个知识库（不同车间/不同产品线），页面顶部切换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管理员 key 可建模与重建；只读 key 只能问答与看板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交付时给客户的账号只开只读，重建由实施方操作并留记录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B7472"/>
        <w:sz w:val="17"/>
      </w:rPr>
      <w:t xml:space="preserve">工厂本体　|　第 </w:t>
    </w:r>
    <w:r>
      <w:rPr>
        <w:rFonts w:ascii="微软雅黑" w:hAnsi="微软雅黑" w:eastAsia="微软雅黑"/>
        <w:b w:val="0"/>
        <w:color w:val="5B7472"/>
        <w:sz w:val="17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color w:val="5B7472"/>
        <w:sz w:val="17"/>
      </w:rPr>
      <w:t xml:space="preserve"> 页 / 共 </w:t>
    </w:r>
    <w:r>
      <w:rPr>
        <w:rFonts w:ascii="微软雅黑" w:hAnsi="微软雅黑" w:eastAsia="微软雅黑"/>
        <w:b w:val="0"/>
        <w:color w:val="5B7472"/>
        <w:sz w:val="17"/>
      </w:rPr>
      <w:fldChar w:fldCharType="begin"/>
      <w:instrText xml:space="preserve">NUMPAGES</w:instrText>
      <w:fldChar w:fldCharType="end"/>
    </w:r>
    <w:r>
      <w:rPr>
        <w:rFonts w:ascii="微软雅黑" w:hAnsi="微软雅黑" w:eastAsia="微软雅黑"/>
        <w:b w:val="0"/>
        <w:color w:val="5B7472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