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9.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24.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2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C47FD" w14:textId="77777777" w:rsidR="000B3C5C" w:rsidRDefault="00ED192D">
      <w:pPr>
        <w:spacing w:after="0" w:line="259" w:lineRule="auto"/>
        <w:ind w:left="2065" w:firstLine="0"/>
      </w:pPr>
      <w:r>
        <w:rPr>
          <w:rFonts w:ascii="Arial" w:eastAsia="Arial" w:hAnsi="Arial" w:cs="Arial"/>
          <w:sz w:val="28"/>
        </w:rPr>
        <w:t>NCT03637764</w:t>
      </w:r>
    </w:p>
    <w:p w14:paraId="70D2927E" w14:textId="77777777" w:rsidR="000B3C5C" w:rsidRDefault="00ED192D">
      <w:pPr>
        <w:spacing w:after="723" w:line="259" w:lineRule="auto"/>
        <w:ind w:left="7480" w:firstLine="0"/>
      </w:pPr>
      <w:r>
        <w:rPr>
          <w:noProof/>
        </w:rPr>
        <w:drawing>
          <wp:inline distT="0" distB="0" distL="0" distR="0" wp14:anchorId="3B795282" wp14:editId="385F07D7">
            <wp:extent cx="1264285" cy="66802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
                    <a:stretch>
                      <a:fillRect/>
                    </a:stretch>
                  </pic:blipFill>
                  <pic:spPr>
                    <a:xfrm>
                      <a:off x="0" y="0"/>
                      <a:ext cx="1264285" cy="668020"/>
                    </a:xfrm>
                    <a:prstGeom prst="rect">
                      <a:avLst/>
                    </a:prstGeom>
                  </pic:spPr>
                </pic:pic>
              </a:graphicData>
            </a:graphic>
          </wp:inline>
        </w:drawing>
      </w:r>
    </w:p>
    <w:p w14:paraId="594AE6F4" w14:textId="77777777" w:rsidR="000B3C5C" w:rsidRDefault="00ED192D">
      <w:pPr>
        <w:spacing w:after="377" w:line="259" w:lineRule="auto"/>
        <w:ind w:left="2" w:firstLine="0"/>
        <w:jc w:val="center"/>
      </w:pPr>
      <w:r>
        <w:rPr>
          <w:rFonts w:ascii="Arial" w:eastAsia="Arial" w:hAnsi="Arial" w:cs="Arial"/>
          <w:b/>
          <w:color w:val="0000FF"/>
          <w:sz w:val="28"/>
        </w:rPr>
        <w:t>AMENDED CLINICAL TRIAL PROTOCOL 05</w:t>
      </w:r>
      <w:r>
        <w:rPr>
          <w:rFonts w:ascii="Arial" w:eastAsia="Arial" w:hAnsi="Arial" w:cs="Arial"/>
          <w:b/>
          <w:sz w:val="28"/>
        </w:rPr>
        <w:t xml:space="preserve"> </w:t>
      </w:r>
    </w:p>
    <w:tbl>
      <w:tblPr>
        <w:tblStyle w:val="TableGrid"/>
        <w:tblW w:w="9486" w:type="dxa"/>
        <w:tblInd w:w="5" w:type="dxa"/>
        <w:tblCellMar>
          <w:top w:w="0" w:type="dxa"/>
          <w:left w:w="0" w:type="dxa"/>
          <w:bottom w:w="0" w:type="dxa"/>
          <w:right w:w="0" w:type="dxa"/>
        </w:tblCellMar>
        <w:tblLook w:val="04A0" w:firstRow="1" w:lastRow="0" w:firstColumn="1" w:lastColumn="0" w:noHBand="0" w:noVBand="1"/>
      </w:tblPr>
      <w:tblGrid>
        <w:gridCol w:w="3049"/>
        <w:gridCol w:w="6437"/>
      </w:tblGrid>
      <w:tr w:rsidR="000B3C5C" w14:paraId="771429E5" w14:textId="77777777">
        <w:trPr>
          <w:trHeight w:val="1415"/>
        </w:trPr>
        <w:tc>
          <w:tcPr>
            <w:tcW w:w="3049" w:type="dxa"/>
            <w:tcBorders>
              <w:top w:val="nil"/>
              <w:left w:val="nil"/>
              <w:bottom w:val="nil"/>
              <w:right w:val="nil"/>
            </w:tcBorders>
          </w:tcPr>
          <w:p w14:paraId="298B1029" w14:textId="77777777" w:rsidR="000B3C5C" w:rsidRDefault="00ED192D">
            <w:pPr>
              <w:spacing w:after="0" w:line="259" w:lineRule="auto"/>
              <w:ind w:left="0" w:firstLine="0"/>
            </w:pPr>
            <w:r>
              <w:rPr>
                <w:rFonts w:ascii="Arial" w:eastAsia="Arial" w:hAnsi="Arial" w:cs="Arial"/>
                <w:b/>
              </w:rPr>
              <w:t xml:space="preserve">Protocol title: </w:t>
            </w:r>
          </w:p>
        </w:tc>
        <w:tc>
          <w:tcPr>
            <w:tcW w:w="6438" w:type="dxa"/>
            <w:tcBorders>
              <w:top w:val="nil"/>
              <w:left w:val="nil"/>
              <w:bottom w:val="nil"/>
              <w:right w:val="nil"/>
            </w:tcBorders>
          </w:tcPr>
          <w:p w14:paraId="56F7AF7D" w14:textId="77777777" w:rsidR="000B3C5C" w:rsidRDefault="00ED192D">
            <w:pPr>
              <w:spacing w:after="0" w:line="259" w:lineRule="auto"/>
              <w:ind w:left="0" w:firstLine="0"/>
            </w:pPr>
            <w:r>
              <w:rPr>
                <w:rFonts w:ascii="Arial" w:eastAsia="Arial" w:hAnsi="Arial" w:cs="Arial"/>
                <w:b/>
              </w:rPr>
              <w:t>A Phase 1/2 open-label, multi-</w:t>
            </w:r>
            <w:r>
              <w:rPr>
                <w:rFonts w:ascii="Arial" w:eastAsia="Arial" w:hAnsi="Arial" w:cs="Arial"/>
                <w:b/>
              </w:rPr>
              <w:t xml:space="preserve">center, safety, preliminary efficacy and pharmacokinetic (PK) study of isatuximab (SAR650984) in combination with atezolizumab or isatuximab alone in patients with advanced malignancies </w:t>
            </w:r>
          </w:p>
        </w:tc>
      </w:tr>
      <w:tr w:rsidR="000B3C5C" w14:paraId="5E52E94F" w14:textId="77777777">
        <w:trPr>
          <w:trHeight w:val="396"/>
        </w:trPr>
        <w:tc>
          <w:tcPr>
            <w:tcW w:w="3049" w:type="dxa"/>
            <w:tcBorders>
              <w:top w:val="nil"/>
              <w:left w:val="nil"/>
              <w:bottom w:val="nil"/>
              <w:right w:val="nil"/>
            </w:tcBorders>
          </w:tcPr>
          <w:p w14:paraId="5B982E13" w14:textId="77777777" w:rsidR="000B3C5C" w:rsidRDefault="00ED192D">
            <w:pPr>
              <w:spacing w:after="0" w:line="259" w:lineRule="auto"/>
              <w:ind w:left="0" w:firstLine="0"/>
            </w:pPr>
            <w:r>
              <w:rPr>
                <w:rFonts w:ascii="Arial" w:eastAsia="Arial" w:hAnsi="Arial" w:cs="Arial"/>
                <w:b/>
              </w:rPr>
              <w:t xml:space="preserve">Protocol number: </w:t>
            </w:r>
          </w:p>
        </w:tc>
        <w:tc>
          <w:tcPr>
            <w:tcW w:w="6438" w:type="dxa"/>
            <w:tcBorders>
              <w:top w:val="nil"/>
              <w:left w:val="nil"/>
              <w:bottom w:val="nil"/>
              <w:right w:val="nil"/>
            </w:tcBorders>
          </w:tcPr>
          <w:p w14:paraId="782C80B7" w14:textId="77777777" w:rsidR="000B3C5C" w:rsidRDefault="00ED192D">
            <w:pPr>
              <w:spacing w:after="0" w:line="259" w:lineRule="auto"/>
              <w:ind w:left="0" w:firstLine="0"/>
            </w:pPr>
            <w:r>
              <w:rPr>
                <w:rFonts w:ascii="Arial" w:eastAsia="Arial" w:hAnsi="Arial" w:cs="Arial"/>
                <w:b/>
              </w:rPr>
              <w:t xml:space="preserve">ACT15377 </w:t>
            </w:r>
          </w:p>
        </w:tc>
      </w:tr>
      <w:tr w:rsidR="000B3C5C" w14:paraId="2A8779E5" w14:textId="77777777">
        <w:trPr>
          <w:trHeight w:val="396"/>
        </w:trPr>
        <w:tc>
          <w:tcPr>
            <w:tcW w:w="3049" w:type="dxa"/>
            <w:tcBorders>
              <w:top w:val="nil"/>
              <w:left w:val="nil"/>
              <w:bottom w:val="nil"/>
              <w:right w:val="nil"/>
            </w:tcBorders>
          </w:tcPr>
          <w:p w14:paraId="2DCD6D11" w14:textId="77777777" w:rsidR="000B3C5C" w:rsidRDefault="00ED192D">
            <w:pPr>
              <w:spacing w:after="0" w:line="259" w:lineRule="auto"/>
              <w:ind w:left="0" w:firstLine="0"/>
            </w:pPr>
            <w:r>
              <w:rPr>
                <w:rFonts w:ascii="Arial" w:eastAsia="Arial" w:hAnsi="Arial" w:cs="Arial"/>
                <w:b/>
              </w:rPr>
              <w:t xml:space="preserve">Amendment number: </w:t>
            </w:r>
          </w:p>
        </w:tc>
        <w:tc>
          <w:tcPr>
            <w:tcW w:w="6438" w:type="dxa"/>
            <w:tcBorders>
              <w:top w:val="nil"/>
              <w:left w:val="nil"/>
              <w:bottom w:val="nil"/>
              <w:right w:val="nil"/>
            </w:tcBorders>
          </w:tcPr>
          <w:p w14:paraId="3CDDF832" w14:textId="77777777" w:rsidR="000B3C5C" w:rsidRDefault="00ED192D">
            <w:pPr>
              <w:spacing w:after="0" w:line="259" w:lineRule="auto"/>
              <w:ind w:left="0" w:firstLine="0"/>
            </w:pPr>
            <w:r>
              <w:rPr>
                <w:rFonts w:ascii="Arial" w:eastAsia="Arial" w:hAnsi="Arial" w:cs="Arial"/>
                <w:b/>
              </w:rPr>
              <w:t xml:space="preserve">05 </w:t>
            </w:r>
          </w:p>
        </w:tc>
      </w:tr>
      <w:tr w:rsidR="000B3C5C" w14:paraId="0A7F8E63" w14:textId="77777777">
        <w:trPr>
          <w:trHeight w:val="672"/>
        </w:trPr>
        <w:tc>
          <w:tcPr>
            <w:tcW w:w="3049" w:type="dxa"/>
            <w:tcBorders>
              <w:top w:val="nil"/>
              <w:left w:val="nil"/>
              <w:bottom w:val="nil"/>
              <w:right w:val="nil"/>
            </w:tcBorders>
          </w:tcPr>
          <w:p w14:paraId="2A5C16F7" w14:textId="77777777" w:rsidR="000B3C5C" w:rsidRDefault="00ED192D">
            <w:pPr>
              <w:spacing w:after="0" w:line="259" w:lineRule="auto"/>
              <w:ind w:left="0" w:firstLine="0"/>
            </w:pPr>
            <w:r>
              <w:rPr>
                <w:rFonts w:ascii="Arial" w:eastAsia="Arial" w:hAnsi="Arial" w:cs="Arial"/>
                <w:b/>
              </w:rPr>
              <w:t xml:space="preserve">Compound number (Trademark/INN): </w:t>
            </w:r>
          </w:p>
        </w:tc>
        <w:tc>
          <w:tcPr>
            <w:tcW w:w="6438" w:type="dxa"/>
            <w:tcBorders>
              <w:top w:val="nil"/>
              <w:left w:val="nil"/>
              <w:bottom w:val="nil"/>
              <w:right w:val="nil"/>
            </w:tcBorders>
          </w:tcPr>
          <w:p w14:paraId="29E9D43A" w14:textId="77777777" w:rsidR="000B3C5C" w:rsidRDefault="00ED192D">
            <w:pPr>
              <w:spacing w:after="0" w:line="259" w:lineRule="auto"/>
              <w:ind w:left="0" w:firstLine="0"/>
            </w:pPr>
            <w:r>
              <w:rPr>
                <w:rFonts w:ascii="Arial" w:eastAsia="Arial" w:hAnsi="Arial" w:cs="Arial"/>
                <w:b/>
              </w:rPr>
              <w:t xml:space="preserve">SAR650984/ isatuximab </w:t>
            </w:r>
          </w:p>
        </w:tc>
      </w:tr>
      <w:tr w:rsidR="000B3C5C" w14:paraId="5145DCBB" w14:textId="77777777">
        <w:trPr>
          <w:trHeight w:val="863"/>
        </w:trPr>
        <w:tc>
          <w:tcPr>
            <w:tcW w:w="3049" w:type="dxa"/>
            <w:tcBorders>
              <w:top w:val="nil"/>
              <w:left w:val="nil"/>
              <w:bottom w:val="nil"/>
              <w:right w:val="nil"/>
            </w:tcBorders>
          </w:tcPr>
          <w:p w14:paraId="5A863338" w14:textId="77777777" w:rsidR="000B3C5C" w:rsidRDefault="00ED192D">
            <w:pPr>
              <w:spacing w:after="0" w:line="259" w:lineRule="auto"/>
              <w:ind w:left="0" w:firstLine="0"/>
            </w:pPr>
            <w:r>
              <w:rPr>
                <w:rFonts w:ascii="Arial" w:eastAsia="Arial" w:hAnsi="Arial" w:cs="Arial"/>
                <w:b/>
              </w:rPr>
              <w:t xml:space="preserve">Short title: </w:t>
            </w:r>
          </w:p>
        </w:tc>
        <w:tc>
          <w:tcPr>
            <w:tcW w:w="6438" w:type="dxa"/>
            <w:tcBorders>
              <w:top w:val="nil"/>
              <w:left w:val="nil"/>
              <w:bottom w:val="nil"/>
              <w:right w:val="nil"/>
            </w:tcBorders>
          </w:tcPr>
          <w:p w14:paraId="6967E194" w14:textId="77777777" w:rsidR="000B3C5C" w:rsidRDefault="00ED192D">
            <w:pPr>
              <w:spacing w:after="0" w:line="259" w:lineRule="auto"/>
              <w:ind w:left="0" w:firstLine="0"/>
            </w:pPr>
            <w:r>
              <w:rPr>
                <w:rFonts w:ascii="Arial" w:eastAsia="Arial" w:hAnsi="Arial" w:cs="Arial"/>
                <w:b/>
              </w:rPr>
              <w:t xml:space="preserve">Safety, preliminary efficacy and PK of isatuximab (SAR650984) alone or in combination with atezolizumab in patients with advanced malignancies </w:t>
            </w:r>
          </w:p>
        </w:tc>
      </w:tr>
    </w:tbl>
    <w:p w14:paraId="0031D657" w14:textId="77777777" w:rsidR="000B3C5C" w:rsidRDefault="00ED192D">
      <w:pPr>
        <w:spacing w:after="108" w:line="250" w:lineRule="auto"/>
        <w:ind w:left="0"/>
      </w:pPr>
      <w:r>
        <w:rPr>
          <w:rFonts w:ascii="Arial" w:eastAsia="Arial" w:hAnsi="Arial" w:cs="Arial"/>
          <w:b/>
        </w:rPr>
        <w:t xml:space="preserve">Sponsor name: </w:t>
      </w:r>
    </w:p>
    <w:p w14:paraId="12F88A5F" w14:textId="77777777" w:rsidR="000B3C5C" w:rsidRDefault="00ED192D">
      <w:pPr>
        <w:spacing w:after="1143" w:line="250" w:lineRule="auto"/>
        <w:ind w:left="0" w:right="6546"/>
      </w:pPr>
      <w:r>
        <w:rPr>
          <w:rFonts w:ascii="Arial" w:eastAsia="Arial" w:hAnsi="Arial" w:cs="Arial"/>
          <w:b/>
        </w:rPr>
        <w:t xml:space="preserve">Legal registered address: </w:t>
      </w:r>
    </w:p>
    <w:p w14:paraId="63E10BEB" w14:textId="77777777" w:rsidR="000B3C5C" w:rsidRDefault="00ED192D">
      <w:pPr>
        <w:spacing w:after="327" w:line="250" w:lineRule="auto"/>
        <w:ind w:left="0"/>
      </w:pPr>
      <w:r>
        <w:rPr>
          <w:rFonts w:ascii="Arial" w:eastAsia="Arial" w:hAnsi="Arial" w:cs="Arial"/>
          <w:b/>
        </w:rPr>
        <w:t>Regulatory agency identifying number(s):</w:t>
      </w:r>
      <w:r>
        <w:t xml:space="preserve"> </w:t>
      </w:r>
    </w:p>
    <w:tbl>
      <w:tblPr>
        <w:tblStyle w:val="TableGrid"/>
        <w:tblW w:w="4151" w:type="dxa"/>
        <w:tblInd w:w="5" w:type="dxa"/>
        <w:tblCellMar>
          <w:top w:w="0" w:type="dxa"/>
          <w:left w:w="0" w:type="dxa"/>
          <w:bottom w:w="0" w:type="dxa"/>
          <w:right w:w="0" w:type="dxa"/>
        </w:tblCellMar>
        <w:tblLook w:val="04A0" w:firstRow="1" w:lastRow="0" w:firstColumn="1" w:lastColumn="0" w:noHBand="0" w:noVBand="1"/>
      </w:tblPr>
      <w:tblGrid>
        <w:gridCol w:w="2482"/>
        <w:gridCol w:w="1669"/>
      </w:tblGrid>
      <w:tr w:rsidR="000B3C5C" w14:paraId="5D40659E" w14:textId="77777777">
        <w:trPr>
          <w:trHeight w:val="239"/>
        </w:trPr>
        <w:tc>
          <w:tcPr>
            <w:tcW w:w="2482" w:type="dxa"/>
            <w:tcBorders>
              <w:top w:val="nil"/>
              <w:left w:val="nil"/>
              <w:bottom w:val="nil"/>
              <w:right w:val="nil"/>
            </w:tcBorders>
          </w:tcPr>
          <w:p w14:paraId="4B93216D" w14:textId="77777777" w:rsidR="000B3C5C" w:rsidRDefault="00ED192D">
            <w:pPr>
              <w:spacing w:after="0" w:line="259" w:lineRule="auto"/>
              <w:ind w:left="0" w:firstLine="0"/>
            </w:pPr>
            <w:r>
              <w:rPr>
                <w:rFonts w:ascii="Arial" w:eastAsia="Arial" w:hAnsi="Arial" w:cs="Arial"/>
                <w:sz w:val="20"/>
              </w:rPr>
              <w:t xml:space="preserve">EudraCT number: </w:t>
            </w:r>
          </w:p>
        </w:tc>
        <w:tc>
          <w:tcPr>
            <w:tcW w:w="1669" w:type="dxa"/>
            <w:tcBorders>
              <w:top w:val="nil"/>
              <w:left w:val="nil"/>
              <w:bottom w:val="nil"/>
              <w:right w:val="nil"/>
            </w:tcBorders>
          </w:tcPr>
          <w:p w14:paraId="66762398" w14:textId="77777777" w:rsidR="000B3C5C" w:rsidRDefault="00ED192D">
            <w:pPr>
              <w:spacing w:after="0" w:line="259" w:lineRule="auto"/>
              <w:ind w:left="0" w:firstLine="0"/>
            </w:pPr>
            <w:r>
              <w:rPr>
                <w:rFonts w:ascii="Arial" w:eastAsia="Arial" w:hAnsi="Arial" w:cs="Arial"/>
                <w:sz w:val="20"/>
              </w:rPr>
              <w:t xml:space="preserve">2018-000390-67 </w:t>
            </w:r>
          </w:p>
        </w:tc>
      </w:tr>
      <w:tr w:rsidR="000B3C5C" w14:paraId="0A8C6099" w14:textId="77777777">
        <w:trPr>
          <w:trHeight w:val="290"/>
        </w:trPr>
        <w:tc>
          <w:tcPr>
            <w:tcW w:w="2482" w:type="dxa"/>
            <w:tcBorders>
              <w:top w:val="nil"/>
              <w:left w:val="nil"/>
              <w:bottom w:val="nil"/>
              <w:right w:val="nil"/>
            </w:tcBorders>
          </w:tcPr>
          <w:p w14:paraId="0A8751B7" w14:textId="77777777" w:rsidR="000B3C5C" w:rsidRDefault="00ED192D">
            <w:pPr>
              <w:spacing w:after="0" w:line="259" w:lineRule="auto"/>
              <w:ind w:left="0" w:firstLine="0"/>
            </w:pPr>
            <w:r>
              <w:rPr>
                <w:rFonts w:ascii="Arial" w:eastAsia="Arial" w:hAnsi="Arial" w:cs="Arial"/>
                <w:sz w:val="20"/>
              </w:rPr>
              <w:t xml:space="preserve">IND number: </w:t>
            </w:r>
          </w:p>
        </w:tc>
        <w:tc>
          <w:tcPr>
            <w:tcW w:w="1669" w:type="dxa"/>
            <w:tcBorders>
              <w:top w:val="nil"/>
              <w:left w:val="nil"/>
              <w:bottom w:val="nil"/>
              <w:right w:val="nil"/>
            </w:tcBorders>
          </w:tcPr>
          <w:p w14:paraId="0456A1DD" w14:textId="77777777" w:rsidR="000B3C5C" w:rsidRDefault="00ED192D">
            <w:pPr>
              <w:spacing w:after="0" w:line="259" w:lineRule="auto"/>
              <w:ind w:left="0" w:firstLine="0"/>
            </w:pPr>
            <w:r>
              <w:rPr>
                <w:rFonts w:ascii="Arial" w:eastAsia="Arial" w:hAnsi="Arial" w:cs="Arial"/>
                <w:sz w:val="20"/>
              </w:rPr>
              <w:t xml:space="preserve">138488 </w:t>
            </w:r>
          </w:p>
        </w:tc>
      </w:tr>
      <w:tr w:rsidR="000B3C5C" w14:paraId="481EADAB" w14:textId="77777777">
        <w:trPr>
          <w:trHeight w:val="239"/>
        </w:trPr>
        <w:tc>
          <w:tcPr>
            <w:tcW w:w="2482" w:type="dxa"/>
            <w:tcBorders>
              <w:top w:val="nil"/>
              <w:left w:val="nil"/>
              <w:bottom w:val="nil"/>
              <w:right w:val="nil"/>
            </w:tcBorders>
          </w:tcPr>
          <w:p w14:paraId="466281BB" w14:textId="77777777" w:rsidR="000B3C5C" w:rsidRDefault="00ED192D">
            <w:pPr>
              <w:spacing w:after="0" w:line="259" w:lineRule="auto"/>
              <w:ind w:left="0" w:firstLine="0"/>
            </w:pPr>
            <w:r>
              <w:rPr>
                <w:rFonts w:ascii="Arial" w:eastAsia="Arial" w:hAnsi="Arial" w:cs="Arial"/>
                <w:sz w:val="20"/>
              </w:rPr>
              <w:t xml:space="preserve">UTN number: </w:t>
            </w:r>
          </w:p>
        </w:tc>
        <w:tc>
          <w:tcPr>
            <w:tcW w:w="1669" w:type="dxa"/>
            <w:tcBorders>
              <w:top w:val="nil"/>
              <w:left w:val="nil"/>
              <w:bottom w:val="nil"/>
              <w:right w:val="nil"/>
            </w:tcBorders>
          </w:tcPr>
          <w:p w14:paraId="4C17CCF5" w14:textId="77777777" w:rsidR="000B3C5C" w:rsidRDefault="00ED192D">
            <w:pPr>
              <w:spacing w:after="0" w:line="259" w:lineRule="auto"/>
              <w:ind w:left="0" w:firstLine="0"/>
              <w:jc w:val="both"/>
            </w:pPr>
            <w:r>
              <w:rPr>
                <w:rFonts w:ascii="Arial" w:eastAsia="Arial" w:hAnsi="Arial" w:cs="Arial"/>
                <w:sz w:val="20"/>
              </w:rPr>
              <w:t xml:space="preserve">U1111-1202-0839 </w:t>
            </w:r>
          </w:p>
        </w:tc>
      </w:tr>
    </w:tbl>
    <w:p w14:paraId="5BF94AB7" w14:textId="77777777" w:rsidR="000B3C5C" w:rsidRDefault="00ED192D">
      <w:pPr>
        <w:spacing w:after="162" w:line="259" w:lineRule="auto"/>
        <w:ind w:left="-67" w:right="-69" w:firstLine="0"/>
      </w:pPr>
      <w:r>
        <w:rPr>
          <w:rFonts w:ascii="Calibri" w:eastAsia="Calibri" w:hAnsi="Calibri" w:cs="Calibri"/>
          <w:noProof/>
          <w:sz w:val="22"/>
        </w:rPr>
        <mc:AlternateContent>
          <mc:Choice Requires="wpg">
            <w:drawing>
              <wp:inline distT="0" distB="0" distL="0" distR="0" wp14:anchorId="30BC88F1" wp14:editId="4BDE441E">
                <wp:extent cx="6101791" cy="9144"/>
                <wp:effectExtent l="0" t="0" r="0" b="0"/>
                <wp:docPr id="238779" name="Group 238779"/>
                <wp:cNvGraphicFramePr/>
                <a:graphic xmlns:a="http://schemas.openxmlformats.org/drawingml/2006/main">
                  <a:graphicData uri="http://schemas.microsoft.com/office/word/2010/wordprocessingGroup">
                    <wpg:wgp>
                      <wpg:cNvGrpSpPr/>
                      <wpg:grpSpPr>
                        <a:xfrm>
                          <a:off x="0" y="0"/>
                          <a:ext cx="6101791" cy="9144"/>
                          <a:chOff x="0" y="0"/>
                          <a:chExt cx="6101791" cy="9144"/>
                        </a:xfrm>
                      </wpg:grpSpPr>
                      <wps:wsp>
                        <wps:cNvPr id="315686" name="Shape 315686"/>
                        <wps:cNvSpPr/>
                        <wps:spPr>
                          <a:xfrm>
                            <a:off x="0" y="0"/>
                            <a:ext cx="1576070" cy="9144"/>
                          </a:xfrm>
                          <a:custGeom>
                            <a:avLst/>
                            <a:gdLst/>
                            <a:ahLst/>
                            <a:cxnLst/>
                            <a:rect l="0" t="0" r="0" b="0"/>
                            <a:pathLst>
                              <a:path w="1576070" h="9144">
                                <a:moveTo>
                                  <a:pt x="0" y="0"/>
                                </a:moveTo>
                                <a:lnTo>
                                  <a:pt x="1576070" y="0"/>
                                </a:lnTo>
                                <a:lnTo>
                                  <a:pt x="15760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87" name="Shape 315687"/>
                        <wps:cNvSpPr/>
                        <wps:spPr>
                          <a:xfrm>
                            <a:off x="15761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88" name="Shape 315688"/>
                        <wps:cNvSpPr/>
                        <wps:spPr>
                          <a:xfrm>
                            <a:off x="1585290" y="0"/>
                            <a:ext cx="2512187" cy="9144"/>
                          </a:xfrm>
                          <a:custGeom>
                            <a:avLst/>
                            <a:gdLst/>
                            <a:ahLst/>
                            <a:cxnLst/>
                            <a:rect l="0" t="0" r="0" b="0"/>
                            <a:pathLst>
                              <a:path w="2512187" h="9144">
                                <a:moveTo>
                                  <a:pt x="0" y="0"/>
                                </a:moveTo>
                                <a:lnTo>
                                  <a:pt x="2512187" y="0"/>
                                </a:lnTo>
                                <a:lnTo>
                                  <a:pt x="251218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89" name="Shape 315689"/>
                        <wps:cNvSpPr/>
                        <wps:spPr>
                          <a:xfrm>
                            <a:off x="40974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90" name="Shape 315690"/>
                        <wps:cNvSpPr/>
                        <wps:spPr>
                          <a:xfrm>
                            <a:off x="4106622" y="0"/>
                            <a:ext cx="1429766" cy="9144"/>
                          </a:xfrm>
                          <a:custGeom>
                            <a:avLst/>
                            <a:gdLst/>
                            <a:ahLst/>
                            <a:cxnLst/>
                            <a:rect l="0" t="0" r="0" b="0"/>
                            <a:pathLst>
                              <a:path w="1429766" h="9144">
                                <a:moveTo>
                                  <a:pt x="0" y="0"/>
                                </a:moveTo>
                                <a:lnTo>
                                  <a:pt x="1429766" y="0"/>
                                </a:lnTo>
                                <a:lnTo>
                                  <a:pt x="14297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91" name="Shape 315691"/>
                        <wps:cNvSpPr/>
                        <wps:spPr>
                          <a:xfrm>
                            <a:off x="55363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92" name="Shape 315692"/>
                        <wps:cNvSpPr/>
                        <wps:spPr>
                          <a:xfrm>
                            <a:off x="5545532" y="0"/>
                            <a:ext cx="556260" cy="9144"/>
                          </a:xfrm>
                          <a:custGeom>
                            <a:avLst/>
                            <a:gdLst/>
                            <a:ahLst/>
                            <a:cxnLst/>
                            <a:rect l="0" t="0" r="0" b="0"/>
                            <a:pathLst>
                              <a:path w="556260" h="9144">
                                <a:moveTo>
                                  <a:pt x="0" y="0"/>
                                </a:moveTo>
                                <a:lnTo>
                                  <a:pt x="556260" y="0"/>
                                </a:lnTo>
                                <a:lnTo>
                                  <a:pt x="556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779" style="width:480.456pt;height:0.719971pt;mso-position-horizontal-relative:char;mso-position-vertical-relative:line" coordsize="61017,91">
                <v:shape id="Shape 315693" style="position:absolute;width:15760;height:91;left:0;top:0;" coordsize="1576070,9144" path="m0,0l1576070,0l1576070,9144l0,9144l0,0">
                  <v:stroke weight="0pt" endcap="flat" joinstyle="miter" miterlimit="10" on="false" color="#000000" opacity="0"/>
                  <v:fill on="true" color="#000000"/>
                </v:shape>
                <v:shape id="Shape 315694" style="position:absolute;width:91;height:91;left:15761;top:0;" coordsize="9144,9144" path="m0,0l9144,0l9144,9144l0,9144l0,0">
                  <v:stroke weight="0pt" endcap="flat" joinstyle="miter" miterlimit="10" on="false" color="#000000" opacity="0"/>
                  <v:fill on="true" color="#000000"/>
                </v:shape>
                <v:shape id="Shape 315695" style="position:absolute;width:25121;height:91;left:15852;top:0;" coordsize="2512187,9144" path="m0,0l2512187,0l2512187,9144l0,9144l0,0">
                  <v:stroke weight="0pt" endcap="flat" joinstyle="miter" miterlimit="10" on="false" color="#000000" opacity="0"/>
                  <v:fill on="true" color="#000000"/>
                </v:shape>
                <v:shape id="Shape 315696" style="position:absolute;width:91;height:91;left:40974;top:0;" coordsize="9144,9144" path="m0,0l9144,0l9144,9144l0,9144l0,0">
                  <v:stroke weight="0pt" endcap="flat" joinstyle="miter" miterlimit="10" on="false" color="#000000" opacity="0"/>
                  <v:fill on="true" color="#000000"/>
                </v:shape>
                <v:shape id="Shape 315697" style="position:absolute;width:14297;height:91;left:41066;top:0;" coordsize="1429766,9144" path="m0,0l1429766,0l1429766,9144l0,9144l0,0">
                  <v:stroke weight="0pt" endcap="flat" joinstyle="miter" miterlimit="10" on="false" color="#000000" opacity="0"/>
                  <v:fill on="true" color="#000000"/>
                </v:shape>
                <v:shape id="Shape 315698" style="position:absolute;width:91;height:91;left:55363;top:0;" coordsize="9144,9144" path="m0,0l9144,0l9144,9144l0,9144l0,0">
                  <v:stroke weight="0pt" endcap="flat" joinstyle="miter" miterlimit="10" on="false" color="#000000" opacity="0"/>
                  <v:fill on="true" color="#000000"/>
                </v:shape>
                <v:shape id="Shape 315699" style="position:absolute;width:5562;height:91;left:55455;top:0;" coordsize="556260,9144" path="m0,0l556260,0l556260,9144l0,9144l0,0">
                  <v:stroke weight="0pt" endcap="flat" joinstyle="miter" miterlimit="10" on="false" color="#000000" opacity="0"/>
                  <v:fill on="true" color="#000000"/>
                </v:shape>
              </v:group>
            </w:pict>
          </mc:Fallback>
        </mc:AlternateContent>
      </w:r>
    </w:p>
    <w:p w14:paraId="05B44745" w14:textId="77777777" w:rsidR="000B3C5C" w:rsidRDefault="00ED192D">
      <w:pPr>
        <w:tabs>
          <w:tab w:val="center" w:pos="3336"/>
          <w:tab w:val="center" w:pos="7756"/>
        </w:tabs>
        <w:spacing w:after="1242" w:line="259" w:lineRule="auto"/>
        <w:ind w:left="0" w:firstLine="0"/>
      </w:pPr>
      <w:r>
        <w:rPr>
          <w:rFonts w:ascii="Arial" w:eastAsia="Arial" w:hAnsi="Arial" w:cs="Arial"/>
          <w:sz w:val="20"/>
        </w:rPr>
        <w:t xml:space="preserve">Approval Date: </w:t>
      </w:r>
      <w:r>
        <w:rPr>
          <w:rFonts w:ascii="Arial" w:eastAsia="Arial" w:hAnsi="Arial" w:cs="Arial"/>
          <w:sz w:val="20"/>
        </w:rPr>
        <w:tab/>
        <w:t xml:space="preserve">23 November 2020 </w:t>
      </w:r>
      <w:r>
        <w:rPr>
          <w:rFonts w:ascii="Arial" w:eastAsia="Arial" w:hAnsi="Arial" w:cs="Arial"/>
          <w:sz w:val="20"/>
        </w:rPr>
        <w:tab/>
        <w:t xml:space="preserve">Total number of pages: 151 </w:t>
      </w:r>
    </w:p>
    <w:p w14:paraId="701ECE0C" w14:textId="77777777" w:rsidR="000B3C5C" w:rsidRDefault="00ED192D">
      <w:pPr>
        <w:spacing w:after="0" w:line="239" w:lineRule="auto"/>
        <w:ind w:left="17" w:right="7"/>
        <w:jc w:val="center"/>
      </w:pPr>
      <w:r>
        <w:rPr>
          <w:rFonts w:ascii="Arial" w:eastAsia="Arial" w:hAnsi="Arial" w:cs="Arial"/>
          <w:sz w:val="18"/>
        </w:rPr>
        <w:t xml:space="preserve">Any and all information presented in this document shall be treated as confidential and shall remain the exclusive property of Sanofi (or any of its affiliated companies). The use of such confidential information must be restricted to the recipient for the agreed purpose and must not be </w:t>
      </w:r>
    </w:p>
    <w:p w14:paraId="68D39419" w14:textId="77777777" w:rsidR="000B3C5C" w:rsidRDefault="00ED192D">
      <w:pPr>
        <w:spacing w:after="12"/>
        <w:ind w:left="108" w:right="2"/>
      </w:pPr>
      <w:r>
        <w:rPr>
          <w:rFonts w:ascii="Arial" w:eastAsia="Arial" w:hAnsi="Arial" w:cs="Arial"/>
          <w:sz w:val="18"/>
        </w:rPr>
        <w:t xml:space="preserve">disclosed, published or otherwise communicated to any unauthorized persons, for any reason, in any form whatsoever without the prior written </w:t>
      </w:r>
    </w:p>
    <w:p w14:paraId="17E578F2" w14:textId="77777777" w:rsidR="000B3C5C" w:rsidRDefault="00ED192D">
      <w:pPr>
        <w:spacing w:after="240" w:line="239" w:lineRule="auto"/>
        <w:ind w:left="17" w:right="-5"/>
        <w:jc w:val="center"/>
      </w:pPr>
      <w:r>
        <w:rPr>
          <w:rFonts w:ascii="Arial" w:eastAsia="Arial" w:hAnsi="Arial" w:cs="Arial"/>
          <w:sz w:val="18"/>
        </w:rPr>
        <w:t xml:space="preserve">consent of Sanofi (or the concerned affiliated company); ‘affiliated company’ means any corporation, partnership or other entity which at the date of communication or afterwards (i) controls directly or indirectly Sanofi, (ii) is directly or indirectly controlled by Sanofi, with ‘control’ meaning direct or indirect ownership of more than 50% of the capital stock or the voting rights in such corporation, partnership or other entity </w:t>
      </w:r>
    </w:p>
    <w:p w14:paraId="595DAB0A" w14:textId="77777777" w:rsidR="000B3C5C" w:rsidRDefault="00ED192D">
      <w:pPr>
        <w:spacing w:after="0" w:line="259" w:lineRule="auto"/>
        <w:ind w:left="2" w:firstLine="0"/>
      </w:pPr>
      <w:r>
        <w:rPr>
          <w:rFonts w:ascii="Arial" w:eastAsia="Arial" w:hAnsi="Arial" w:cs="Arial"/>
          <w:sz w:val="18"/>
        </w:rPr>
        <w:lastRenderedPageBreak/>
        <w:t xml:space="preserve">According to template: Version Sanofi dated 12-OCT-2017 based on TransCelerate CPT version 4 </w:t>
      </w:r>
    </w:p>
    <w:p w14:paraId="79777147" w14:textId="77777777" w:rsidR="000B3C5C" w:rsidRDefault="00ED192D">
      <w:pPr>
        <w:tabs>
          <w:tab w:val="center" w:pos="4328"/>
        </w:tabs>
        <w:spacing w:after="229" w:line="250" w:lineRule="auto"/>
        <w:ind w:left="-10" w:firstLine="0"/>
      </w:pPr>
      <w:r>
        <w:rPr>
          <w:rFonts w:ascii="Arial" w:eastAsia="Arial" w:hAnsi="Arial" w:cs="Arial"/>
          <w:b/>
        </w:rPr>
        <w:t xml:space="preserve">Sponsor signatory: </w:t>
      </w:r>
      <w:r>
        <w:rPr>
          <w:rFonts w:ascii="Arial" w:eastAsia="Arial" w:hAnsi="Arial" w:cs="Arial"/>
          <w:b/>
        </w:rPr>
        <w:tab/>
        <w:t xml:space="preserve"> </w:t>
      </w:r>
    </w:p>
    <w:p w14:paraId="7641980B" w14:textId="77777777" w:rsidR="000B3C5C" w:rsidRDefault="00ED192D">
      <w:pPr>
        <w:spacing w:after="0" w:line="259" w:lineRule="auto"/>
        <w:ind w:left="2" w:firstLine="0"/>
      </w:pPr>
      <w:r>
        <w:t xml:space="preserve"> </w:t>
      </w:r>
    </w:p>
    <w:p w14:paraId="4D72C360" w14:textId="77777777" w:rsidR="000B3C5C" w:rsidRDefault="00ED192D">
      <w:pPr>
        <w:spacing w:after="162" w:line="259" w:lineRule="auto"/>
        <w:ind w:left="-106" w:right="-110" w:firstLine="0"/>
      </w:pPr>
      <w:r>
        <w:rPr>
          <w:rFonts w:ascii="Calibri" w:eastAsia="Calibri" w:hAnsi="Calibri" w:cs="Calibri"/>
          <w:noProof/>
          <w:sz w:val="22"/>
        </w:rPr>
        <mc:AlternateContent>
          <mc:Choice Requires="wpg">
            <w:drawing>
              <wp:inline distT="0" distB="0" distL="0" distR="0" wp14:anchorId="28E80014" wp14:editId="6757B630">
                <wp:extent cx="6152083" cy="6096"/>
                <wp:effectExtent l="0" t="0" r="0" b="0"/>
                <wp:docPr id="238697" name="Group 238697"/>
                <wp:cNvGraphicFramePr/>
                <a:graphic xmlns:a="http://schemas.openxmlformats.org/drawingml/2006/main">
                  <a:graphicData uri="http://schemas.microsoft.com/office/word/2010/wordprocessingGroup">
                    <wpg:wgp>
                      <wpg:cNvGrpSpPr/>
                      <wpg:grpSpPr>
                        <a:xfrm>
                          <a:off x="0" y="0"/>
                          <a:ext cx="6152083" cy="6096"/>
                          <a:chOff x="0" y="0"/>
                          <a:chExt cx="6152083" cy="6096"/>
                        </a:xfrm>
                      </wpg:grpSpPr>
                      <wps:wsp>
                        <wps:cNvPr id="315700" name="Shape 315700"/>
                        <wps:cNvSpPr/>
                        <wps:spPr>
                          <a:xfrm>
                            <a:off x="0" y="0"/>
                            <a:ext cx="3879469" cy="9144"/>
                          </a:xfrm>
                          <a:custGeom>
                            <a:avLst/>
                            <a:gdLst/>
                            <a:ahLst/>
                            <a:cxnLst/>
                            <a:rect l="0" t="0" r="0" b="0"/>
                            <a:pathLst>
                              <a:path w="3879469" h="9144">
                                <a:moveTo>
                                  <a:pt x="0" y="0"/>
                                </a:moveTo>
                                <a:lnTo>
                                  <a:pt x="3879469" y="0"/>
                                </a:lnTo>
                                <a:lnTo>
                                  <a:pt x="38794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01" name="Shape 315701"/>
                        <wps:cNvSpPr/>
                        <wps:spPr>
                          <a:xfrm>
                            <a:off x="4085285" y="0"/>
                            <a:ext cx="2066798" cy="9144"/>
                          </a:xfrm>
                          <a:custGeom>
                            <a:avLst/>
                            <a:gdLst/>
                            <a:ahLst/>
                            <a:cxnLst/>
                            <a:rect l="0" t="0" r="0" b="0"/>
                            <a:pathLst>
                              <a:path w="2066798" h="9144">
                                <a:moveTo>
                                  <a:pt x="0" y="0"/>
                                </a:moveTo>
                                <a:lnTo>
                                  <a:pt x="2066798" y="0"/>
                                </a:lnTo>
                                <a:lnTo>
                                  <a:pt x="20667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697" style="width:484.416pt;height:0.47998pt;mso-position-horizontal-relative:char;mso-position-vertical-relative:line" coordsize="61520,60">
                <v:shape id="Shape 315702" style="position:absolute;width:38794;height:91;left:0;top:0;" coordsize="3879469,9144" path="m0,0l3879469,0l3879469,9144l0,9144l0,0">
                  <v:stroke weight="0pt" endcap="flat" joinstyle="miter" miterlimit="10" on="false" color="#000000" opacity="0"/>
                  <v:fill on="true" color="#000000"/>
                </v:shape>
                <v:shape id="Shape 315703" style="position:absolute;width:20667;height:91;left:40852;top:0;" coordsize="2066798,9144" path="m0,0l2066798,0l2066798,9144l0,9144l0,0">
                  <v:stroke weight="0pt" endcap="flat" joinstyle="miter" miterlimit="10" on="false" color="#000000" opacity="0"/>
                  <v:fill on="true" color="#000000"/>
                </v:shape>
              </v:group>
            </w:pict>
          </mc:Fallback>
        </mc:AlternateContent>
      </w:r>
    </w:p>
    <w:p w14:paraId="46BE0A93" w14:textId="77777777" w:rsidR="000B3C5C" w:rsidRDefault="00ED192D">
      <w:pPr>
        <w:spacing w:after="0" w:line="259" w:lineRule="auto"/>
        <w:ind w:left="2" w:firstLine="0"/>
      </w:pP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 </w:t>
      </w:r>
    </w:p>
    <w:p w14:paraId="03A874EF" w14:textId="77777777" w:rsidR="000B3C5C" w:rsidRDefault="00ED192D">
      <w:pPr>
        <w:spacing w:after="216" w:line="259" w:lineRule="auto"/>
        <w:ind w:left="2811" w:firstLine="0"/>
        <w:jc w:val="center"/>
      </w:pPr>
      <w:r>
        <w:t xml:space="preserve"> </w:t>
      </w:r>
    </w:p>
    <w:p w14:paraId="709AABE5" w14:textId="77777777" w:rsidR="000B3C5C" w:rsidRDefault="00ED192D">
      <w:pPr>
        <w:ind w:left="-3" w:right="14"/>
      </w:pPr>
      <w:r>
        <w:t xml:space="preserve">Please refer to the last page of this document for electronic signatures including date and time </w:t>
      </w:r>
    </w:p>
    <w:p w14:paraId="78C15D6F" w14:textId="77777777" w:rsidR="000B3C5C" w:rsidRDefault="00ED192D">
      <w:pPr>
        <w:spacing w:after="218" w:line="259" w:lineRule="auto"/>
        <w:ind w:left="0" w:right="750" w:firstLine="0"/>
        <w:jc w:val="center"/>
      </w:pPr>
      <w:r>
        <w:rPr>
          <w:rFonts w:ascii="Arial" w:eastAsia="Arial" w:hAnsi="Arial" w:cs="Arial"/>
          <w:b/>
        </w:rPr>
        <w:t xml:space="preserve"> </w:t>
      </w:r>
    </w:p>
    <w:p w14:paraId="2D2A6516" w14:textId="77777777" w:rsidR="000B3C5C" w:rsidRDefault="00ED192D">
      <w:pPr>
        <w:spacing w:after="0" w:line="259" w:lineRule="auto"/>
        <w:ind w:left="0" w:right="750" w:firstLine="0"/>
        <w:jc w:val="center"/>
      </w:pPr>
      <w:r>
        <w:rPr>
          <w:rFonts w:ascii="Arial" w:eastAsia="Arial" w:hAnsi="Arial" w:cs="Arial"/>
          <w:b/>
        </w:rPr>
        <w:t xml:space="preserve"> </w:t>
      </w:r>
    </w:p>
    <w:p w14:paraId="4E74B6E9" w14:textId="77777777" w:rsidR="000B3C5C" w:rsidRDefault="00ED192D">
      <w:pPr>
        <w:spacing w:after="0" w:line="250" w:lineRule="auto"/>
        <w:ind w:left="0" w:right="4835"/>
      </w:pPr>
      <w:r>
        <w:rPr>
          <w:rFonts w:ascii="Arial" w:eastAsia="Arial" w:hAnsi="Arial" w:cs="Arial"/>
          <w:b/>
        </w:rPr>
        <w:t xml:space="preserve">Monitoring Team’s Representative Name and Contact Information: </w:t>
      </w:r>
    </w:p>
    <w:p w14:paraId="6E99F224" w14:textId="77777777" w:rsidR="000B3C5C" w:rsidRDefault="00ED192D">
      <w:pPr>
        <w:spacing w:after="216" w:line="259" w:lineRule="auto"/>
        <w:ind w:left="0" w:right="750" w:firstLine="0"/>
        <w:jc w:val="center"/>
      </w:pPr>
      <w:r>
        <w:rPr>
          <w:rFonts w:ascii="Arial" w:eastAsia="Arial" w:hAnsi="Arial" w:cs="Arial"/>
          <w:b/>
        </w:rPr>
        <w:t xml:space="preserve"> </w:t>
      </w:r>
    </w:p>
    <w:p w14:paraId="22EB45B1" w14:textId="77777777" w:rsidR="000B3C5C" w:rsidRDefault="00ED192D">
      <w:pPr>
        <w:spacing w:after="199" w:line="259" w:lineRule="auto"/>
        <w:ind w:left="0" w:right="756" w:firstLine="0"/>
        <w:jc w:val="center"/>
      </w:pPr>
      <w:r>
        <w:t xml:space="preserve"> </w:t>
      </w:r>
    </w:p>
    <w:p w14:paraId="36DD5F75" w14:textId="77777777" w:rsidR="000B3C5C" w:rsidRDefault="00ED192D">
      <w:pPr>
        <w:spacing w:after="0" w:line="259" w:lineRule="auto"/>
        <w:ind w:left="2" w:firstLine="0"/>
      </w:pPr>
      <w:r>
        <w:rPr>
          <w:rFonts w:ascii="Arial" w:eastAsia="Arial" w:hAnsi="Arial" w:cs="Arial"/>
          <w:b/>
          <w:sz w:val="22"/>
        </w:rPr>
        <w:t xml:space="preserve"> </w:t>
      </w:r>
      <w:r>
        <w:br w:type="page"/>
      </w:r>
    </w:p>
    <w:p w14:paraId="65A3E245" w14:textId="77777777" w:rsidR="000B3C5C" w:rsidRDefault="00ED192D">
      <w:pPr>
        <w:spacing w:after="451" w:line="327" w:lineRule="auto"/>
        <w:ind w:left="13"/>
        <w:jc w:val="center"/>
      </w:pPr>
      <w:r>
        <w:rPr>
          <w:rFonts w:ascii="Arial" w:eastAsia="Arial" w:hAnsi="Arial" w:cs="Arial"/>
          <w:b/>
          <w:sz w:val="22"/>
        </w:rPr>
        <w:lastRenderedPageBreak/>
        <w:t xml:space="preserve">PROTOCOL AMENDMENT SUMMARY OF CHANGES TABLE  </w:t>
      </w:r>
    </w:p>
    <w:p w14:paraId="5B2C57F1" w14:textId="77777777" w:rsidR="000B3C5C" w:rsidRDefault="00ED192D">
      <w:pPr>
        <w:pStyle w:val="Heading1"/>
        <w:spacing w:after="0"/>
        <w:ind w:left="-3"/>
      </w:pPr>
      <w:r>
        <w:t xml:space="preserve">DOCUMENT HISTORY </w:t>
      </w:r>
    </w:p>
    <w:p w14:paraId="4F36A173" w14:textId="77777777" w:rsidR="000B3C5C" w:rsidRDefault="00ED192D">
      <w:pPr>
        <w:spacing w:after="0" w:line="259" w:lineRule="auto"/>
        <w:ind w:left="2" w:firstLine="0"/>
      </w:pPr>
      <w:r>
        <w:t xml:space="preserve"> </w:t>
      </w:r>
    </w:p>
    <w:tbl>
      <w:tblPr>
        <w:tblStyle w:val="TableGrid"/>
        <w:tblW w:w="9703" w:type="dxa"/>
        <w:tblInd w:w="-120" w:type="dxa"/>
        <w:tblCellMar>
          <w:top w:w="107" w:type="dxa"/>
          <w:left w:w="0" w:type="dxa"/>
          <w:bottom w:w="6" w:type="dxa"/>
          <w:right w:w="115" w:type="dxa"/>
        </w:tblCellMar>
        <w:tblLook w:val="04A0" w:firstRow="1" w:lastRow="0" w:firstColumn="1" w:lastColumn="0" w:noHBand="0" w:noVBand="1"/>
      </w:tblPr>
      <w:tblGrid>
        <w:gridCol w:w="2927"/>
        <w:gridCol w:w="3668"/>
        <w:gridCol w:w="3108"/>
      </w:tblGrid>
      <w:tr w:rsidR="000B3C5C" w14:paraId="53912781" w14:textId="77777777">
        <w:trPr>
          <w:trHeight w:val="590"/>
        </w:trPr>
        <w:tc>
          <w:tcPr>
            <w:tcW w:w="2926" w:type="dxa"/>
            <w:tcBorders>
              <w:top w:val="single" w:sz="4" w:space="0" w:color="000000"/>
              <w:left w:val="nil"/>
              <w:bottom w:val="single" w:sz="4" w:space="0" w:color="000000"/>
              <w:right w:val="nil"/>
            </w:tcBorders>
          </w:tcPr>
          <w:p w14:paraId="7DDC9E01" w14:textId="77777777" w:rsidR="000B3C5C" w:rsidRDefault="00ED192D">
            <w:pPr>
              <w:spacing w:after="0" w:line="259" w:lineRule="auto"/>
              <w:ind w:left="122" w:firstLine="0"/>
            </w:pPr>
            <w:r>
              <w:rPr>
                <w:rFonts w:ascii="Arial" w:eastAsia="Arial" w:hAnsi="Arial" w:cs="Arial"/>
                <w:b/>
                <w:sz w:val="20"/>
              </w:rPr>
              <w:t xml:space="preserve">Document </w:t>
            </w:r>
          </w:p>
        </w:tc>
        <w:tc>
          <w:tcPr>
            <w:tcW w:w="3668" w:type="dxa"/>
            <w:tcBorders>
              <w:top w:val="single" w:sz="4" w:space="0" w:color="000000"/>
              <w:left w:val="nil"/>
              <w:bottom w:val="single" w:sz="4" w:space="0" w:color="000000"/>
              <w:right w:val="nil"/>
            </w:tcBorders>
          </w:tcPr>
          <w:p w14:paraId="13A6756A" w14:textId="77777777" w:rsidR="000B3C5C" w:rsidRDefault="00ED192D">
            <w:pPr>
              <w:spacing w:after="0" w:line="259" w:lineRule="auto"/>
              <w:ind w:left="0" w:firstLine="0"/>
            </w:pPr>
            <w:r>
              <w:rPr>
                <w:rFonts w:ascii="Arial" w:eastAsia="Arial" w:hAnsi="Arial" w:cs="Arial"/>
                <w:b/>
                <w:sz w:val="20"/>
              </w:rPr>
              <w:t xml:space="preserve">Country/countries impacted by amendment </w:t>
            </w:r>
          </w:p>
        </w:tc>
        <w:tc>
          <w:tcPr>
            <w:tcW w:w="3108" w:type="dxa"/>
            <w:tcBorders>
              <w:top w:val="single" w:sz="4" w:space="0" w:color="000000"/>
              <w:left w:val="nil"/>
              <w:bottom w:val="single" w:sz="4" w:space="0" w:color="000000"/>
              <w:right w:val="nil"/>
            </w:tcBorders>
          </w:tcPr>
          <w:p w14:paraId="73F3304E" w14:textId="77777777" w:rsidR="000B3C5C" w:rsidRDefault="00ED192D">
            <w:pPr>
              <w:spacing w:after="0" w:line="259" w:lineRule="auto"/>
              <w:ind w:left="0" w:firstLine="0"/>
            </w:pPr>
            <w:r>
              <w:rPr>
                <w:rFonts w:ascii="Arial" w:eastAsia="Arial" w:hAnsi="Arial" w:cs="Arial"/>
                <w:b/>
                <w:sz w:val="20"/>
              </w:rPr>
              <w:t xml:space="preserve">Date, Version </w:t>
            </w:r>
          </w:p>
        </w:tc>
      </w:tr>
      <w:tr w:rsidR="000B3C5C" w14:paraId="4701335C" w14:textId="77777777">
        <w:trPr>
          <w:trHeight w:val="847"/>
        </w:trPr>
        <w:tc>
          <w:tcPr>
            <w:tcW w:w="2926" w:type="dxa"/>
            <w:tcBorders>
              <w:top w:val="single" w:sz="4" w:space="0" w:color="000000"/>
              <w:left w:val="nil"/>
              <w:bottom w:val="nil"/>
              <w:right w:val="nil"/>
            </w:tcBorders>
            <w:vAlign w:val="center"/>
          </w:tcPr>
          <w:p w14:paraId="02A573C8" w14:textId="77777777" w:rsidR="000B3C5C" w:rsidRDefault="00ED192D">
            <w:pPr>
              <w:spacing w:after="0" w:line="259" w:lineRule="auto"/>
              <w:ind w:left="122" w:firstLine="0"/>
            </w:pPr>
            <w:r>
              <w:rPr>
                <w:rFonts w:ascii="Arial" w:eastAsia="Arial" w:hAnsi="Arial" w:cs="Arial"/>
                <w:sz w:val="20"/>
              </w:rPr>
              <w:t xml:space="preserve">Amended Protocol 04 </w:t>
            </w:r>
          </w:p>
        </w:tc>
        <w:tc>
          <w:tcPr>
            <w:tcW w:w="3668" w:type="dxa"/>
            <w:tcBorders>
              <w:top w:val="single" w:sz="4" w:space="0" w:color="000000"/>
              <w:left w:val="nil"/>
              <w:bottom w:val="nil"/>
              <w:right w:val="nil"/>
            </w:tcBorders>
            <w:vAlign w:val="center"/>
          </w:tcPr>
          <w:p w14:paraId="2057730F" w14:textId="77777777" w:rsidR="000B3C5C" w:rsidRDefault="00ED192D">
            <w:pPr>
              <w:spacing w:after="0" w:line="259" w:lineRule="auto"/>
              <w:ind w:left="0" w:firstLine="0"/>
            </w:pPr>
            <w:r>
              <w:rPr>
                <w:rFonts w:ascii="Arial" w:eastAsia="Arial" w:hAnsi="Arial" w:cs="Arial"/>
                <w:sz w:val="20"/>
              </w:rPr>
              <w:t xml:space="preserve">All </w:t>
            </w:r>
          </w:p>
        </w:tc>
        <w:tc>
          <w:tcPr>
            <w:tcW w:w="3108" w:type="dxa"/>
            <w:tcBorders>
              <w:top w:val="single" w:sz="4" w:space="0" w:color="000000"/>
              <w:left w:val="nil"/>
              <w:bottom w:val="nil"/>
              <w:right w:val="nil"/>
            </w:tcBorders>
            <w:vAlign w:val="bottom"/>
          </w:tcPr>
          <w:p w14:paraId="55E5D127" w14:textId="77777777" w:rsidR="000B3C5C" w:rsidRDefault="00ED192D">
            <w:pPr>
              <w:spacing w:after="0" w:line="259" w:lineRule="auto"/>
              <w:ind w:left="0" w:firstLine="0"/>
            </w:pPr>
            <w:r>
              <w:rPr>
                <w:rFonts w:ascii="Arial" w:eastAsia="Arial" w:hAnsi="Arial" w:cs="Arial"/>
                <w:sz w:val="20"/>
              </w:rPr>
              <w:t xml:space="preserve">11-Jun-2019, Version 1 </w:t>
            </w:r>
          </w:p>
          <w:p w14:paraId="6C95B9AE" w14:textId="77777777" w:rsidR="000B3C5C" w:rsidRDefault="00ED192D">
            <w:pPr>
              <w:spacing w:after="0" w:line="259" w:lineRule="auto"/>
              <w:ind w:left="0" w:firstLine="0"/>
            </w:pPr>
            <w:r>
              <w:rPr>
                <w:rFonts w:ascii="Arial" w:eastAsia="Arial" w:hAnsi="Arial" w:cs="Arial"/>
                <w:sz w:val="20"/>
              </w:rPr>
              <w:t xml:space="preserve">(electronic 4.0) </w:t>
            </w:r>
          </w:p>
        </w:tc>
      </w:tr>
      <w:tr w:rsidR="000B3C5C" w14:paraId="3486666E" w14:textId="77777777">
        <w:trPr>
          <w:trHeight w:val="700"/>
        </w:trPr>
        <w:tc>
          <w:tcPr>
            <w:tcW w:w="2926" w:type="dxa"/>
            <w:tcBorders>
              <w:top w:val="nil"/>
              <w:left w:val="nil"/>
              <w:bottom w:val="nil"/>
              <w:right w:val="nil"/>
            </w:tcBorders>
          </w:tcPr>
          <w:p w14:paraId="141C2086" w14:textId="77777777" w:rsidR="000B3C5C" w:rsidRDefault="00ED192D">
            <w:pPr>
              <w:spacing w:after="0" w:line="259" w:lineRule="auto"/>
              <w:ind w:left="122" w:firstLine="0"/>
            </w:pPr>
            <w:r>
              <w:rPr>
                <w:rFonts w:ascii="Arial" w:eastAsia="Arial" w:hAnsi="Arial" w:cs="Arial"/>
                <w:sz w:val="20"/>
              </w:rPr>
              <w:t xml:space="preserve">Amended Protocol 03 </w:t>
            </w:r>
          </w:p>
        </w:tc>
        <w:tc>
          <w:tcPr>
            <w:tcW w:w="3668" w:type="dxa"/>
            <w:tcBorders>
              <w:top w:val="nil"/>
              <w:left w:val="nil"/>
              <w:bottom w:val="nil"/>
              <w:right w:val="nil"/>
            </w:tcBorders>
          </w:tcPr>
          <w:p w14:paraId="16186ED4" w14:textId="77777777" w:rsidR="000B3C5C" w:rsidRDefault="00ED192D">
            <w:pPr>
              <w:spacing w:after="0" w:line="259" w:lineRule="auto"/>
              <w:ind w:left="0" w:firstLine="0"/>
            </w:pPr>
            <w:r>
              <w:rPr>
                <w:rFonts w:ascii="Arial" w:eastAsia="Arial" w:hAnsi="Arial" w:cs="Arial"/>
                <w:sz w:val="20"/>
              </w:rPr>
              <w:t xml:space="preserve">All </w:t>
            </w:r>
          </w:p>
        </w:tc>
        <w:tc>
          <w:tcPr>
            <w:tcW w:w="3108" w:type="dxa"/>
            <w:tcBorders>
              <w:top w:val="nil"/>
              <w:left w:val="nil"/>
              <w:bottom w:val="nil"/>
              <w:right w:val="nil"/>
            </w:tcBorders>
            <w:vAlign w:val="center"/>
          </w:tcPr>
          <w:p w14:paraId="42606CB1" w14:textId="77777777" w:rsidR="000B3C5C" w:rsidRDefault="00ED192D">
            <w:pPr>
              <w:spacing w:after="0" w:line="259" w:lineRule="auto"/>
              <w:ind w:left="0" w:firstLine="0"/>
            </w:pPr>
            <w:r>
              <w:rPr>
                <w:rFonts w:ascii="Arial" w:eastAsia="Arial" w:hAnsi="Arial" w:cs="Arial"/>
                <w:sz w:val="20"/>
              </w:rPr>
              <w:t>07-Dec-</w:t>
            </w:r>
            <w:r>
              <w:rPr>
                <w:rFonts w:ascii="Arial" w:eastAsia="Arial" w:hAnsi="Arial" w:cs="Arial"/>
                <w:sz w:val="20"/>
              </w:rPr>
              <w:t xml:space="preserve">2018, Version number: 1 </w:t>
            </w:r>
          </w:p>
          <w:p w14:paraId="0836AC8E" w14:textId="77777777" w:rsidR="000B3C5C" w:rsidRDefault="00ED192D">
            <w:pPr>
              <w:spacing w:after="0" w:line="259" w:lineRule="auto"/>
              <w:ind w:left="0" w:firstLine="0"/>
            </w:pPr>
            <w:r>
              <w:rPr>
                <w:rFonts w:ascii="Arial" w:eastAsia="Arial" w:hAnsi="Arial" w:cs="Arial"/>
                <w:sz w:val="20"/>
              </w:rPr>
              <w:t xml:space="preserve">(electronic 3.0) </w:t>
            </w:r>
          </w:p>
        </w:tc>
      </w:tr>
      <w:tr w:rsidR="000B3C5C" w14:paraId="7179E9A9" w14:textId="77777777">
        <w:trPr>
          <w:trHeight w:val="700"/>
        </w:trPr>
        <w:tc>
          <w:tcPr>
            <w:tcW w:w="2926" w:type="dxa"/>
            <w:tcBorders>
              <w:top w:val="nil"/>
              <w:left w:val="nil"/>
              <w:bottom w:val="nil"/>
              <w:right w:val="nil"/>
            </w:tcBorders>
          </w:tcPr>
          <w:p w14:paraId="23144F32" w14:textId="77777777" w:rsidR="000B3C5C" w:rsidRDefault="00ED192D">
            <w:pPr>
              <w:spacing w:after="0" w:line="259" w:lineRule="auto"/>
              <w:ind w:left="122" w:firstLine="0"/>
            </w:pPr>
            <w:r>
              <w:rPr>
                <w:rFonts w:ascii="Arial" w:eastAsia="Arial" w:hAnsi="Arial" w:cs="Arial"/>
                <w:sz w:val="20"/>
              </w:rPr>
              <w:t xml:space="preserve">Amended Protocol 02 </w:t>
            </w:r>
          </w:p>
        </w:tc>
        <w:tc>
          <w:tcPr>
            <w:tcW w:w="3668" w:type="dxa"/>
            <w:tcBorders>
              <w:top w:val="nil"/>
              <w:left w:val="nil"/>
              <w:bottom w:val="nil"/>
              <w:right w:val="nil"/>
            </w:tcBorders>
          </w:tcPr>
          <w:p w14:paraId="5D2F04B5" w14:textId="77777777" w:rsidR="000B3C5C" w:rsidRDefault="00ED192D">
            <w:pPr>
              <w:spacing w:after="0" w:line="259" w:lineRule="auto"/>
              <w:ind w:left="0" w:firstLine="0"/>
            </w:pPr>
            <w:r>
              <w:rPr>
                <w:rFonts w:ascii="Arial" w:eastAsia="Arial" w:hAnsi="Arial" w:cs="Arial"/>
                <w:sz w:val="20"/>
              </w:rPr>
              <w:t xml:space="preserve">All </w:t>
            </w:r>
          </w:p>
        </w:tc>
        <w:tc>
          <w:tcPr>
            <w:tcW w:w="3108" w:type="dxa"/>
            <w:tcBorders>
              <w:top w:val="nil"/>
              <w:left w:val="nil"/>
              <w:bottom w:val="nil"/>
              <w:right w:val="nil"/>
            </w:tcBorders>
            <w:vAlign w:val="center"/>
          </w:tcPr>
          <w:p w14:paraId="6FD481E5" w14:textId="77777777" w:rsidR="000B3C5C" w:rsidRDefault="00ED192D">
            <w:pPr>
              <w:spacing w:after="0" w:line="259" w:lineRule="auto"/>
              <w:ind w:left="0" w:firstLine="0"/>
            </w:pPr>
            <w:r>
              <w:rPr>
                <w:rFonts w:ascii="Arial" w:eastAsia="Arial" w:hAnsi="Arial" w:cs="Arial"/>
                <w:sz w:val="20"/>
              </w:rPr>
              <w:t xml:space="preserve">09-Aug-2018, Version number: 1 </w:t>
            </w:r>
          </w:p>
          <w:p w14:paraId="46882ED8" w14:textId="77777777" w:rsidR="000B3C5C" w:rsidRDefault="00ED192D">
            <w:pPr>
              <w:spacing w:after="0" w:line="259" w:lineRule="auto"/>
              <w:ind w:left="0" w:firstLine="0"/>
            </w:pPr>
            <w:r>
              <w:rPr>
                <w:rFonts w:ascii="Arial" w:eastAsia="Arial" w:hAnsi="Arial" w:cs="Arial"/>
                <w:sz w:val="20"/>
              </w:rPr>
              <w:t xml:space="preserve">(electronic 2.0) </w:t>
            </w:r>
          </w:p>
        </w:tc>
      </w:tr>
      <w:tr w:rsidR="000B3C5C" w14:paraId="6473CDD5" w14:textId="77777777">
        <w:trPr>
          <w:trHeight w:val="701"/>
        </w:trPr>
        <w:tc>
          <w:tcPr>
            <w:tcW w:w="2926" w:type="dxa"/>
            <w:tcBorders>
              <w:top w:val="nil"/>
              <w:left w:val="nil"/>
              <w:bottom w:val="nil"/>
              <w:right w:val="nil"/>
            </w:tcBorders>
          </w:tcPr>
          <w:p w14:paraId="6D05E663" w14:textId="77777777" w:rsidR="000B3C5C" w:rsidRDefault="00ED192D">
            <w:pPr>
              <w:spacing w:after="0" w:line="259" w:lineRule="auto"/>
              <w:ind w:left="122" w:firstLine="0"/>
            </w:pPr>
            <w:r>
              <w:rPr>
                <w:rFonts w:ascii="Arial" w:eastAsia="Arial" w:hAnsi="Arial" w:cs="Arial"/>
                <w:sz w:val="20"/>
              </w:rPr>
              <w:t xml:space="preserve">Amended Protocol 01 </w:t>
            </w:r>
          </w:p>
        </w:tc>
        <w:tc>
          <w:tcPr>
            <w:tcW w:w="3668" w:type="dxa"/>
            <w:tcBorders>
              <w:top w:val="nil"/>
              <w:left w:val="nil"/>
              <w:bottom w:val="nil"/>
              <w:right w:val="nil"/>
            </w:tcBorders>
          </w:tcPr>
          <w:p w14:paraId="166456AF" w14:textId="77777777" w:rsidR="000B3C5C" w:rsidRDefault="00ED192D">
            <w:pPr>
              <w:spacing w:after="0" w:line="259" w:lineRule="auto"/>
              <w:ind w:left="0" w:firstLine="0"/>
            </w:pPr>
            <w:r>
              <w:rPr>
                <w:rFonts w:ascii="Arial" w:eastAsia="Arial" w:hAnsi="Arial" w:cs="Arial"/>
                <w:sz w:val="20"/>
              </w:rPr>
              <w:t xml:space="preserve">All </w:t>
            </w:r>
          </w:p>
        </w:tc>
        <w:tc>
          <w:tcPr>
            <w:tcW w:w="3108" w:type="dxa"/>
            <w:tcBorders>
              <w:top w:val="nil"/>
              <w:left w:val="nil"/>
              <w:bottom w:val="nil"/>
              <w:right w:val="nil"/>
            </w:tcBorders>
            <w:vAlign w:val="center"/>
          </w:tcPr>
          <w:p w14:paraId="225E2EA6" w14:textId="77777777" w:rsidR="000B3C5C" w:rsidRDefault="00ED192D">
            <w:pPr>
              <w:spacing w:after="0" w:line="259" w:lineRule="auto"/>
              <w:ind w:left="0" w:firstLine="0"/>
            </w:pPr>
            <w:r>
              <w:rPr>
                <w:rFonts w:ascii="Arial" w:eastAsia="Arial" w:hAnsi="Arial" w:cs="Arial"/>
                <w:sz w:val="20"/>
              </w:rPr>
              <w:t xml:space="preserve">06-Apr-2018, Version number: 1 </w:t>
            </w:r>
          </w:p>
          <w:p w14:paraId="12305D31" w14:textId="77777777" w:rsidR="000B3C5C" w:rsidRDefault="00ED192D">
            <w:pPr>
              <w:spacing w:after="0" w:line="259" w:lineRule="auto"/>
              <w:ind w:left="0" w:firstLine="0"/>
            </w:pPr>
            <w:r>
              <w:rPr>
                <w:rFonts w:ascii="Arial" w:eastAsia="Arial" w:hAnsi="Arial" w:cs="Arial"/>
                <w:sz w:val="20"/>
              </w:rPr>
              <w:t xml:space="preserve">(electronic 1.0) </w:t>
            </w:r>
          </w:p>
        </w:tc>
      </w:tr>
      <w:tr w:rsidR="000B3C5C" w14:paraId="696324DB" w14:textId="77777777">
        <w:trPr>
          <w:trHeight w:val="565"/>
        </w:trPr>
        <w:tc>
          <w:tcPr>
            <w:tcW w:w="2926" w:type="dxa"/>
            <w:tcBorders>
              <w:top w:val="nil"/>
              <w:left w:val="nil"/>
              <w:bottom w:val="single" w:sz="4" w:space="0" w:color="000000"/>
              <w:right w:val="nil"/>
            </w:tcBorders>
            <w:vAlign w:val="center"/>
          </w:tcPr>
          <w:p w14:paraId="49AC4496" w14:textId="77777777" w:rsidR="000B3C5C" w:rsidRDefault="00ED192D">
            <w:pPr>
              <w:spacing w:after="0" w:line="259" w:lineRule="auto"/>
              <w:ind w:left="122" w:firstLine="0"/>
            </w:pPr>
            <w:r>
              <w:rPr>
                <w:rFonts w:ascii="Arial" w:eastAsia="Arial" w:hAnsi="Arial" w:cs="Arial"/>
                <w:sz w:val="20"/>
              </w:rPr>
              <w:t xml:space="preserve">Original Protocol </w:t>
            </w:r>
          </w:p>
        </w:tc>
        <w:tc>
          <w:tcPr>
            <w:tcW w:w="3668" w:type="dxa"/>
            <w:tcBorders>
              <w:top w:val="nil"/>
              <w:left w:val="nil"/>
              <w:bottom w:val="single" w:sz="4" w:space="0" w:color="000000"/>
              <w:right w:val="nil"/>
            </w:tcBorders>
            <w:vAlign w:val="center"/>
          </w:tcPr>
          <w:p w14:paraId="70D01105" w14:textId="77777777" w:rsidR="000B3C5C" w:rsidRDefault="00ED192D">
            <w:pPr>
              <w:spacing w:after="0" w:line="259" w:lineRule="auto"/>
              <w:ind w:left="0" w:firstLine="0"/>
            </w:pPr>
            <w:r>
              <w:rPr>
                <w:rFonts w:ascii="Arial" w:eastAsia="Arial" w:hAnsi="Arial" w:cs="Arial"/>
                <w:sz w:val="20"/>
              </w:rPr>
              <w:t xml:space="preserve"> </w:t>
            </w:r>
          </w:p>
        </w:tc>
        <w:tc>
          <w:tcPr>
            <w:tcW w:w="3108" w:type="dxa"/>
            <w:tcBorders>
              <w:top w:val="nil"/>
              <w:left w:val="nil"/>
              <w:bottom w:val="single" w:sz="4" w:space="0" w:color="000000"/>
              <w:right w:val="nil"/>
            </w:tcBorders>
            <w:vAlign w:val="bottom"/>
          </w:tcPr>
          <w:p w14:paraId="7929E78C" w14:textId="77777777" w:rsidR="000B3C5C" w:rsidRDefault="00ED192D">
            <w:pPr>
              <w:spacing w:after="0" w:line="259" w:lineRule="auto"/>
              <w:ind w:left="0" w:firstLine="0"/>
            </w:pPr>
            <w:r>
              <w:rPr>
                <w:rFonts w:ascii="Arial" w:eastAsia="Arial" w:hAnsi="Arial" w:cs="Arial"/>
                <w:sz w:val="20"/>
              </w:rPr>
              <w:t xml:space="preserve">16-Feb-2018, </w:t>
            </w:r>
            <w:r>
              <w:rPr>
                <w:rFonts w:ascii="Arial" w:eastAsia="Arial" w:hAnsi="Arial" w:cs="Arial"/>
                <w:sz w:val="20"/>
              </w:rPr>
              <w:t xml:space="preserve">Version number: 1 </w:t>
            </w:r>
          </w:p>
          <w:p w14:paraId="57A4D3EE" w14:textId="77777777" w:rsidR="000B3C5C" w:rsidRDefault="00ED192D">
            <w:pPr>
              <w:spacing w:after="0" w:line="259" w:lineRule="auto"/>
              <w:ind w:left="0" w:firstLine="0"/>
            </w:pPr>
            <w:r>
              <w:rPr>
                <w:rFonts w:ascii="Arial" w:eastAsia="Arial" w:hAnsi="Arial" w:cs="Arial"/>
                <w:sz w:val="20"/>
              </w:rPr>
              <w:t xml:space="preserve">(electronic 1.0) </w:t>
            </w:r>
          </w:p>
        </w:tc>
      </w:tr>
    </w:tbl>
    <w:p w14:paraId="1B89C5C5" w14:textId="77777777" w:rsidR="000B3C5C" w:rsidRDefault="00ED192D">
      <w:pPr>
        <w:spacing w:after="229" w:line="250" w:lineRule="auto"/>
        <w:ind w:left="0"/>
      </w:pPr>
      <w:r>
        <w:rPr>
          <w:rFonts w:ascii="Arial" w:eastAsia="Arial" w:hAnsi="Arial" w:cs="Arial"/>
          <w:b/>
        </w:rPr>
        <w:t xml:space="preserve">Amendment 05 (23 November 2020) </w:t>
      </w:r>
    </w:p>
    <w:p w14:paraId="0F74D2BD" w14:textId="77777777" w:rsidR="000B3C5C" w:rsidRDefault="00ED192D">
      <w:pPr>
        <w:spacing w:after="268"/>
        <w:ind w:left="-3" w:right="14"/>
      </w:pPr>
      <w:r>
        <w:t xml:space="preserve">This amendment is considered to be substantial based on the criteria set forth in Article 10(a) of Directive 2001/20/EC of the European Parliament and the Council of the European Union </w:t>
      </w:r>
    </w:p>
    <w:p w14:paraId="0FC54AAB" w14:textId="77777777" w:rsidR="000B3C5C" w:rsidRDefault="00ED192D">
      <w:pPr>
        <w:pStyle w:val="Heading1"/>
        <w:ind w:left="-3"/>
      </w:pPr>
      <w:r>
        <w:t xml:space="preserve">OVERALL RATIONALE FOR THE AMENDMENT </w:t>
      </w:r>
    </w:p>
    <w:p w14:paraId="1ECE49D4" w14:textId="77777777" w:rsidR="000B3C5C" w:rsidRDefault="00ED192D">
      <w:pPr>
        <w:ind w:left="-3" w:right="14"/>
      </w:pPr>
      <w:r>
        <w:t xml:space="preserve">Based on the Dear Investigator Letter (DIL) that Sanofi has received from Roche, the newly identified potential risk of Severe Cutaneous Adverse Reactions (SCARs) with atezolizumab use and the associated guidelines for these dermatological events have been added.  </w:t>
      </w:r>
    </w:p>
    <w:p w14:paraId="6AF31D55" w14:textId="77777777" w:rsidR="000B3C5C" w:rsidRDefault="00ED192D">
      <w:pPr>
        <w:spacing w:after="4" w:line="250" w:lineRule="auto"/>
        <w:ind w:left="15" w:right="9"/>
        <w:jc w:val="center"/>
      </w:pPr>
      <w:r>
        <w:rPr>
          <w:rFonts w:ascii="Arial" w:eastAsia="Arial" w:hAnsi="Arial" w:cs="Arial"/>
          <w:b/>
          <w:sz w:val="20"/>
        </w:rPr>
        <w:t>Protocol amendment summary of changes table</w:t>
      </w:r>
      <w:r>
        <w:t xml:space="preserve"> </w:t>
      </w:r>
    </w:p>
    <w:tbl>
      <w:tblPr>
        <w:tblStyle w:val="TableGrid"/>
        <w:tblW w:w="9703" w:type="dxa"/>
        <w:tblInd w:w="-120" w:type="dxa"/>
        <w:tblCellMar>
          <w:top w:w="105" w:type="dxa"/>
          <w:left w:w="0" w:type="dxa"/>
          <w:bottom w:w="0" w:type="dxa"/>
          <w:right w:w="231" w:type="dxa"/>
        </w:tblCellMar>
        <w:tblLook w:val="04A0" w:firstRow="1" w:lastRow="0" w:firstColumn="1" w:lastColumn="0" w:noHBand="0" w:noVBand="1"/>
      </w:tblPr>
      <w:tblGrid>
        <w:gridCol w:w="2199"/>
        <w:gridCol w:w="3613"/>
        <w:gridCol w:w="3891"/>
      </w:tblGrid>
      <w:tr w:rsidR="000B3C5C" w14:paraId="62BEEA47" w14:textId="77777777">
        <w:trPr>
          <w:trHeight w:val="591"/>
        </w:trPr>
        <w:tc>
          <w:tcPr>
            <w:tcW w:w="1634" w:type="dxa"/>
            <w:tcBorders>
              <w:top w:val="single" w:sz="4" w:space="0" w:color="000000"/>
              <w:left w:val="nil"/>
              <w:bottom w:val="single" w:sz="4" w:space="0" w:color="000000"/>
              <w:right w:val="nil"/>
            </w:tcBorders>
          </w:tcPr>
          <w:p w14:paraId="0BB9457C" w14:textId="77777777" w:rsidR="000B3C5C" w:rsidRDefault="00ED192D">
            <w:pPr>
              <w:spacing w:after="0" w:line="259" w:lineRule="auto"/>
              <w:ind w:left="122" w:firstLine="0"/>
              <w:jc w:val="both"/>
            </w:pPr>
            <w:r>
              <w:rPr>
                <w:rFonts w:ascii="Arial" w:eastAsia="Arial" w:hAnsi="Arial" w:cs="Arial"/>
                <w:b/>
                <w:sz w:val="20"/>
              </w:rPr>
              <w:t xml:space="preserve">Section # and Name </w:t>
            </w:r>
          </w:p>
        </w:tc>
        <w:tc>
          <w:tcPr>
            <w:tcW w:w="3843" w:type="dxa"/>
            <w:tcBorders>
              <w:top w:val="single" w:sz="4" w:space="0" w:color="000000"/>
              <w:left w:val="nil"/>
              <w:bottom w:val="single" w:sz="4" w:space="0" w:color="000000"/>
              <w:right w:val="nil"/>
            </w:tcBorders>
          </w:tcPr>
          <w:p w14:paraId="5DAB6669" w14:textId="77777777" w:rsidR="000B3C5C" w:rsidRDefault="00ED192D">
            <w:pPr>
              <w:spacing w:after="0" w:line="259" w:lineRule="auto"/>
              <w:ind w:left="0" w:firstLine="0"/>
            </w:pPr>
            <w:r>
              <w:rPr>
                <w:rFonts w:ascii="Arial" w:eastAsia="Arial" w:hAnsi="Arial" w:cs="Arial"/>
                <w:b/>
                <w:sz w:val="20"/>
              </w:rPr>
              <w:t xml:space="preserve">Description of Change </w:t>
            </w:r>
          </w:p>
        </w:tc>
        <w:tc>
          <w:tcPr>
            <w:tcW w:w="4225" w:type="dxa"/>
            <w:tcBorders>
              <w:top w:val="single" w:sz="4" w:space="0" w:color="000000"/>
              <w:left w:val="nil"/>
              <w:bottom w:val="single" w:sz="4" w:space="0" w:color="000000"/>
              <w:right w:val="nil"/>
            </w:tcBorders>
          </w:tcPr>
          <w:p w14:paraId="1384A51C" w14:textId="77777777" w:rsidR="000B3C5C" w:rsidRDefault="00ED192D">
            <w:pPr>
              <w:spacing w:after="0" w:line="259" w:lineRule="auto"/>
              <w:ind w:left="0" w:firstLine="0"/>
            </w:pPr>
            <w:r>
              <w:rPr>
                <w:rFonts w:ascii="Arial" w:eastAsia="Arial" w:hAnsi="Arial" w:cs="Arial"/>
                <w:b/>
                <w:sz w:val="20"/>
              </w:rPr>
              <w:t xml:space="preserve">Brief Rationale </w:t>
            </w:r>
          </w:p>
        </w:tc>
      </w:tr>
      <w:tr w:rsidR="000B3C5C" w14:paraId="06DAC0E7" w14:textId="77777777">
        <w:trPr>
          <w:trHeight w:val="1046"/>
        </w:trPr>
        <w:tc>
          <w:tcPr>
            <w:tcW w:w="1634" w:type="dxa"/>
            <w:tcBorders>
              <w:top w:val="single" w:sz="4" w:space="0" w:color="000000"/>
              <w:left w:val="nil"/>
              <w:bottom w:val="single" w:sz="4" w:space="0" w:color="000000"/>
              <w:right w:val="nil"/>
            </w:tcBorders>
          </w:tcPr>
          <w:p w14:paraId="512E8E18" w14:textId="77777777" w:rsidR="000B3C5C" w:rsidRDefault="00ED192D">
            <w:pPr>
              <w:spacing w:after="0" w:line="259" w:lineRule="auto"/>
              <w:ind w:left="122" w:firstLine="0"/>
            </w:pPr>
            <w:r>
              <w:rPr>
                <w:rFonts w:ascii="Arial" w:eastAsia="Arial" w:hAnsi="Arial" w:cs="Arial"/>
                <w:sz w:val="20"/>
              </w:rPr>
              <w:t xml:space="preserve">2.3.2.2 Potential and identified risks for atezolizumab </w:t>
            </w:r>
          </w:p>
        </w:tc>
        <w:tc>
          <w:tcPr>
            <w:tcW w:w="3843" w:type="dxa"/>
            <w:tcBorders>
              <w:top w:val="single" w:sz="4" w:space="0" w:color="000000"/>
              <w:left w:val="nil"/>
              <w:bottom w:val="single" w:sz="4" w:space="0" w:color="000000"/>
              <w:right w:val="nil"/>
            </w:tcBorders>
          </w:tcPr>
          <w:p w14:paraId="020E0291" w14:textId="77777777" w:rsidR="000B3C5C" w:rsidRDefault="00ED192D">
            <w:pPr>
              <w:spacing w:after="0" w:line="259" w:lineRule="auto"/>
              <w:ind w:left="0" w:firstLine="0"/>
            </w:pPr>
            <w:r>
              <w:rPr>
                <w:rFonts w:ascii="Arial" w:eastAsia="Arial" w:hAnsi="Arial" w:cs="Arial"/>
                <w:sz w:val="20"/>
              </w:rPr>
              <w:t xml:space="preserve">New identified risk of SCARs with atezolizumab use.  </w:t>
            </w:r>
          </w:p>
        </w:tc>
        <w:tc>
          <w:tcPr>
            <w:tcW w:w="4225" w:type="dxa"/>
            <w:tcBorders>
              <w:top w:val="single" w:sz="4" w:space="0" w:color="000000"/>
              <w:left w:val="nil"/>
              <w:bottom w:val="single" w:sz="4" w:space="0" w:color="000000"/>
              <w:right w:val="nil"/>
            </w:tcBorders>
          </w:tcPr>
          <w:p w14:paraId="6E8531F7" w14:textId="77777777" w:rsidR="000B3C5C" w:rsidRDefault="00ED192D">
            <w:pPr>
              <w:spacing w:after="0" w:line="259" w:lineRule="auto"/>
              <w:ind w:left="0" w:firstLine="0"/>
            </w:pPr>
            <w:r>
              <w:rPr>
                <w:rFonts w:ascii="Arial" w:eastAsia="Arial" w:hAnsi="Arial" w:cs="Arial"/>
                <w:sz w:val="20"/>
              </w:rPr>
              <w:t xml:space="preserve">based on the DIL </w:t>
            </w:r>
            <w:r>
              <w:rPr>
                <w:rFonts w:ascii="Arial" w:eastAsia="Arial" w:hAnsi="Arial" w:cs="Arial"/>
                <w:sz w:val="20"/>
              </w:rPr>
              <w:t xml:space="preserve">that Sanofi has received from Roche regarding the use of atezolizumab  </w:t>
            </w:r>
          </w:p>
        </w:tc>
      </w:tr>
      <w:tr w:rsidR="000B3C5C" w14:paraId="10683AD0" w14:textId="77777777">
        <w:trPr>
          <w:trHeight w:val="1738"/>
        </w:trPr>
        <w:tc>
          <w:tcPr>
            <w:tcW w:w="1634" w:type="dxa"/>
            <w:tcBorders>
              <w:top w:val="single" w:sz="4" w:space="0" w:color="000000"/>
              <w:left w:val="nil"/>
              <w:bottom w:val="single" w:sz="4" w:space="0" w:color="000000"/>
              <w:right w:val="nil"/>
            </w:tcBorders>
          </w:tcPr>
          <w:p w14:paraId="1127252E" w14:textId="77777777" w:rsidR="000B3C5C" w:rsidRDefault="00ED192D">
            <w:pPr>
              <w:spacing w:after="0" w:line="259" w:lineRule="auto"/>
              <w:ind w:left="122" w:firstLine="0"/>
            </w:pPr>
            <w:r>
              <w:rPr>
                <w:rFonts w:ascii="Arial" w:eastAsia="Arial" w:hAnsi="Arial" w:cs="Arial"/>
                <w:sz w:val="20"/>
              </w:rPr>
              <w:t xml:space="preserve">10.21 </w:t>
            </w:r>
          </w:p>
          <w:p w14:paraId="25C9FF39" w14:textId="77777777" w:rsidR="000B3C5C" w:rsidRDefault="00ED192D">
            <w:pPr>
              <w:spacing w:after="0" w:line="259" w:lineRule="auto"/>
              <w:ind w:left="122" w:firstLine="0"/>
            </w:pPr>
            <w:r>
              <w:rPr>
                <w:rFonts w:ascii="Arial" w:eastAsia="Arial" w:hAnsi="Arial" w:cs="Arial"/>
                <w:sz w:val="20"/>
              </w:rPr>
              <w:t xml:space="preserve">Management of atezolizumabspecific adverse events – dermatologic events </w:t>
            </w:r>
          </w:p>
        </w:tc>
        <w:tc>
          <w:tcPr>
            <w:tcW w:w="3843" w:type="dxa"/>
            <w:tcBorders>
              <w:top w:val="single" w:sz="4" w:space="0" w:color="000000"/>
              <w:left w:val="nil"/>
              <w:bottom w:val="single" w:sz="4" w:space="0" w:color="000000"/>
              <w:right w:val="nil"/>
            </w:tcBorders>
          </w:tcPr>
          <w:p w14:paraId="5150F94F" w14:textId="77777777" w:rsidR="000B3C5C" w:rsidRDefault="00ED192D">
            <w:pPr>
              <w:spacing w:after="0" w:line="259" w:lineRule="auto"/>
              <w:ind w:left="0" w:firstLine="0"/>
            </w:pPr>
            <w:r>
              <w:rPr>
                <w:rFonts w:ascii="Arial" w:eastAsia="Arial" w:hAnsi="Arial" w:cs="Arial"/>
                <w:sz w:val="20"/>
              </w:rPr>
              <w:t xml:space="preserve">Recommendations with specifc details regarding </w:t>
            </w:r>
          </w:p>
          <w:p w14:paraId="2A79301B" w14:textId="77777777" w:rsidR="000B3C5C" w:rsidRDefault="00ED192D">
            <w:pPr>
              <w:spacing w:after="0" w:line="259" w:lineRule="auto"/>
              <w:ind w:left="0" w:firstLine="0"/>
            </w:pPr>
            <w:r>
              <w:rPr>
                <w:rFonts w:ascii="Arial" w:eastAsia="Arial" w:hAnsi="Arial" w:cs="Arial"/>
                <w:sz w:val="20"/>
              </w:rPr>
              <w:t xml:space="preserve">SCARs </w:t>
            </w:r>
          </w:p>
        </w:tc>
        <w:tc>
          <w:tcPr>
            <w:tcW w:w="4225" w:type="dxa"/>
            <w:tcBorders>
              <w:top w:val="single" w:sz="4" w:space="0" w:color="000000"/>
              <w:left w:val="nil"/>
              <w:bottom w:val="single" w:sz="4" w:space="0" w:color="000000"/>
              <w:right w:val="nil"/>
            </w:tcBorders>
          </w:tcPr>
          <w:p w14:paraId="06373E93" w14:textId="77777777" w:rsidR="000B3C5C" w:rsidRDefault="00ED192D">
            <w:pPr>
              <w:spacing w:after="0" w:line="259" w:lineRule="auto"/>
              <w:ind w:left="0" w:firstLine="0"/>
            </w:pPr>
            <w:r>
              <w:rPr>
                <w:rFonts w:ascii="Arial" w:eastAsia="Arial" w:hAnsi="Arial" w:cs="Arial"/>
                <w:sz w:val="20"/>
              </w:rPr>
              <w:t xml:space="preserve">based on the Dil that Sanofi has received from Roche regarding the use of atezolizumab </w:t>
            </w:r>
          </w:p>
        </w:tc>
      </w:tr>
    </w:tbl>
    <w:p w14:paraId="09A4F3E4" w14:textId="77777777" w:rsidR="000B3C5C" w:rsidRDefault="00ED192D">
      <w:pPr>
        <w:pStyle w:val="Heading2"/>
        <w:spacing w:after="397" w:line="327" w:lineRule="auto"/>
        <w:ind w:left="13" w:right="1"/>
        <w:jc w:val="center"/>
      </w:pPr>
      <w:r>
        <w:rPr>
          <w:rFonts w:ascii="Arial" w:eastAsia="Arial" w:hAnsi="Arial" w:cs="Arial"/>
          <w:sz w:val="22"/>
        </w:rPr>
        <w:t xml:space="preserve">TABLE OF CONTENTS </w:t>
      </w:r>
    </w:p>
    <w:p w14:paraId="182D1965" w14:textId="77777777" w:rsidR="000B3C5C" w:rsidRDefault="00ED192D">
      <w:pPr>
        <w:spacing w:after="217" w:line="259" w:lineRule="auto"/>
        <w:ind w:left="-3"/>
      </w:pPr>
      <w:r>
        <w:rPr>
          <w:rFonts w:ascii="Arial" w:eastAsia="Arial" w:hAnsi="Arial" w:cs="Arial"/>
          <w:b/>
          <w:color w:val="0000FF"/>
          <w:sz w:val="20"/>
        </w:rPr>
        <w:t xml:space="preserve">AMENDED CLINICAL TRIAL PROTOCOL 05 </w:t>
      </w:r>
      <w:r>
        <w:rPr>
          <w:rFonts w:ascii="Arial" w:eastAsia="Arial" w:hAnsi="Arial" w:cs="Arial"/>
          <w:b/>
          <w:color w:val="0000FF"/>
          <w:sz w:val="20"/>
        </w:rPr>
        <w:t>.............................................................................................. 1</w:t>
      </w:r>
      <w:r>
        <w:rPr>
          <w:rFonts w:ascii="Calibri" w:eastAsia="Calibri" w:hAnsi="Calibri" w:cs="Calibri"/>
          <w:sz w:val="22"/>
        </w:rPr>
        <w:t xml:space="preserve"> </w:t>
      </w:r>
    </w:p>
    <w:p w14:paraId="1533E793" w14:textId="77777777" w:rsidR="000B3C5C" w:rsidRDefault="00ED192D">
      <w:pPr>
        <w:spacing w:after="217" w:line="259" w:lineRule="auto"/>
        <w:ind w:left="-3"/>
      </w:pPr>
      <w:r>
        <w:rPr>
          <w:rFonts w:ascii="Arial" w:eastAsia="Arial" w:hAnsi="Arial" w:cs="Arial"/>
          <w:b/>
          <w:color w:val="0000FF"/>
          <w:sz w:val="20"/>
        </w:rPr>
        <w:t>PROTOCOL AMENDMENT SUMMARY OF CHANGES TABLE .................................................................. 3</w:t>
      </w:r>
      <w:r>
        <w:rPr>
          <w:rFonts w:ascii="Calibri" w:eastAsia="Calibri" w:hAnsi="Calibri" w:cs="Calibri"/>
          <w:sz w:val="22"/>
        </w:rPr>
        <w:t xml:space="preserve"> </w:t>
      </w:r>
    </w:p>
    <w:p w14:paraId="0347A881" w14:textId="77777777" w:rsidR="000B3C5C" w:rsidRDefault="00ED192D">
      <w:pPr>
        <w:spacing w:after="217" w:line="259" w:lineRule="auto"/>
        <w:ind w:left="-3"/>
      </w:pPr>
      <w:r>
        <w:rPr>
          <w:rFonts w:ascii="Arial" w:eastAsia="Arial" w:hAnsi="Arial" w:cs="Arial"/>
          <w:b/>
          <w:color w:val="0000FF"/>
          <w:sz w:val="20"/>
        </w:rPr>
        <w:t>TABLE OF CONTENTS .................................................................................................................................. 4</w:t>
      </w:r>
      <w:r>
        <w:rPr>
          <w:rFonts w:ascii="Calibri" w:eastAsia="Calibri" w:hAnsi="Calibri" w:cs="Calibri"/>
          <w:sz w:val="22"/>
        </w:rPr>
        <w:t xml:space="preserve"> </w:t>
      </w:r>
    </w:p>
    <w:p w14:paraId="6F1815E2" w14:textId="77777777" w:rsidR="000B3C5C" w:rsidRDefault="00ED192D">
      <w:pPr>
        <w:spacing w:after="215" w:line="259" w:lineRule="auto"/>
        <w:ind w:left="-3"/>
      </w:pPr>
      <w:r>
        <w:rPr>
          <w:rFonts w:ascii="Arial" w:eastAsia="Arial" w:hAnsi="Arial" w:cs="Arial"/>
          <w:b/>
          <w:color w:val="0000FF"/>
          <w:sz w:val="20"/>
        </w:rPr>
        <w:t>LIST OF TABLES ........................................................................................................................................... 8</w:t>
      </w:r>
      <w:r>
        <w:rPr>
          <w:rFonts w:ascii="Calibri" w:eastAsia="Calibri" w:hAnsi="Calibri" w:cs="Calibri"/>
          <w:sz w:val="22"/>
        </w:rPr>
        <w:t xml:space="preserve"> </w:t>
      </w:r>
    </w:p>
    <w:p w14:paraId="0A0C61B7" w14:textId="77777777" w:rsidR="000B3C5C" w:rsidRDefault="00ED192D">
      <w:pPr>
        <w:spacing w:after="16" w:line="452" w:lineRule="auto"/>
        <w:ind w:left="-3"/>
      </w:pPr>
      <w:r>
        <w:rPr>
          <w:rFonts w:ascii="Arial" w:eastAsia="Arial" w:hAnsi="Arial" w:cs="Arial"/>
          <w:b/>
          <w:color w:val="0000FF"/>
          <w:sz w:val="20"/>
        </w:rPr>
        <w:t>LIST OF FIGURES .......................................................................................................................................... 9</w:t>
      </w:r>
      <w:r>
        <w:rPr>
          <w:rFonts w:ascii="Calibri" w:eastAsia="Calibri" w:hAnsi="Calibri" w:cs="Calibri"/>
          <w:sz w:val="22"/>
        </w:rPr>
        <w:t xml:space="preserve"> </w:t>
      </w:r>
      <w:r>
        <w:rPr>
          <w:rFonts w:ascii="Arial" w:eastAsia="Arial" w:hAnsi="Arial" w:cs="Arial"/>
          <w:b/>
          <w:color w:val="0000FF"/>
          <w:sz w:val="20"/>
        </w:rPr>
        <w:t>1</w:t>
      </w:r>
      <w:r>
        <w:rPr>
          <w:rFonts w:ascii="Calibri" w:eastAsia="Calibri" w:hAnsi="Calibri" w:cs="Calibri"/>
          <w:color w:val="0000FF"/>
          <w:sz w:val="22"/>
        </w:rPr>
        <w:t xml:space="preserve"> </w:t>
      </w:r>
      <w:r>
        <w:rPr>
          <w:rFonts w:ascii="Arial" w:eastAsia="Arial" w:hAnsi="Arial" w:cs="Arial"/>
          <w:b/>
          <w:color w:val="0000FF"/>
          <w:sz w:val="20"/>
        </w:rPr>
        <w:t>PROTOCOL SUMMARY ............................................................................................................... 10</w:t>
      </w:r>
      <w:r>
        <w:rPr>
          <w:rFonts w:ascii="Calibri" w:eastAsia="Calibri" w:hAnsi="Calibri" w:cs="Calibri"/>
          <w:sz w:val="22"/>
        </w:rPr>
        <w:t xml:space="preserve"> </w:t>
      </w:r>
    </w:p>
    <w:p w14:paraId="180D4F06" w14:textId="77777777" w:rsidR="000B3C5C" w:rsidRDefault="00ED192D">
      <w:pPr>
        <w:tabs>
          <w:tab w:val="right" w:pos="9473"/>
        </w:tabs>
        <w:spacing w:after="236" w:line="251" w:lineRule="auto"/>
        <w:ind w:left="-13" w:firstLine="0"/>
      </w:pPr>
      <w:r>
        <w:rPr>
          <w:rFonts w:ascii="Arial" w:eastAsia="Arial" w:hAnsi="Arial" w:cs="Arial"/>
          <w:color w:val="0000FF"/>
          <w:sz w:val="20"/>
        </w:rPr>
        <w:t>1.1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 xml:space="preserve">SYNOPSIS </w:t>
      </w:r>
      <w:r>
        <w:rPr>
          <w:rFonts w:ascii="Arial" w:eastAsia="Arial" w:hAnsi="Arial" w:cs="Arial"/>
          <w:color w:val="0000FF"/>
          <w:sz w:val="20"/>
        </w:rPr>
        <w:t>..................................................................................................................................... 10</w:t>
      </w:r>
      <w:r>
        <w:rPr>
          <w:rFonts w:ascii="Calibri" w:eastAsia="Calibri" w:hAnsi="Calibri" w:cs="Calibri"/>
          <w:sz w:val="22"/>
        </w:rPr>
        <w:t xml:space="preserve"> </w:t>
      </w:r>
    </w:p>
    <w:p w14:paraId="519D4CBB" w14:textId="77777777" w:rsidR="000B3C5C" w:rsidRDefault="00ED192D">
      <w:pPr>
        <w:tabs>
          <w:tab w:val="right" w:pos="9473"/>
        </w:tabs>
        <w:spacing w:after="236" w:line="251" w:lineRule="auto"/>
        <w:ind w:left="-13" w:firstLine="0"/>
      </w:pPr>
      <w:r>
        <w:rPr>
          <w:rFonts w:ascii="Arial" w:eastAsia="Arial" w:hAnsi="Arial" w:cs="Arial"/>
          <w:color w:val="0000FF"/>
          <w:sz w:val="20"/>
        </w:rPr>
        <w:t>1.2</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SCHEMA ........................................................................................................................................ 17</w:t>
      </w:r>
      <w:r>
        <w:rPr>
          <w:rFonts w:ascii="Calibri" w:eastAsia="Calibri" w:hAnsi="Calibri" w:cs="Calibri"/>
          <w:sz w:val="22"/>
        </w:rPr>
        <w:t xml:space="preserve"> </w:t>
      </w:r>
    </w:p>
    <w:p w14:paraId="1A957A94" w14:textId="77777777" w:rsidR="000B3C5C" w:rsidRDefault="00ED192D">
      <w:pPr>
        <w:spacing w:after="16" w:line="450" w:lineRule="auto"/>
        <w:ind w:left="-3"/>
      </w:pPr>
      <w:r>
        <w:rPr>
          <w:rFonts w:ascii="Arial" w:eastAsia="Arial" w:hAnsi="Arial" w:cs="Arial"/>
          <w:color w:val="0000FF"/>
          <w:sz w:val="20"/>
        </w:rPr>
        <w:t>1.3</w:t>
      </w:r>
      <w:r>
        <w:rPr>
          <w:rFonts w:ascii="Calibri" w:eastAsia="Calibri" w:hAnsi="Calibri" w:cs="Calibri"/>
          <w:color w:val="0000FF"/>
          <w:sz w:val="22"/>
        </w:rPr>
        <w:t xml:space="preserve"> </w:t>
      </w:r>
      <w:r>
        <w:rPr>
          <w:rFonts w:ascii="Arial" w:eastAsia="Arial" w:hAnsi="Arial" w:cs="Arial"/>
          <w:color w:val="0000FF"/>
          <w:sz w:val="20"/>
        </w:rPr>
        <w:t>SCHEDULE OF ACTIVITIES (SOA) .............................................................................................. 18</w:t>
      </w:r>
      <w:r>
        <w:rPr>
          <w:rFonts w:ascii="Calibri" w:eastAsia="Calibri" w:hAnsi="Calibri" w:cs="Calibri"/>
          <w:sz w:val="22"/>
        </w:rPr>
        <w:t xml:space="preserve"> </w:t>
      </w:r>
      <w:r>
        <w:rPr>
          <w:rFonts w:ascii="Arial" w:eastAsia="Arial" w:hAnsi="Arial" w:cs="Arial"/>
          <w:b/>
          <w:color w:val="0000FF"/>
          <w:sz w:val="20"/>
        </w:rPr>
        <w:t>2</w:t>
      </w:r>
      <w:r>
        <w:rPr>
          <w:rFonts w:ascii="Calibri" w:eastAsia="Calibri" w:hAnsi="Calibri" w:cs="Calibri"/>
          <w:color w:val="0000FF"/>
          <w:sz w:val="22"/>
        </w:rPr>
        <w:t xml:space="preserve"> </w:t>
      </w:r>
      <w:r>
        <w:rPr>
          <w:rFonts w:ascii="Arial" w:eastAsia="Arial" w:hAnsi="Arial" w:cs="Arial"/>
          <w:b/>
          <w:color w:val="0000FF"/>
          <w:sz w:val="20"/>
        </w:rPr>
        <w:t>INTRODUCTION ............................................................................................................................ 25</w:t>
      </w:r>
      <w:r>
        <w:rPr>
          <w:rFonts w:ascii="Calibri" w:eastAsia="Calibri" w:hAnsi="Calibri" w:cs="Calibri"/>
          <w:sz w:val="22"/>
        </w:rPr>
        <w:t xml:space="preserve"> </w:t>
      </w:r>
    </w:p>
    <w:p w14:paraId="738C2EAB" w14:textId="77777777" w:rsidR="000B3C5C" w:rsidRDefault="00ED192D">
      <w:pPr>
        <w:tabs>
          <w:tab w:val="right" w:pos="9473"/>
        </w:tabs>
        <w:spacing w:after="236" w:line="251" w:lineRule="auto"/>
        <w:ind w:left="-13" w:firstLine="0"/>
      </w:pPr>
      <w:r>
        <w:rPr>
          <w:rFonts w:ascii="Arial" w:eastAsia="Arial" w:hAnsi="Arial" w:cs="Arial"/>
          <w:color w:val="0000FF"/>
          <w:sz w:val="20"/>
        </w:rPr>
        <w:t>2.1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STUDY RATIONALE...................................................................................................................... 26</w:t>
      </w:r>
      <w:r>
        <w:rPr>
          <w:rFonts w:ascii="Calibri" w:eastAsia="Calibri" w:hAnsi="Calibri" w:cs="Calibri"/>
          <w:sz w:val="22"/>
        </w:rPr>
        <w:t xml:space="preserve"> </w:t>
      </w:r>
    </w:p>
    <w:p w14:paraId="63E74B15" w14:textId="77777777" w:rsidR="000B3C5C" w:rsidRDefault="00ED192D">
      <w:pPr>
        <w:tabs>
          <w:tab w:val="right" w:pos="9473"/>
        </w:tabs>
        <w:spacing w:after="118" w:line="251" w:lineRule="auto"/>
        <w:ind w:left="-13" w:firstLine="0"/>
      </w:pPr>
      <w:r>
        <w:rPr>
          <w:rFonts w:ascii="Arial" w:eastAsia="Arial" w:hAnsi="Arial" w:cs="Arial"/>
          <w:color w:val="0000FF"/>
          <w:sz w:val="20"/>
        </w:rPr>
        <w:t>2.2</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 xml:space="preserve">BACKGROUND </w:t>
      </w:r>
      <w:r>
        <w:rPr>
          <w:rFonts w:ascii="Arial" w:eastAsia="Arial" w:hAnsi="Arial" w:cs="Arial"/>
          <w:color w:val="0000FF"/>
          <w:sz w:val="20"/>
        </w:rPr>
        <w:t>............................................................................................................................. 29</w:t>
      </w:r>
      <w:r>
        <w:rPr>
          <w:rFonts w:ascii="Calibri" w:eastAsia="Calibri" w:hAnsi="Calibri" w:cs="Calibri"/>
          <w:sz w:val="22"/>
        </w:rPr>
        <w:t xml:space="preserve"> </w:t>
      </w:r>
    </w:p>
    <w:p w14:paraId="3B38534C" w14:textId="77777777" w:rsidR="000B3C5C" w:rsidRDefault="00ED192D">
      <w:pPr>
        <w:tabs>
          <w:tab w:val="right" w:pos="9473"/>
        </w:tabs>
        <w:spacing w:after="118" w:line="251" w:lineRule="auto"/>
        <w:ind w:left="-13" w:firstLine="0"/>
      </w:pPr>
      <w:r>
        <w:rPr>
          <w:rFonts w:ascii="Arial" w:eastAsia="Arial" w:hAnsi="Arial" w:cs="Arial"/>
          <w:color w:val="0000FF"/>
          <w:sz w:val="20"/>
        </w:rPr>
        <w:t>2.2.1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Solid tumors ................................................................................................................................... 29</w:t>
      </w:r>
      <w:r>
        <w:rPr>
          <w:rFonts w:ascii="Calibri" w:eastAsia="Calibri" w:hAnsi="Calibri" w:cs="Calibri"/>
          <w:sz w:val="22"/>
        </w:rPr>
        <w:t xml:space="preserve"> </w:t>
      </w:r>
    </w:p>
    <w:p w14:paraId="7AE06F4F" w14:textId="77777777" w:rsidR="000B3C5C" w:rsidRDefault="00ED192D">
      <w:pPr>
        <w:tabs>
          <w:tab w:val="right" w:pos="9473"/>
        </w:tabs>
        <w:spacing w:after="118" w:line="251" w:lineRule="auto"/>
        <w:ind w:left="-13" w:firstLine="0"/>
      </w:pPr>
      <w:r>
        <w:rPr>
          <w:rFonts w:ascii="Arial" w:eastAsia="Arial" w:hAnsi="Arial" w:cs="Arial"/>
          <w:color w:val="0000FF"/>
          <w:sz w:val="20"/>
        </w:rPr>
        <w:t>2.2.2</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Isatuximab ...................................................................................................................................... 32</w:t>
      </w:r>
      <w:r>
        <w:rPr>
          <w:rFonts w:ascii="Calibri" w:eastAsia="Calibri" w:hAnsi="Calibri" w:cs="Calibri"/>
          <w:sz w:val="22"/>
        </w:rPr>
        <w:t xml:space="preserve"> </w:t>
      </w:r>
    </w:p>
    <w:p w14:paraId="0F1B2EB3" w14:textId="77777777" w:rsidR="000B3C5C" w:rsidRDefault="00ED192D">
      <w:pPr>
        <w:tabs>
          <w:tab w:val="right" w:pos="9473"/>
        </w:tabs>
        <w:spacing w:after="236" w:line="251" w:lineRule="auto"/>
        <w:ind w:left="-13" w:firstLine="0"/>
      </w:pPr>
      <w:r>
        <w:rPr>
          <w:rFonts w:ascii="Arial" w:eastAsia="Arial" w:hAnsi="Arial" w:cs="Arial"/>
          <w:color w:val="0000FF"/>
          <w:sz w:val="20"/>
        </w:rPr>
        <w:t>2.2.3</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Atezolizumab .................................................................................................................................. 33</w:t>
      </w:r>
      <w:r>
        <w:rPr>
          <w:rFonts w:ascii="Calibri" w:eastAsia="Calibri" w:hAnsi="Calibri" w:cs="Calibri"/>
          <w:sz w:val="22"/>
        </w:rPr>
        <w:t xml:space="preserve"> </w:t>
      </w:r>
    </w:p>
    <w:p w14:paraId="20DB4C64" w14:textId="77777777" w:rsidR="000B3C5C" w:rsidRDefault="00ED192D">
      <w:pPr>
        <w:tabs>
          <w:tab w:val="right" w:pos="9473"/>
        </w:tabs>
        <w:spacing w:after="118" w:line="251" w:lineRule="auto"/>
        <w:ind w:left="-13" w:firstLine="0"/>
      </w:pPr>
      <w:r>
        <w:rPr>
          <w:rFonts w:ascii="Arial" w:eastAsia="Arial" w:hAnsi="Arial" w:cs="Arial"/>
          <w:color w:val="0000FF"/>
          <w:sz w:val="20"/>
        </w:rPr>
        <w:t>2.3</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BENEFIT/RISK ASSESSMENT ..................................................................................................... 33</w:t>
      </w:r>
      <w:r>
        <w:rPr>
          <w:rFonts w:ascii="Calibri" w:eastAsia="Calibri" w:hAnsi="Calibri" w:cs="Calibri"/>
          <w:sz w:val="22"/>
        </w:rPr>
        <w:t xml:space="preserve"> </w:t>
      </w:r>
    </w:p>
    <w:p w14:paraId="180E571F" w14:textId="77777777" w:rsidR="000B3C5C" w:rsidRDefault="00ED192D">
      <w:pPr>
        <w:tabs>
          <w:tab w:val="right" w:pos="9473"/>
        </w:tabs>
        <w:spacing w:after="118" w:line="251" w:lineRule="auto"/>
        <w:ind w:left="-13" w:firstLine="0"/>
      </w:pPr>
      <w:r>
        <w:rPr>
          <w:rFonts w:ascii="Arial" w:eastAsia="Arial" w:hAnsi="Arial" w:cs="Arial"/>
          <w:color w:val="0000FF"/>
          <w:sz w:val="20"/>
        </w:rPr>
        <w:t>2.3.1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Benefits .......................................................................................................................................... 33</w:t>
      </w:r>
      <w:r>
        <w:rPr>
          <w:rFonts w:ascii="Calibri" w:eastAsia="Calibri" w:hAnsi="Calibri" w:cs="Calibri"/>
          <w:sz w:val="22"/>
        </w:rPr>
        <w:t xml:space="preserve"> </w:t>
      </w:r>
    </w:p>
    <w:p w14:paraId="7930FBFA" w14:textId="77777777" w:rsidR="000B3C5C" w:rsidRDefault="00ED192D">
      <w:pPr>
        <w:tabs>
          <w:tab w:val="right" w:pos="9473"/>
        </w:tabs>
        <w:spacing w:after="118" w:line="251" w:lineRule="auto"/>
        <w:ind w:left="-13" w:firstLine="0"/>
      </w:pPr>
      <w:r>
        <w:rPr>
          <w:rFonts w:ascii="Arial" w:eastAsia="Arial" w:hAnsi="Arial" w:cs="Arial"/>
          <w:color w:val="0000FF"/>
          <w:sz w:val="20"/>
        </w:rPr>
        <w:t>2.3.2</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Potential and identified risks .......................................................................................................... 33</w:t>
      </w:r>
      <w:r>
        <w:rPr>
          <w:rFonts w:ascii="Calibri" w:eastAsia="Calibri" w:hAnsi="Calibri" w:cs="Calibri"/>
          <w:sz w:val="22"/>
        </w:rPr>
        <w:t xml:space="preserve"> </w:t>
      </w:r>
    </w:p>
    <w:p w14:paraId="673F9D1B" w14:textId="77777777" w:rsidR="000B3C5C" w:rsidRDefault="00ED192D">
      <w:pPr>
        <w:tabs>
          <w:tab w:val="right" w:pos="9473"/>
        </w:tabs>
        <w:spacing w:after="118" w:line="251" w:lineRule="auto"/>
        <w:ind w:left="-13" w:firstLine="0"/>
      </w:pPr>
      <w:r>
        <w:rPr>
          <w:rFonts w:ascii="Arial" w:eastAsia="Arial" w:hAnsi="Arial" w:cs="Arial"/>
          <w:color w:val="0000FF"/>
          <w:sz w:val="20"/>
        </w:rPr>
        <w:t>2.3.3</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Potential risk related to the combination ........................................................................................ 34</w:t>
      </w:r>
      <w:r>
        <w:rPr>
          <w:rFonts w:ascii="Calibri" w:eastAsia="Calibri" w:hAnsi="Calibri" w:cs="Calibri"/>
          <w:sz w:val="22"/>
        </w:rPr>
        <w:t xml:space="preserve"> </w:t>
      </w:r>
    </w:p>
    <w:p w14:paraId="0E7AF53F" w14:textId="77777777" w:rsidR="000B3C5C" w:rsidRDefault="00ED192D">
      <w:pPr>
        <w:tabs>
          <w:tab w:val="right" w:pos="9473"/>
        </w:tabs>
        <w:spacing w:after="104" w:line="251" w:lineRule="auto"/>
        <w:ind w:left="-13" w:firstLine="0"/>
      </w:pPr>
      <w:r>
        <w:rPr>
          <w:rFonts w:ascii="Arial" w:eastAsia="Arial" w:hAnsi="Arial" w:cs="Arial"/>
          <w:color w:val="0000FF"/>
          <w:sz w:val="20"/>
        </w:rPr>
        <w:t>2.3.4</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Preventative measures to minimize the risk from the combination ............................................... 35</w:t>
      </w:r>
      <w:r>
        <w:rPr>
          <w:rFonts w:ascii="Calibri" w:eastAsia="Calibri" w:hAnsi="Calibri" w:cs="Calibri"/>
          <w:sz w:val="22"/>
        </w:rPr>
        <w:t xml:space="preserve"> </w:t>
      </w:r>
    </w:p>
    <w:p w14:paraId="1E1F1C99" w14:textId="77777777" w:rsidR="000B3C5C" w:rsidRDefault="00ED192D">
      <w:pPr>
        <w:spacing w:after="2" w:line="450" w:lineRule="auto"/>
        <w:ind w:left="-3"/>
        <w:jc w:val="both"/>
      </w:pPr>
      <w:r>
        <w:rPr>
          <w:rFonts w:ascii="Arial" w:eastAsia="Arial" w:hAnsi="Arial" w:cs="Arial"/>
          <w:color w:val="0000FF"/>
          <w:sz w:val="20"/>
        </w:rPr>
        <w:t>2.3.5</w:t>
      </w:r>
      <w:r>
        <w:rPr>
          <w:rFonts w:ascii="Calibri" w:eastAsia="Calibri" w:hAnsi="Calibri" w:cs="Calibri"/>
          <w:color w:val="0000FF"/>
          <w:sz w:val="22"/>
        </w:rPr>
        <w:t xml:space="preserve"> </w:t>
      </w:r>
      <w:r>
        <w:rPr>
          <w:rFonts w:ascii="Arial" w:eastAsia="Arial" w:hAnsi="Arial" w:cs="Arial"/>
          <w:color w:val="0000FF"/>
          <w:sz w:val="20"/>
        </w:rPr>
        <w:t>Conclusion ..................................................................................................................................... 36</w:t>
      </w:r>
      <w:r>
        <w:rPr>
          <w:rFonts w:ascii="Calibri" w:eastAsia="Calibri" w:hAnsi="Calibri" w:cs="Calibri"/>
          <w:sz w:val="22"/>
        </w:rPr>
        <w:t xml:space="preserve"> </w:t>
      </w:r>
      <w:r>
        <w:rPr>
          <w:rFonts w:ascii="Arial" w:eastAsia="Arial" w:hAnsi="Arial" w:cs="Arial"/>
          <w:b/>
          <w:color w:val="0000FF"/>
          <w:sz w:val="20"/>
        </w:rPr>
        <w:t>3</w:t>
      </w:r>
      <w:r>
        <w:rPr>
          <w:rFonts w:ascii="Calibri" w:eastAsia="Calibri" w:hAnsi="Calibri" w:cs="Calibri"/>
          <w:color w:val="0000FF"/>
          <w:sz w:val="22"/>
        </w:rPr>
        <w:t xml:space="preserve"> </w:t>
      </w:r>
      <w:r>
        <w:rPr>
          <w:rFonts w:ascii="Arial" w:eastAsia="Arial" w:hAnsi="Arial" w:cs="Arial"/>
          <w:b/>
          <w:color w:val="0000FF"/>
          <w:sz w:val="20"/>
        </w:rPr>
        <w:t>OBJECTIVES AND ENDPOINTS ................................................................................................. 37</w:t>
      </w:r>
      <w:r>
        <w:rPr>
          <w:rFonts w:ascii="Calibri" w:eastAsia="Calibri" w:hAnsi="Calibri" w:cs="Calibri"/>
          <w:sz w:val="22"/>
        </w:rPr>
        <w:t xml:space="preserve"> </w:t>
      </w:r>
    </w:p>
    <w:p w14:paraId="2A98E197" w14:textId="77777777" w:rsidR="000B3C5C" w:rsidRDefault="00ED192D">
      <w:pPr>
        <w:spacing w:after="16" w:line="452" w:lineRule="auto"/>
        <w:ind w:left="-3"/>
      </w:pPr>
      <w:r>
        <w:rPr>
          <w:rFonts w:ascii="Arial" w:eastAsia="Arial" w:hAnsi="Arial" w:cs="Arial"/>
          <w:color w:val="0000FF"/>
          <w:sz w:val="20"/>
        </w:rPr>
        <w:t>3.1</w:t>
      </w:r>
      <w:r>
        <w:rPr>
          <w:rFonts w:ascii="Calibri" w:eastAsia="Calibri" w:hAnsi="Calibri" w:cs="Calibri"/>
          <w:color w:val="0000FF"/>
          <w:sz w:val="22"/>
        </w:rPr>
        <w:t xml:space="preserve"> </w:t>
      </w:r>
      <w:r>
        <w:rPr>
          <w:rFonts w:ascii="Arial" w:eastAsia="Arial" w:hAnsi="Arial" w:cs="Arial"/>
          <w:color w:val="0000FF"/>
          <w:sz w:val="20"/>
        </w:rPr>
        <w:t>APPROPRIATENESS OF MEASUREMENTS .............................................................................. 39</w:t>
      </w:r>
      <w:r>
        <w:rPr>
          <w:rFonts w:ascii="Calibri" w:eastAsia="Calibri" w:hAnsi="Calibri" w:cs="Calibri"/>
          <w:sz w:val="22"/>
        </w:rPr>
        <w:t xml:space="preserve"> </w:t>
      </w:r>
      <w:r>
        <w:rPr>
          <w:rFonts w:ascii="Arial" w:eastAsia="Arial" w:hAnsi="Arial" w:cs="Arial"/>
          <w:b/>
          <w:color w:val="0000FF"/>
          <w:sz w:val="20"/>
        </w:rPr>
        <w:t>4</w:t>
      </w:r>
      <w:r>
        <w:rPr>
          <w:rFonts w:ascii="Calibri" w:eastAsia="Calibri" w:hAnsi="Calibri" w:cs="Calibri"/>
          <w:color w:val="0000FF"/>
          <w:sz w:val="22"/>
        </w:rPr>
        <w:t xml:space="preserve"> </w:t>
      </w:r>
      <w:r>
        <w:rPr>
          <w:rFonts w:ascii="Arial" w:eastAsia="Arial" w:hAnsi="Arial" w:cs="Arial"/>
          <w:b/>
          <w:color w:val="0000FF"/>
          <w:sz w:val="20"/>
        </w:rPr>
        <w:t xml:space="preserve">STUDY DESIGN </w:t>
      </w:r>
      <w:r>
        <w:rPr>
          <w:rFonts w:ascii="Arial" w:eastAsia="Arial" w:hAnsi="Arial" w:cs="Arial"/>
          <w:b/>
          <w:color w:val="0000FF"/>
          <w:sz w:val="20"/>
        </w:rPr>
        <w:t>............................................................................................................................ 40</w:t>
      </w:r>
      <w:r>
        <w:rPr>
          <w:rFonts w:ascii="Calibri" w:eastAsia="Calibri" w:hAnsi="Calibri" w:cs="Calibri"/>
          <w:sz w:val="22"/>
        </w:rPr>
        <w:t xml:space="preserve"> </w:t>
      </w:r>
    </w:p>
    <w:p w14:paraId="461326B0" w14:textId="77777777" w:rsidR="000B3C5C" w:rsidRDefault="00ED192D">
      <w:pPr>
        <w:tabs>
          <w:tab w:val="right" w:pos="9473"/>
        </w:tabs>
        <w:spacing w:after="118" w:line="251" w:lineRule="auto"/>
        <w:ind w:left="-13" w:firstLine="0"/>
      </w:pPr>
      <w:r>
        <w:rPr>
          <w:rFonts w:ascii="Arial" w:eastAsia="Arial" w:hAnsi="Arial" w:cs="Arial"/>
          <w:color w:val="0000FF"/>
          <w:sz w:val="20"/>
        </w:rPr>
        <w:t>4.1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OVERALL DESIGN ........................................................................................................................ 40</w:t>
      </w:r>
      <w:r>
        <w:rPr>
          <w:rFonts w:ascii="Calibri" w:eastAsia="Calibri" w:hAnsi="Calibri" w:cs="Calibri"/>
          <w:sz w:val="22"/>
        </w:rPr>
        <w:t xml:space="preserve"> </w:t>
      </w:r>
    </w:p>
    <w:p w14:paraId="67BFF6B1" w14:textId="77777777" w:rsidR="000B3C5C" w:rsidRDefault="00ED192D">
      <w:pPr>
        <w:tabs>
          <w:tab w:val="right" w:pos="9473"/>
        </w:tabs>
        <w:spacing w:after="118" w:line="251" w:lineRule="auto"/>
        <w:ind w:left="-13" w:firstLine="0"/>
      </w:pPr>
      <w:r>
        <w:rPr>
          <w:rFonts w:ascii="Arial" w:eastAsia="Arial" w:hAnsi="Arial" w:cs="Arial"/>
          <w:color w:val="0000FF"/>
          <w:sz w:val="20"/>
        </w:rPr>
        <w:t>4.1.1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Phase 1 (safety run-in): .................................................................................................................. 40</w:t>
      </w:r>
      <w:r>
        <w:rPr>
          <w:rFonts w:ascii="Calibri" w:eastAsia="Calibri" w:hAnsi="Calibri" w:cs="Calibri"/>
          <w:sz w:val="22"/>
        </w:rPr>
        <w:t xml:space="preserve"> </w:t>
      </w:r>
    </w:p>
    <w:p w14:paraId="4A67CC73" w14:textId="77777777" w:rsidR="000B3C5C" w:rsidRDefault="00ED192D">
      <w:pPr>
        <w:tabs>
          <w:tab w:val="right" w:pos="9473"/>
        </w:tabs>
        <w:spacing w:after="236" w:line="251" w:lineRule="auto"/>
        <w:ind w:left="-13" w:firstLine="0"/>
      </w:pPr>
      <w:r>
        <w:rPr>
          <w:rFonts w:ascii="Arial" w:eastAsia="Arial" w:hAnsi="Arial" w:cs="Arial"/>
          <w:color w:val="0000FF"/>
          <w:sz w:val="20"/>
        </w:rPr>
        <w:t>4.1.2</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Phase 2 (efficacy signal search with a 2-stage design in each cohort): ........................................ 43</w:t>
      </w:r>
    </w:p>
    <w:p w14:paraId="0B1B440D" w14:textId="77777777" w:rsidR="000B3C5C" w:rsidRDefault="00ED192D">
      <w:pPr>
        <w:tabs>
          <w:tab w:val="right" w:pos="9473"/>
        </w:tabs>
        <w:spacing w:after="236" w:line="251" w:lineRule="auto"/>
        <w:ind w:left="-13" w:firstLine="0"/>
      </w:pPr>
      <w:r>
        <w:rPr>
          <w:rFonts w:ascii="Arial" w:eastAsia="Arial" w:hAnsi="Arial" w:cs="Arial"/>
          <w:color w:val="0000FF"/>
          <w:sz w:val="20"/>
        </w:rPr>
        <w:t>4.2</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DURATION OF STUDY PERIOD (PER PARTICIPANT) .............................................................. 44</w:t>
      </w:r>
    </w:p>
    <w:p w14:paraId="300E6C42" w14:textId="77777777" w:rsidR="000B3C5C" w:rsidRDefault="00ED192D">
      <w:pPr>
        <w:tabs>
          <w:tab w:val="right" w:pos="9473"/>
        </w:tabs>
        <w:spacing w:after="236" w:line="251" w:lineRule="auto"/>
        <w:ind w:left="-13" w:firstLine="0"/>
      </w:pPr>
      <w:r>
        <w:rPr>
          <w:rFonts w:ascii="Arial" w:eastAsia="Arial" w:hAnsi="Arial" w:cs="Arial"/>
          <w:color w:val="0000FF"/>
          <w:sz w:val="20"/>
        </w:rPr>
        <w:t>4.3</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SCIENTIFIC RATIONALE FOR STUDY DESIGN ......................................................................... 44</w:t>
      </w:r>
      <w:r>
        <w:rPr>
          <w:rFonts w:ascii="Calibri" w:eastAsia="Calibri" w:hAnsi="Calibri" w:cs="Calibri"/>
          <w:sz w:val="22"/>
        </w:rPr>
        <w:t xml:space="preserve"> </w:t>
      </w:r>
    </w:p>
    <w:p w14:paraId="345BE908" w14:textId="77777777" w:rsidR="000B3C5C" w:rsidRDefault="00ED192D">
      <w:pPr>
        <w:tabs>
          <w:tab w:val="right" w:pos="9473"/>
        </w:tabs>
        <w:spacing w:after="236" w:line="251" w:lineRule="auto"/>
        <w:ind w:left="-13" w:firstLine="0"/>
      </w:pPr>
      <w:r>
        <w:rPr>
          <w:rFonts w:ascii="Arial" w:eastAsia="Arial" w:hAnsi="Arial" w:cs="Arial"/>
          <w:color w:val="0000FF"/>
          <w:sz w:val="20"/>
        </w:rPr>
        <w:t>4.4</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JUSTIFICATION FOR DOSE ........................................................................................................ 45</w:t>
      </w:r>
      <w:r>
        <w:rPr>
          <w:rFonts w:ascii="Calibri" w:eastAsia="Calibri" w:hAnsi="Calibri" w:cs="Calibri"/>
          <w:sz w:val="22"/>
        </w:rPr>
        <w:t xml:space="preserve"> </w:t>
      </w:r>
    </w:p>
    <w:p w14:paraId="4507B591" w14:textId="77777777" w:rsidR="000B3C5C" w:rsidRDefault="00ED192D">
      <w:pPr>
        <w:spacing w:after="16" w:line="452" w:lineRule="auto"/>
        <w:ind w:left="-3"/>
      </w:pPr>
      <w:r>
        <w:rPr>
          <w:rFonts w:ascii="Arial" w:eastAsia="Arial" w:hAnsi="Arial" w:cs="Arial"/>
          <w:color w:val="0000FF"/>
          <w:sz w:val="20"/>
        </w:rPr>
        <w:t>4.5</w:t>
      </w:r>
      <w:r>
        <w:rPr>
          <w:rFonts w:ascii="Calibri" w:eastAsia="Calibri" w:hAnsi="Calibri" w:cs="Calibri"/>
          <w:color w:val="0000FF"/>
          <w:sz w:val="22"/>
        </w:rPr>
        <w:t xml:space="preserve"> </w:t>
      </w:r>
      <w:r>
        <w:rPr>
          <w:rFonts w:ascii="Arial" w:eastAsia="Arial" w:hAnsi="Arial" w:cs="Arial"/>
          <w:color w:val="0000FF"/>
          <w:sz w:val="20"/>
        </w:rPr>
        <w:t>END OF STUDY DEFINITION ....................................................................................................... 45</w:t>
      </w:r>
      <w:r>
        <w:rPr>
          <w:rFonts w:ascii="Calibri" w:eastAsia="Calibri" w:hAnsi="Calibri" w:cs="Calibri"/>
          <w:sz w:val="22"/>
        </w:rPr>
        <w:t xml:space="preserve"> </w:t>
      </w:r>
      <w:r>
        <w:rPr>
          <w:rFonts w:ascii="Arial" w:eastAsia="Arial" w:hAnsi="Arial" w:cs="Arial"/>
          <w:b/>
          <w:color w:val="0000FF"/>
          <w:sz w:val="20"/>
        </w:rPr>
        <w:t>5</w:t>
      </w:r>
      <w:r>
        <w:rPr>
          <w:rFonts w:ascii="Calibri" w:eastAsia="Calibri" w:hAnsi="Calibri" w:cs="Calibri"/>
          <w:color w:val="0000FF"/>
          <w:sz w:val="22"/>
        </w:rPr>
        <w:t xml:space="preserve"> </w:t>
      </w:r>
      <w:r>
        <w:rPr>
          <w:rFonts w:ascii="Arial" w:eastAsia="Arial" w:hAnsi="Arial" w:cs="Arial"/>
          <w:b/>
          <w:color w:val="0000FF"/>
          <w:sz w:val="20"/>
        </w:rPr>
        <w:t>STUDY POPULATION .................................................................................................................. 47</w:t>
      </w:r>
      <w:r>
        <w:rPr>
          <w:rFonts w:ascii="Calibri" w:eastAsia="Calibri" w:hAnsi="Calibri" w:cs="Calibri"/>
          <w:sz w:val="22"/>
        </w:rPr>
        <w:t xml:space="preserve"> </w:t>
      </w:r>
    </w:p>
    <w:p w14:paraId="53CD5776" w14:textId="77777777" w:rsidR="000B3C5C" w:rsidRDefault="00ED192D">
      <w:pPr>
        <w:tabs>
          <w:tab w:val="right" w:pos="9473"/>
        </w:tabs>
        <w:spacing w:after="236" w:line="251" w:lineRule="auto"/>
        <w:ind w:left="-13" w:firstLine="0"/>
      </w:pPr>
      <w:r>
        <w:rPr>
          <w:rFonts w:ascii="Arial" w:eastAsia="Arial" w:hAnsi="Arial" w:cs="Arial"/>
          <w:color w:val="0000FF"/>
          <w:sz w:val="20"/>
        </w:rPr>
        <w:t>5.1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INCLUSION CRITERIA .................................................................................................................. 47</w:t>
      </w:r>
      <w:r>
        <w:rPr>
          <w:rFonts w:ascii="Calibri" w:eastAsia="Calibri" w:hAnsi="Calibri" w:cs="Calibri"/>
          <w:sz w:val="22"/>
        </w:rPr>
        <w:t xml:space="preserve"> </w:t>
      </w:r>
    </w:p>
    <w:p w14:paraId="07A13744" w14:textId="77777777" w:rsidR="000B3C5C" w:rsidRDefault="00ED192D">
      <w:pPr>
        <w:tabs>
          <w:tab w:val="right" w:pos="9473"/>
        </w:tabs>
        <w:spacing w:after="236" w:line="251" w:lineRule="auto"/>
        <w:ind w:left="-13" w:firstLine="0"/>
      </w:pPr>
      <w:r>
        <w:rPr>
          <w:rFonts w:ascii="Arial" w:eastAsia="Arial" w:hAnsi="Arial" w:cs="Arial"/>
          <w:color w:val="0000FF"/>
          <w:sz w:val="20"/>
        </w:rPr>
        <w:t>5.2</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EXCLUSION CRITERIA ................................................................................................................ 49</w:t>
      </w:r>
      <w:r>
        <w:rPr>
          <w:rFonts w:ascii="Calibri" w:eastAsia="Calibri" w:hAnsi="Calibri" w:cs="Calibri"/>
          <w:sz w:val="22"/>
        </w:rPr>
        <w:t xml:space="preserve"> </w:t>
      </w:r>
    </w:p>
    <w:p w14:paraId="4ED1E6AC" w14:textId="77777777" w:rsidR="000B3C5C" w:rsidRDefault="00ED192D">
      <w:pPr>
        <w:tabs>
          <w:tab w:val="right" w:pos="9473"/>
        </w:tabs>
        <w:spacing w:after="236" w:line="251" w:lineRule="auto"/>
        <w:ind w:left="-13" w:firstLine="0"/>
      </w:pPr>
      <w:r>
        <w:rPr>
          <w:rFonts w:ascii="Arial" w:eastAsia="Arial" w:hAnsi="Arial" w:cs="Arial"/>
          <w:color w:val="0000FF"/>
          <w:sz w:val="20"/>
        </w:rPr>
        <w:t>5.3</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 xml:space="preserve">LIFESTYLE CONSIDERATIONS </w:t>
      </w:r>
      <w:r>
        <w:rPr>
          <w:rFonts w:ascii="Arial" w:eastAsia="Arial" w:hAnsi="Arial" w:cs="Arial"/>
          <w:color w:val="0000FF"/>
          <w:sz w:val="20"/>
        </w:rPr>
        <w:t>................................................................................................... 53</w:t>
      </w:r>
      <w:r>
        <w:rPr>
          <w:rFonts w:ascii="Calibri" w:eastAsia="Calibri" w:hAnsi="Calibri" w:cs="Calibri"/>
          <w:sz w:val="22"/>
        </w:rPr>
        <w:t xml:space="preserve"> </w:t>
      </w:r>
    </w:p>
    <w:p w14:paraId="658B2C73" w14:textId="77777777" w:rsidR="000B3C5C" w:rsidRDefault="00ED192D">
      <w:pPr>
        <w:spacing w:after="15" w:line="452" w:lineRule="auto"/>
        <w:ind w:left="-3"/>
        <w:jc w:val="both"/>
      </w:pPr>
      <w:r>
        <w:rPr>
          <w:rFonts w:ascii="Arial" w:eastAsia="Arial" w:hAnsi="Arial" w:cs="Arial"/>
          <w:color w:val="0000FF"/>
          <w:sz w:val="20"/>
        </w:rPr>
        <w:t>5.4</w:t>
      </w:r>
      <w:r>
        <w:rPr>
          <w:rFonts w:ascii="Calibri" w:eastAsia="Calibri" w:hAnsi="Calibri" w:cs="Calibri"/>
          <w:color w:val="0000FF"/>
          <w:sz w:val="22"/>
        </w:rPr>
        <w:t xml:space="preserve"> </w:t>
      </w:r>
      <w:r>
        <w:rPr>
          <w:rFonts w:ascii="Arial" w:eastAsia="Arial" w:hAnsi="Arial" w:cs="Arial"/>
          <w:color w:val="0000FF"/>
          <w:sz w:val="20"/>
        </w:rPr>
        <w:t>SCREEN FAILURES...................................................................................................................... 53</w:t>
      </w:r>
      <w:r>
        <w:rPr>
          <w:rFonts w:ascii="Calibri" w:eastAsia="Calibri" w:hAnsi="Calibri" w:cs="Calibri"/>
          <w:sz w:val="22"/>
        </w:rPr>
        <w:t xml:space="preserve"> </w:t>
      </w:r>
      <w:r>
        <w:rPr>
          <w:rFonts w:ascii="Arial" w:eastAsia="Arial" w:hAnsi="Arial" w:cs="Arial"/>
          <w:b/>
          <w:color w:val="0000FF"/>
          <w:sz w:val="20"/>
        </w:rPr>
        <w:t>6</w:t>
      </w:r>
      <w:r>
        <w:rPr>
          <w:rFonts w:ascii="Calibri" w:eastAsia="Calibri" w:hAnsi="Calibri" w:cs="Calibri"/>
          <w:color w:val="0000FF"/>
          <w:sz w:val="22"/>
        </w:rPr>
        <w:t xml:space="preserve"> </w:t>
      </w:r>
      <w:r>
        <w:rPr>
          <w:rFonts w:ascii="Arial" w:eastAsia="Arial" w:hAnsi="Arial" w:cs="Arial"/>
          <w:b/>
          <w:color w:val="0000FF"/>
          <w:sz w:val="20"/>
        </w:rPr>
        <w:t>STUDY INTERVENTION ............................................................................................................... 54</w:t>
      </w:r>
      <w:r>
        <w:rPr>
          <w:rFonts w:ascii="Calibri" w:eastAsia="Calibri" w:hAnsi="Calibri" w:cs="Calibri"/>
          <w:sz w:val="22"/>
        </w:rPr>
        <w:t xml:space="preserve"> </w:t>
      </w:r>
    </w:p>
    <w:p w14:paraId="27351B0F" w14:textId="77777777" w:rsidR="000B3C5C" w:rsidRDefault="00ED192D">
      <w:pPr>
        <w:tabs>
          <w:tab w:val="right" w:pos="9473"/>
        </w:tabs>
        <w:spacing w:after="236" w:line="251" w:lineRule="auto"/>
        <w:ind w:left="-13" w:firstLine="0"/>
      </w:pPr>
      <w:r>
        <w:rPr>
          <w:rFonts w:ascii="Arial" w:eastAsia="Arial" w:hAnsi="Arial" w:cs="Arial"/>
          <w:color w:val="0000FF"/>
          <w:sz w:val="20"/>
        </w:rPr>
        <w:t>6.1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STUDY INTERVENTION(S) ADMINISTERED .............................................................................. 54</w:t>
      </w:r>
      <w:r>
        <w:rPr>
          <w:rFonts w:ascii="Calibri" w:eastAsia="Calibri" w:hAnsi="Calibri" w:cs="Calibri"/>
          <w:sz w:val="22"/>
        </w:rPr>
        <w:t xml:space="preserve"> </w:t>
      </w:r>
    </w:p>
    <w:p w14:paraId="3B5BDBC7" w14:textId="77777777" w:rsidR="000B3C5C" w:rsidRDefault="00ED192D">
      <w:pPr>
        <w:tabs>
          <w:tab w:val="right" w:pos="9473"/>
        </w:tabs>
        <w:spacing w:after="236" w:line="251" w:lineRule="auto"/>
        <w:ind w:left="-13" w:firstLine="0"/>
      </w:pPr>
      <w:r>
        <w:rPr>
          <w:rFonts w:ascii="Arial" w:eastAsia="Arial" w:hAnsi="Arial" w:cs="Arial"/>
          <w:color w:val="0000FF"/>
          <w:sz w:val="20"/>
        </w:rPr>
        <w:t>6.2</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PREPARATION/HANDLING/STORAGE/ACCOUNTABILITY....................................................... 57</w:t>
      </w:r>
      <w:r>
        <w:rPr>
          <w:rFonts w:ascii="Calibri" w:eastAsia="Calibri" w:hAnsi="Calibri" w:cs="Calibri"/>
          <w:sz w:val="22"/>
        </w:rPr>
        <w:t xml:space="preserve"> </w:t>
      </w:r>
    </w:p>
    <w:p w14:paraId="4E0B2627" w14:textId="77777777" w:rsidR="000B3C5C" w:rsidRDefault="00ED192D">
      <w:pPr>
        <w:tabs>
          <w:tab w:val="right" w:pos="9473"/>
        </w:tabs>
        <w:spacing w:after="236" w:line="251" w:lineRule="auto"/>
        <w:ind w:left="-13" w:firstLine="0"/>
      </w:pPr>
      <w:r>
        <w:rPr>
          <w:rFonts w:ascii="Arial" w:eastAsia="Arial" w:hAnsi="Arial" w:cs="Arial"/>
          <w:color w:val="0000FF"/>
          <w:sz w:val="20"/>
        </w:rPr>
        <w:t>6.3</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MEASURES TO MINIMIZE BIAS: RANDOMIZATION AND BLINDING ....................................... 58</w:t>
      </w:r>
      <w:r>
        <w:rPr>
          <w:rFonts w:ascii="Calibri" w:eastAsia="Calibri" w:hAnsi="Calibri" w:cs="Calibri"/>
          <w:sz w:val="22"/>
        </w:rPr>
        <w:t xml:space="preserve"> </w:t>
      </w:r>
    </w:p>
    <w:p w14:paraId="1CC37D3D" w14:textId="77777777" w:rsidR="000B3C5C" w:rsidRDefault="00ED192D">
      <w:pPr>
        <w:tabs>
          <w:tab w:val="right" w:pos="9473"/>
        </w:tabs>
        <w:spacing w:after="119" w:line="251" w:lineRule="auto"/>
        <w:ind w:left="-13" w:firstLine="0"/>
      </w:pPr>
      <w:r>
        <w:rPr>
          <w:rFonts w:ascii="Arial" w:eastAsia="Arial" w:hAnsi="Arial" w:cs="Arial"/>
          <w:color w:val="0000FF"/>
          <w:sz w:val="20"/>
        </w:rPr>
        <w:t>6.4</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STUDY INTERVENTION COMPLIANCE ...................................................................................... 58</w:t>
      </w:r>
      <w:r>
        <w:rPr>
          <w:rFonts w:ascii="Calibri" w:eastAsia="Calibri" w:hAnsi="Calibri" w:cs="Calibri"/>
          <w:sz w:val="22"/>
        </w:rPr>
        <w:t xml:space="preserve"> </w:t>
      </w:r>
    </w:p>
    <w:p w14:paraId="12A84330" w14:textId="77777777" w:rsidR="000B3C5C" w:rsidRDefault="00ED192D">
      <w:pPr>
        <w:tabs>
          <w:tab w:val="right" w:pos="9473"/>
        </w:tabs>
        <w:spacing w:after="236" w:line="251" w:lineRule="auto"/>
        <w:ind w:left="-13" w:firstLine="0"/>
      </w:pPr>
      <w:r>
        <w:rPr>
          <w:rFonts w:ascii="Arial" w:eastAsia="Arial" w:hAnsi="Arial" w:cs="Arial"/>
          <w:color w:val="0000FF"/>
          <w:sz w:val="20"/>
        </w:rPr>
        <w:t>6.4.1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Return and/or destruction of treatments ........................................................................................ 58</w:t>
      </w:r>
      <w:r>
        <w:rPr>
          <w:rFonts w:ascii="Calibri" w:eastAsia="Calibri" w:hAnsi="Calibri" w:cs="Calibri"/>
          <w:sz w:val="22"/>
        </w:rPr>
        <w:t xml:space="preserve"> </w:t>
      </w:r>
    </w:p>
    <w:p w14:paraId="5C263A7D" w14:textId="77777777" w:rsidR="000B3C5C" w:rsidRDefault="00ED192D">
      <w:pPr>
        <w:tabs>
          <w:tab w:val="right" w:pos="9473"/>
        </w:tabs>
        <w:spacing w:after="236" w:line="251" w:lineRule="auto"/>
        <w:ind w:left="-13" w:firstLine="0"/>
      </w:pPr>
      <w:r>
        <w:rPr>
          <w:rFonts w:ascii="Arial" w:eastAsia="Arial" w:hAnsi="Arial" w:cs="Arial"/>
          <w:color w:val="0000FF"/>
          <w:sz w:val="20"/>
        </w:rPr>
        <w:t>6.5</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CONCOMITANT THERAPY .......................................................................................................... 59</w:t>
      </w:r>
      <w:r>
        <w:rPr>
          <w:rFonts w:ascii="Calibri" w:eastAsia="Calibri" w:hAnsi="Calibri" w:cs="Calibri"/>
          <w:sz w:val="22"/>
        </w:rPr>
        <w:t xml:space="preserve"> </w:t>
      </w:r>
    </w:p>
    <w:p w14:paraId="419EB423" w14:textId="77777777" w:rsidR="000B3C5C" w:rsidRDefault="00ED192D">
      <w:pPr>
        <w:tabs>
          <w:tab w:val="right" w:pos="9473"/>
        </w:tabs>
        <w:spacing w:after="118" w:line="251" w:lineRule="auto"/>
        <w:ind w:left="-13" w:firstLine="0"/>
      </w:pPr>
      <w:r>
        <w:rPr>
          <w:rFonts w:ascii="Arial" w:eastAsia="Arial" w:hAnsi="Arial" w:cs="Arial"/>
          <w:color w:val="0000FF"/>
          <w:sz w:val="20"/>
        </w:rPr>
        <w:t>6.6</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DOSE MODIFICATION .................................................................................................................. 60</w:t>
      </w:r>
      <w:r>
        <w:rPr>
          <w:rFonts w:ascii="Calibri" w:eastAsia="Calibri" w:hAnsi="Calibri" w:cs="Calibri"/>
          <w:sz w:val="22"/>
        </w:rPr>
        <w:t xml:space="preserve"> </w:t>
      </w:r>
    </w:p>
    <w:p w14:paraId="00717DAF" w14:textId="77777777" w:rsidR="000B3C5C" w:rsidRDefault="00ED192D">
      <w:pPr>
        <w:tabs>
          <w:tab w:val="right" w:pos="9473"/>
        </w:tabs>
        <w:spacing w:after="118" w:line="251" w:lineRule="auto"/>
        <w:ind w:left="-13" w:firstLine="0"/>
      </w:pPr>
      <w:r>
        <w:rPr>
          <w:rFonts w:ascii="Arial" w:eastAsia="Arial" w:hAnsi="Arial" w:cs="Arial"/>
          <w:color w:val="0000FF"/>
          <w:sz w:val="20"/>
        </w:rPr>
        <w:t>6.6.1</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General rules .................................................................................................................................. 60</w:t>
      </w:r>
      <w:r>
        <w:rPr>
          <w:rFonts w:ascii="Calibri" w:eastAsia="Calibri" w:hAnsi="Calibri" w:cs="Calibri"/>
          <w:sz w:val="22"/>
        </w:rPr>
        <w:t xml:space="preserve"> </w:t>
      </w:r>
    </w:p>
    <w:p w14:paraId="1CEF4352" w14:textId="77777777" w:rsidR="000B3C5C" w:rsidRDefault="00ED192D">
      <w:pPr>
        <w:tabs>
          <w:tab w:val="right" w:pos="9473"/>
        </w:tabs>
        <w:spacing w:after="116" w:line="251" w:lineRule="auto"/>
        <w:ind w:left="-13" w:firstLine="0"/>
      </w:pPr>
      <w:r>
        <w:rPr>
          <w:rFonts w:ascii="Arial" w:eastAsia="Arial" w:hAnsi="Arial" w:cs="Arial"/>
          <w:color w:val="0000FF"/>
          <w:sz w:val="20"/>
        </w:rPr>
        <w:t>6.6.2</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Dose delay and dose omission ...................................................................................................... 60</w:t>
      </w:r>
      <w:r>
        <w:rPr>
          <w:rFonts w:ascii="Calibri" w:eastAsia="Calibri" w:hAnsi="Calibri" w:cs="Calibri"/>
          <w:sz w:val="22"/>
        </w:rPr>
        <w:t xml:space="preserve"> </w:t>
      </w:r>
    </w:p>
    <w:p w14:paraId="21F662BB" w14:textId="77777777" w:rsidR="000B3C5C" w:rsidRDefault="00ED192D">
      <w:pPr>
        <w:tabs>
          <w:tab w:val="right" w:pos="9473"/>
        </w:tabs>
        <w:spacing w:after="118" w:line="251" w:lineRule="auto"/>
        <w:ind w:left="-13" w:firstLine="0"/>
      </w:pPr>
      <w:r>
        <w:rPr>
          <w:rFonts w:ascii="Arial" w:eastAsia="Arial" w:hAnsi="Arial" w:cs="Arial"/>
          <w:color w:val="0000FF"/>
          <w:sz w:val="20"/>
        </w:rPr>
        <w:t>6.6.3</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General Guidelines for Immune-Related Adverse Events (irAEs) ................................................. 61</w:t>
      </w:r>
      <w:r>
        <w:rPr>
          <w:rFonts w:ascii="Calibri" w:eastAsia="Calibri" w:hAnsi="Calibri" w:cs="Calibri"/>
          <w:sz w:val="22"/>
        </w:rPr>
        <w:t xml:space="preserve"> </w:t>
      </w:r>
    </w:p>
    <w:p w14:paraId="043658EC" w14:textId="77777777" w:rsidR="000B3C5C" w:rsidRDefault="00ED192D">
      <w:pPr>
        <w:tabs>
          <w:tab w:val="right" w:pos="9473"/>
        </w:tabs>
        <w:spacing w:after="118" w:line="251" w:lineRule="auto"/>
        <w:ind w:left="-13" w:firstLine="0"/>
      </w:pPr>
      <w:r>
        <w:rPr>
          <w:rFonts w:ascii="Arial" w:eastAsia="Arial" w:hAnsi="Arial" w:cs="Arial"/>
          <w:color w:val="0000FF"/>
          <w:sz w:val="20"/>
        </w:rPr>
        <w:t>6.6.4</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General guidelines for the management of infusion-associated reactions .................................... 62</w:t>
      </w:r>
      <w:r>
        <w:rPr>
          <w:rFonts w:ascii="Calibri" w:eastAsia="Calibri" w:hAnsi="Calibri" w:cs="Calibri"/>
          <w:sz w:val="22"/>
        </w:rPr>
        <w:t xml:space="preserve"> </w:t>
      </w:r>
    </w:p>
    <w:p w14:paraId="33FDFB50" w14:textId="77777777" w:rsidR="000B3C5C" w:rsidRDefault="00ED192D">
      <w:pPr>
        <w:tabs>
          <w:tab w:val="right" w:pos="9473"/>
        </w:tabs>
        <w:spacing w:after="236" w:line="251" w:lineRule="auto"/>
        <w:ind w:left="-13" w:firstLine="0"/>
      </w:pPr>
      <w:r>
        <w:rPr>
          <w:rFonts w:ascii="Arial" w:eastAsia="Arial" w:hAnsi="Arial" w:cs="Arial"/>
          <w:color w:val="0000FF"/>
          <w:sz w:val="20"/>
        </w:rPr>
        <w:t>6.6.5</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Retreatment of participants ............................................................................................................ 63</w:t>
      </w:r>
      <w:r>
        <w:rPr>
          <w:rFonts w:ascii="Calibri" w:eastAsia="Calibri" w:hAnsi="Calibri" w:cs="Calibri"/>
          <w:sz w:val="22"/>
        </w:rPr>
        <w:t xml:space="preserve"> </w:t>
      </w:r>
    </w:p>
    <w:p w14:paraId="319EF648" w14:textId="77777777" w:rsidR="000B3C5C" w:rsidRDefault="00ED192D">
      <w:pPr>
        <w:tabs>
          <w:tab w:val="right" w:pos="9473"/>
        </w:tabs>
        <w:spacing w:after="236" w:line="251" w:lineRule="auto"/>
        <w:ind w:left="-13" w:firstLine="0"/>
      </w:pPr>
      <w:r>
        <w:rPr>
          <w:rFonts w:ascii="Arial" w:eastAsia="Arial" w:hAnsi="Arial" w:cs="Arial"/>
          <w:color w:val="0000FF"/>
          <w:sz w:val="20"/>
        </w:rPr>
        <w:t>6.7</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INTERVENTION AFTER THE END OF THE STUDY ................................................................... 64</w:t>
      </w:r>
      <w:r>
        <w:rPr>
          <w:rFonts w:ascii="Calibri" w:eastAsia="Calibri" w:hAnsi="Calibri" w:cs="Calibri"/>
          <w:sz w:val="22"/>
        </w:rPr>
        <w:t xml:space="preserve"> </w:t>
      </w:r>
    </w:p>
    <w:p w14:paraId="3A5AEB8E" w14:textId="77777777" w:rsidR="000B3C5C" w:rsidRDefault="00ED192D">
      <w:pPr>
        <w:numPr>
          <w:ilvl w:val="0"/>
          <w:numId w:val="1"/>
        </w:numPr>
        <w:spacing w:after="16" w:line="259" w:lineRule="auto"/>
        <w:ind w:hanging="852"/>
      </w:pPr>
      <w:r>
        <w:rPr>
          <w:rFonts w:ascii="Arial" w:eastAsia="Arial" w:hAnsi="Arial" w:cs="Arial"/>
          <w:b/>
          <w:color w:val="0000FF"/>
          <w:sz w:val="20"/>
        </w:rPr>
        <w:t xml:space="preserve">DISCONTINUATION OF STUDY INTERVENTION AND PARTICIPANT </w:t>
      </w:r>
    </w:p>
    <w:p w14:paraId="4D0B7C0B" w14:textId="77777777" w:rsidR="000B3C5C" w:rsidRDefault="00ED192D">
      <w:pPr>
        <w:spacing w:line="259" w:lineRule="auto"/>
        <w:ind w:left="0" w:right="2" w:firstLine="0"/>
        <w:jc w:val="right"/>
      </w:pPr>
      <w:r>
        <w:rPr>
          <w:rFonts w:ascii="Arial" w:eastAsia="Arial" w:hAnsi="Arial" w:cs="Arial"/>
          <w:b/>
          <w:color w:val="0000FF"/>
          <w:sz w:val="20"/>
        </w:rPr>
        <w:t xml:space="preserve">DISCONTINUATION/WITHDRAWAL </w:t>
      </w:r>
      <w:r>
        <w:rPr>
          <w:rFonts w:ascii="Arial" w:eastAsia="Arial" w:hAnsi="Arial" w:cs="Arial"/>
          <w:b/>
          <w:color w:val="0000FF"/>
          <w:sz w:val="20"/>
        </w:rPr>
        <w:t>........................................................................................... 65</w:t>
      </w:r>
      <w:r>
        <w:rPr>
          <w:rFonts w:ascii="Calibri" w:eastAsia="Calibri" w:hAnsi="Calibri" w:cs="Calibri"/>
          <w:sz w:val="22"/>
        </w:rPr>
        <w:t xml:space="preserve"> </w:t>
      </w:r>
    </w:p>
    <w:p w14:paraId="4CA27EDF" w14:textId="77777777" w:rsidR="000B3C5C" w:rsidRDefault="00ED192D">
      <w:pPr>
        <w:numPr>
          <w:ilvl w:val="1"/>
          <w:numId w:val="1"/>
        </w:numPr>
        <w:spacing w:after="236" w:line="251" w:lineRule="auto"/>
        <w:ind w:hanging="852"/>
        <w:jc w:val="both"/>
      </w:pPr>
      <w:r>
        <w:rPr>
          <w:rFonts w:ascii="Arial" w:eastAsia="Arial" w:hAnsi="Arial" w:cs="Arial"/>
          <w:color w:val="0000FF"/>
          <w:sz w:val="20"/>
        </w:rPr>
        <w:t>DISCONTINUATION OF STUDY INTERVENTION ...................................................................... 65</w:t>
      </w:r>
      <w:r>
        <w:rPr>
          <w:rFonts w:ascii="Calibri" w:eastAsia="Calibri" w:hAnsi="Calibri" w:cs="Calibri"/>
          <w:sz w:val="22"/>
        </w:rPr>
        <w:t xml:space="preserve"> </w:t>
      </w:r>
    </w:p>
    <w:p w14:paraId="10EA18CA" w14:textId="77777777" w:rsidR="000B3C5C" w:rsidRDefault="00ED192D">
      <w:pPr>
        <w:numPr>
          <w:ilvl w:val="1"/>
          <w:numId w:val="1"/>
        </w:numPr>
        <w:spacing w:after="236" w:line="251" w:lineRule="auto"/>
        <w:ind w:hanging="852"/>
        <w:jc w:val="both"/>
      </w:pPr>
      <w:r>
        <w:rPr>
          <w:rFonts w:ascii="Arial" w:eastAsia="Arial" w:hAnsi="Arial" w:cs="Arial"/>
          <w:color w:val="0000FF"/>
          <w:sz w:val="20"/>
        </w:rPr>
        <w:t>PARTICIPANT DISCONTINUATION/WITHDRAWAL FROM THE STUDY .................................. 66</w:t>
      </w:r>
      <w:r>
        <w:rPr>
          <w:rFonts w:ascii="Calibri" w:eastAsia="Calibri" w:hAnsi="Calibri" w:cs="Calibri"/>
          <w:sz w:val="22"/>
        </w:rPr>
        <w:t xml:space="preserve"> </w:t>
      </w:r>
    </w:p>
    <w:p w14:paraId="7FC5C6CF" w14:textId="77777777" w:rsidR="000B3C5C" w:rsidRDefault="00ED192D">
      <w:pPr>
        <w:numPr>
          <w:ilvl w:val="1"/>
          <w:numId w:val="1"/>
        </w:numPr>
        <w:spacing w:after="236" w:line="251" w:lineRule="auto"/>
        <w:ind w:hanging="852"/>
        <w:jc w:val="both"/>
      </w:pPr>
      <w:r>
        <w:rPr>
          <w:rFonts w:ascii="Arial" w:eastAsia="Arial" w:hAnsi="Arial" w:cs="Arial"/>
          <w:color w:val="0000FF"/>
          <w:sz w:val="20"/>
        </w:rPr>
        <w:t>LOST TO FOLLOW UP ................................................................................................................. 67</w:t>
      </w:r>
      <w:r>
        <w:rPr>
          <w:rFonts w:ascii="Calibri" w:eastAsia="Calibri" w:hAnsi="Calibri" w:cs="Calibri"/>
          <w:sz w:val="22"/>
        </w:rPr>
        <w:t xml:space="preserve"> </w:t>
      </w:r>
    </w:p>
    <w:p w14:paraId="6168F3B3" w14:textId="77777777" w:rsidR="000B3C5C" w:rsidRDefault="00ED192D">
      <w:pPr>
        <w:numPr>
          <w:ilvl w:val="1"/>
          <w:numId w:val="1"/>
        </w:numPr>
        <w:spacing w:after="236" w:line="251" w:lineRule="auto"/>
        <w:ind w:hanging="852"/>
        <w:jc w:val="both"/>
      </w:pPr>
      <w:r>
        <w:rPr>
          <w:rFonts w:ascii="Arial" w:eastAsia="Arial" w:hAnsi="Arial" w:cs="Arial"/>
          <w:color w:val="0000FF"/>
          <w:sz w:val="20"/>
        </w:rPr>
        <w:t>REPLACEMENT OF PARTICIPANTS ........................................................................................... 67</w:t>
      </w:r>
      <w:r>
        <w:rPr>
          <w:rFonts w:ascii="Calibri" w:eastAsia="Calibri" w:hAnsi="Calibri" w:cs="Calibri"/>
          <w:sz w:val="22"/>
        </w:rPr>
        <w:t xml:space="preserve"> </w:t>
      </w:r>
      <w:r>
        <w:rPr>
          <w:rFonts w:ascii="Arial" w:eastAsia="Arial" w:hAnsi="Arial" w:cs="Arial"/>
          <w:b/>
          <w:color w:val="0000FF"/>
          <w:sz w:val="20"/>
        </w:rPr>
        <w:t>8</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b/>
          <w:color w:val="0000FF"/>
          <w:sz w:val="20"/>
        </w:rPr>
        <w:t>STUDY ASSESSMENTS AND PROCEDURES ........................................................................... 68</w:t>
      </w:r>
    </w:p>
    <w:p w14:paraId="125A07A7" w14:textId="77777777" w:rsidR="000B3C5C" w:rsidRDefault="00ED192D">
      <w:pPr>
        <w:numPr>
          <w:ilvl w:val="1"/>
          <w:numId w:val="6"/>
        </w:numPr>
        <w:spacing w:after="236" w:line="251" w:lineRule="auto"/>
        <w:ind w:hanging="852"/>
        <w:jc w:val="both"/>
      </w:pPr>
      <w:r>
        <w:rPr>
          <w:rFonts w:ascii="Arial" w:eastAsia="Arial" w:hAnsi="Arial" w:cs="Arial"/>
          <w:color w:val="0000FF"/>
          <w:sz w:val="20"/>
        </w:rPr>
        <w:t xml:space="preserve">EFFICACY ASSESSMENTS </w:t>
      </w:r>
      <w:r>
        <w:rPr>
          <w:rFonts w:ascii="Arial" w:eastAsia="Arial" w:hAnsi="Arial" w:cs="Arial"/>
          <w:color w:val="0000FF"/>
          <w:sz w:val="20"/>
        </w:rPr>
        <w:t>......................................................................................................... 68</w:t>
      </w:r>
      <w:r>
        <w:rPr>
          <w:rFonts w:ascii="Calibri" w:eastAsia="Calibri" w:hAnsi="Calibri" w:cs="Calibri"/>
          <w:sz w:val="22"/>
        </w:rPr>
        <w:t xml:space="preserve"> </w:t>
      </w:r>
    </w:p>
    <w:p w14:paraId="22E43B2E" w14:textId="77777777" w:rsidR="000B3C5C" w:rsidRDefault="00ED192D">
      <w:pPr>
        <w:numPr>
          <w:ilvl w:val="1"/>
          <w:numId w:val="6"/>
        </w:numPr>
        <w:spacing w:after="118" w:line="251" w:lineRule="auto"/>
        <w:ind w:hanging="852"/>
        <w:jc w:val="both"/>
      </w:pPr>
      <w:r>
        <w:rPr>
          <w:rFonts w:ascii="Arial" w:eastAsia="Arial" w:hAnsi="Arial" w:cs="Arial"/>
          <w:color w:val="0000FF"/>
          <w:sz w:val="20"/>
        </w:rPr>
        <w:t>SAFETY ASSESSMENTS ............................................................................................................. 69</w:t>
      </w:r>
      <w:r>
        <w:rPr>
          <w:rFonts w:ascii="Calibri" w:eastAsia="Calibri" w:hAnsi="Calibri" w:cs="Calibri"/>
          <w:sz w:val="22"/>
        </w:rPr>
        <w:t xml:space="preserve"> </w:t>
      </w:r>
    </w:p>
    <w:p w14:paraId="28BF1F51" w14:textId="77777777" w:rsidR="000B3C5C" w:rsidRDefault="00ED192D">
      <w:pPr>
        <w:numPr>
          <w:ilvl w:val="2"/>
          <w:numId w:val="5"/>
        </w:numPr>
        <w:spacing w:after="118" w:line="251" w:lineRule="auto"/>
        <w:ind w:hanging="852"/>
        <w:jc w:val="both"/>
      </w:pPr>
      <w:r>
        <w:rPr>
          <w:rFonts w:ascii="Arial" w:eastAsia="Arial" w:hAnsi="Arial" w:cs="Arial"/>
          <w:color w:val="0000FF"/>
          <w:sz w:val="20"/>
        </w:rPr>
        <w:t>Physical examinations ................................................................................................................... 69</w:t>
      </w:r>
      <w:r>
        <w:rPr>
          <w:rFonts w:ascii="Calibri" w:eastAsia="Calibri" w:hAnsi="Calibri" w:cs="Calibri"/>
          <w:sz w:val="22"/>
        </w:rPr>
        <w:t xml:space="preserve"> </w:t>
      </w:r>
    </w:p>
    <w:p w14:paraId="47212477" w14:textId="77777777" w:rsidR="000B3C5C" w:rsidRDefault="00ED192D">
      <w:pPr>
        <w:numPr>
          <w:ilvl w:val="2"/>
          <w:numId w:val="5"/>
        </w:numPr>
        <w:spacing w:after="118" w:line="251" w:lineRule="auto"/>
        <w:ind w:hanging="852"/>
        <w:jc w:val="both"/>
      </w:pPr>
      <w:r>
        <w:rPr>
          <w:rFonts w:ascii="Arial" w:eastAsia="Arial" w:hAnsi="Arial" w:cs="Arial"/>
          <w:color w:val="0000FF"/>
          <w:sz w:val="20"/>
        </w:rPr>
        <w:t>Vital signs ....................................................................................................................................... 69</w:t>
      </w:r>
      <w:r>
        <w:rPr>
          <w:rFonts w:ascii="Calibri" w:eastAsia="Calibri" w:hAnsi="Calibri" w:cs="Calibri"/>
          <w:sz w:val="22"/>
        </w:rPr>
        <w:t xml:space="preserve"> </w:t>
      </w:r>
    </w:p>
    <w:p w14:paraId="5D80D25A" w14:textId="77777777" w:rsidR="000B3C5C" w:rsidRDefault="00ED192D">
      <w:pPr>
        <w:numPr>
          <w:ilvl w:val="2"/>
          <w:numId w:val="5"/>
        </w:numPr>
        <w:spacing w:after="118" w:line="251" w:lineRule="auto"/>
        <w:ind w:hanging="852"/>
        <w:jc w:val="both"/>
      </w:pPr>
      <w:r>
        <w:rPr>
          <w:rFonts w:ascii="Arial" w:eastAsia="Arial" w:hAnsi="Arial" w:cs="Arial"/>
          <w:color w:val="0000FF"/>
          <w:sz w:val="20"/>
        </w:rPr>
        <w:t>Electrocardiograms ........................................................................................................................ 69</w:t>
      </w:r>
      <w:r>
        <w:rPr>
          <w:rFonts w:ascii="Calibri" w:eastAsia="Calibri" w:hAnsi="Calibri" w:cs="Calibri"/>
          <w:sz w:val="22"/>
        </w:rPr>
        <w:t xml:space="preserve"> </w:t>
      </w:r>
    </w:p>
    <w:p w14:paraId="3212C0D4" w14:textId="77777777" w:rsidR="000B3C5C" w:rsidRDefault="00ED192D">
      <w:pPr>
        <w:numPr>
          <w:ilvl w:val="2"/>
          <w:numId w:val="5"/>
        </w:numPr>
        <w:spacing w:after="236" w:line="251" w:lineRule="auto"/>
        <w:ind w:hanging="852"/>
        <w:jc w:val="both"/>
      </w:pPr>
      <w:r>
        <w:rPr>
          <w:rFonts w:ascii="Arial" w:eastAsia="Arial" w:hAnsi="Arial" w:cs="Arial"/>
          <w:color w:val="0000FF"/>
          <w:sz w:val="20"/>
        </w:rPr>
        <w:t>Clinical safety laboratory assessments .......................................................................................... 69</w:t>
      </w:r>
      <w:r>
        <w:rPr>
          <w:rFonts w:ascii="Calibri" w:eastAsia="Calibri" w:hAnsi="Calibri" w:cs="Calibri"/>
          <w:sz w:val="22"/>
        </w:rPr>
        <w:t xml:space="preserve"> </w:t>
      </w:r>
    </w:p>
    <w:p w14:paraId="147C61B4" w14:textId="77777777" w:rsidR="000B3C5C" w:rsidRDefault="00ED192D">
      <w:pPr>
        <w:tabs>
          <w:tab w:val="right" w:pos="9473"/>
        </w:tabs>
        <w:spacing w:after="119" w:line="251" w:lineRule="auto"/>
        <w:ind w:left="-13" w:firstLine="0"/>
      </w:pPr>
      <w:r>
        <w:rPr>
          <w:rFonts w:ascii="Arial" w:eastAsia="Arial" w:hAnsi="Arial" w:cs="Arial"/>
          <w:color w:val="0000FF"/>
          <w:sz w:val="20"/>
        </w:rPr>
        <w:t>8.3</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ADVERSE EVENTS AND SERIOUS ADVERSE EVENTS ........................................................... 70</w:t>
      </w:r>
      <w:r>
        <w:rPr>
          <w:rFonts w:ascii="Calibri" w:eastAsia="Calibri" w:hAnsi="Calibri" w:cs="Calibri"/>
          <w:sz w:val="22"/>
        </w:rPr>
        <w:t xml:space="preserve"> </w:t>
      </w:r>
    </w:p>
    <w:p w14:paraId="02BD0452" w14:textId="77777777" w:rsidR="000B3C5C" w:rsidRDefault="00ED192D">
      <w:pPr>
        <w:numPr>
          <w:ilvl w:val="2"/>
          <w:numId w:val="7"/>
        </w:numPr>
        <w:spacing w:after="118" w:line="251" w:lineRule="auto"/>
        <w:ind w:hanging="852"/>
        <w:jc w:val="both"/>
      </w:pPr>
      <w:r>
        <w:rPr>
          <w:rFonts w:ascii="Arial" w:eastAsia="Arial" w:hAnsi="Arial" w:cs="Arial"/>
          <w:color w:val="0000FF"/>
          <w:sz w:val="20"/>
        </w:rPr>
        <w:t>Time period and frequency for collecting AE and SAE information ............................................... 72</w:t>
      </w:r>
      <w:r>
        <w:rPr>
          <w:rFonts w:ascii="Calibri" w:eastAsia="Calibri" w:hAnsi="Calibri" w:cs="Calibri"/>
          <w:sz w:val="22"/>
        </w:rPr>
        <w:t xml:space="preserve"> </w:t>
      </w:r>
    </w:p>
    <w:p w14:paraId="285B6DAC" w14:textId="77777777" w:rsidR="000B3C5C" w:rsidRDefault="00ED192D">
      <w:pPr>
        <w:numPr>
          <w:ilvl w:val="2"/>
          <w:numId w:val="7"/>
        </w:numPr>
        <w:spacing w:after="118" w:line="251" w:lineRule="auto"/>
        <w:ind w:hanging="852"/>
        <w:jc w:val="both"/>
      </w:pPr>
      <w:r>
        <w:rPr>
          <w:rFonts w:ascii="Arial" w:eastAsia="Arial" w:hAnsi="Arial" w:cs="Arial"/>
          <w:color w:val="0000FF"/>
          <w:sz w:val="20"/>
        </w:rPr>
        <w:t>Method of detecting AEs and SAEs ............................................................................................... 72</w:t>
      </w:r>
      <w:r>
        <w:rPr>
          <w:rFonts w:ascii="Calibri" w:eastAsia="Calibri" w:hAnsi="Calibri" w:cs="Calibri"/>
          <w:sz w:val="22"/>
        </w:rPr>
        <w:t xml:space="preserve"> </w:t>
      </w:r>
    </w:p>
    <w:p w14:paraId="568B1595" w14:textId="77777777" w:rsidR="000B3C5C" w:rsidRDefault="00ED192D">
      <w:pPr>
        <w:numPr>
          <w:ilvl w:val="2"/>
          <w:numId w:val="7"/>
        </w:numPr>
        <w:spacing w:after="118" w:line="251" w:lineRule="auto"/>
        <w:ind w:hanging="852"/>
        <w:jc w:val="both"/>
      </w:pPr>
      <w:r>
        <w:rPr>
          <w:rFonts w:ascii="Arial" w:eastAsia="Arial" w:hAnsi="Arial" w:cs="Arial"/>
          <w:color w:val="0000FF"/>
          <w:sz w:val="20"/>
        </w:rPr>
        <w:t xml:space="preserve">Follow-up of AEs and SAEs </w:t>
      </w:r>
      <w:r>
        <w:rPr>
          <w:rFonts w:ascii="Arial" w:eastAsia="Arial" w:hAnsi="Arial" w:cs="Arial"/>
          <w:color w:val="0000FF"/>
          <w:sz w:val="20"/>
        </w:rPr>
        <w:t>........................................................................................................... 72</w:t>
      </w:r>
      <w:r>
        <w:rPr>
          <w:rFonts w:ascii="Calibri" w:eastAsia="Calibri" w:hAnsi="Calibri" w:cs="Calibri"/>
          <w:sz w:val="22"/>
        </w:rPr>
        <w:t xml:space="preserve"> </w:t>
      </w:r>
    </w:p>
    <w:p w14:paraId="30C7EB84" w14:textId="77777777" w:rsidR="000B3C5C" w:rsidRDefault="00ED192D">
      <w:pPr>
        <w:numPr>
          <w:ilvl w:val="2"/>
          <w:numId w:val="7"/>
        </w:numPr>
        <w:spacing w:after="118" w:line="251" w:lineRule="auto"/>
        <w:ind w:hanging="852"/>
        <w:jc w:val="both"/>
      </w:pPr>
      <w:r>
        <w:rPr>
          <w:rFonts w:ascii="Arial" w:eastAsia="Arial" w:hAnsi="Arial" w:cs="Arial"/>
          <w:color w:val="0000FF"/>
          <w:sz w:val="20"/>
        </w:rPr>
        <w:t>Regulatory reporting requirements for SAEs ................................................................................. 72</w:t>
      </w:r>
      <w:r>
        <w:rPr>
          <w:rFonts w:ascii="Calibri" w:eastAsia="Calibri" w:hAnsi="Calibri" w:cs="Calibri"/>
          <w:sz w:val="22"/>
        </w:rPr>
        <w:t xml:space="preserve"> </w:t>
      </w:r>
    </w:p>
    <w:p w14:paraId="00A3007F" w14:textId="77777777" w:rsidR="000B3C5C" w:rsidRDefault="00ED192D">
      <w:pPr>
        <w:numPr>
          <w:ilvl w:val="2"/>
          <w:numId w:val="7"/>
        </w:numPr>
        <w:spacing w:after="116" w:line="251" w:lineRule="auto"/>
        <w:ind w:hanging="852"/>
        <w:jc w:val="both"/>
      </w:pPr>
      <w:r>
        <w:rPr>
          <w:rFonts w:ascii="Arial" w:eastAsia="Arial" w:hAnsi="Arial" w:cs="Arial"/>
          <w:color w:val="0000FF"/>
          <w:sz w:val="20"/>
        </w:rPr>
        <w:t>Pregnancy ...................................................................................................................................... 73</w:t>
      </w:r>
      <w:r>
        <w:rPr>
          <w:rFonts w:ascii="Calibri" w:eastAsia="Calibri" w:hAnsi="Calibri" w:cs="Calibri"/>
          <w:sz w:val="22"/>
        </w:rPr>
        <w:t xml:space="preserve"> </w:t>
      </w:r>
    </w:p>
    <w:p w14:paraId="0856BDF0" w14:textId="77777777" w:rsidR="000B3C5C" w:rsidRDefault="00ED192D">
      <w:pPr>
        <w:numPr>
          <w:ilvl w:val="2"/>
          <w:numId w:val="7"/>
        </w:numPr>
        <w:spacing w:after="118" w:line="251" w:lineRule="auto"/>
        <w:ind w:hanging="852"/>
        <w:jc w:val="both"/>
      </w:pPr>
      <w:r>
        <w:rPr>
          <w:rFonts w:ascii="Arial" w:eastAsia="Arial" w:hAnsi="Arial" w:cs="Arial"/>
          <w:color w:val="0000FF"/>
          <w:sz w:val="20"/>
        </w:rPr>
        <w:t>Disease related events and/ or disease related outcomes not qualifying as AEs or SAEs ........... 73</w:t>
      </w:r>
      <w:r>
        <w:rPr>
          <w:rFonts w:ascii="Calibri" w:eastAsia="Calibri" w:hAnsi="Calibri" w:cs="Calibri"/>
          <w:sz w:val="22"/>
        </w:rPr>
        <w:t xml:space="preserve"> </w:t>
      </w:r>
    </w:p>
    <w:p w14:paraId="02C163B4" w14:textId="77777777" w:rsidR="000B3C5C" w:rsidRDefault="00ED192D">
      <w:pPr>
        <w:numPr>
          <w:ilvl w:val="2"/>
          <w:numId w:val="7"/>
        </w:numPr>
        <w:spacing w:after="236" w:line="251" w:lineRule="auto"/>
        <w:ind w:hanging="852"/>
        <w:jc w:val="both"/>
      </w:pPr>
      <w:r>
        <w:rPr>
          <w:rFonts w:ascii="Arial" w:eastAsia="Arial" w:hAnsi="Arial" w:cs="Arial"/>
          <w:color w:val="0000FF"/>
          <w:sz w:val="20"/>
        </w:rPr>
        <w:t>Guidelines for reporting product complaints incidents (including malfunctions) ............................ 74</w:t>
      </w:r>
      <w:r>
        <w:rPr>
          <w:rFonts w:ascii="Calibri" w:eastAsia="Calibri" w:hAnsi="Calibri" w:cs="Calibri"/>
          <w:sz w:val="22"/>
        </w:rPr>
        <w:t xml:space="preserve"> </w:t>
      </w:r>
    </w:p>
    <w:p w14:paraId="501AA241" w14:textId="77777777" w:rsidR="000B3C5C" w:rsidRDefault="00ED192D">
      <w:pPr>
        <w:numPr>
          <w:ilvl w:val="1"/>
          <w:numId w:val="3"/>
        </w:numPr>
        <w:spacing w:after="236" w:line="251" w:lineRule="auto"/>
        <w:ind w:hanging="852"/>
        <w:jc w:val="both"/>
      </w:pPr>
      <w:r>
        <w:rPr>
          <w:rFonts w:ascii="Arial" w:eastAsia="Arial" w:hAnsi="Arial" w:cs="Arial"/>
          <w:color w:val="0000FF"/>
          <w:sz w:val="20"/>
        </w:rPr>
        <w:t>TREATMENT OF OVERDOSE ...................................................................................................... 74</w:t>
      </w:r>
      <w:r>
        <w:rPr>
          <w:rFonts w:ascii="Calibri" w:eastAsia="Calibri" w:hAnsi="Calibri" w:cs="Calibri"/>
          <w:sz w:val="22"/>
        </w:rPr>
        <w:t xml:space="preserve"> </w:t>
      </w:r>
    </w:p>
    <w:p w14:paraId="28CF801B" w14:textId="77777777" w:rsidR="000B3C5C" w:rsidRDefault="00ED192D">
      <w:pPr>
        <w:numPr>
          <w:ilvl w:val="1"/>
          <w:numId w:val="3"/>
        </w:numPr>
        <w:spacing w:after="119" w:line="251" w:lineRule="auto"/>
        <w:ind w:hanging="852"/>
        <w:jc w:val="both"/>
      </w:pPr>
      <w:r>
        <w:rPr>
          <w:rFonts w:ascii="Arial" w:eastAsia="Arial" w:hAnsi="Arial" w:cs="Arial"/>
          <w:color w:val="0000FF"/>
          <w:sz w:val="20"/>
        </w:rPr>
        <w:t>PHARMACOKINETICS .................................................................................................................. 74</w:t>
      </w:r>
      <w:r>
        <w:rPr>
          <w:rFonts w:ascii="Calibri" w:eastAsia="Calibri" w:hAnsi="Calibri" w:cs="Calibri"/>
          <w:sz w:val="22"/>
        </w:rPr>
        <w:t xml:space="preserve"> </w:t>
      </w:r>
    </w:p>
    <w:p w14:paraId="3B724E7F" w14:textId="77777777" w:rsidR="000B3C5C" w:rsidRDefault="00ED192D">
      <w:pPr>
        <w:numPr>
          <w:ilvl w:val="2"/>
          <w:numId w:val="8"/>
        </w:numPr>
        <w:spacing w:after="118" w:line="251" w:lineRule="auto"/>
        <w:ind w:hanging="852"/>
        <w:jc w:val="both"/>
      </w:pPr>
      <w:r>
        <w:rPr>
          <w:rFonts w:ascii="Arial" w:eastAsia="Arial" w:hAnsi="Arial" w:cs="Arial"/>
          <w:color w:val="0000FF"/>
          <w:sz w:val="20"/>
        </w:rPr>
        <w:t>Sampling time ................................................................................................................................ 74</w:t>
      </w:r>
      <w:r>
        <w:rPr>
          <w:rFonts w:ascii="Calibri" w:eastAsia="Calibri" w:hAnsi="Calibri" w:cs="Calibri"/>
          <w:sz w:val="22"/>
        </w:rPr>
        <w:t xml:space="preserve"> </w:t>
      </w:r>
    </w:p>
    <w:p w14:paraId="2B3A2AF1" w14:textId="77777777" w:rsidR="000B3C5C" w:rsidRDefault="00ED192D">
      <w:pPr>
        <w:numPr>
          <w:ilvl w:val="2"/>
          <w:numId w:val="8"/>
        </w:numPr>
        <w:spacing w:after="116" w:line="251" w:lineRule="auto"/>
        <w:ind w:hanging="852"/>
        <w:jc w:val="both"/>
      </w:pPr>
      <w:r>
        <w:rPr>
          <w:rFonts w:ascii="Arial" w:eastAsia="Arial" w:hAnsi="Arial" w:cs="Arial"/>
          <w:color w:val="0000FF"/>
          <w:sz w:val="20"/>
        </w:rPr>
        <w:t>Pharmacokinetic sample handling procedure ................................................................................ 74</w:t>
      </w:r>
      <w:r>
        <w:rPr>
          <w:rFonts w:ascii="Calibri" w:eastAsia="Calibri" w:hAnsi="Calibri" w:cs="Calibri"/>
          <w:sz w:val="22"/>
        </w:rPr>
        <w:t xml:space="preserve"> </w:t>
      </w:r>
    </w:p>
    <w:p w14:paraId="718E19FE" w14:textId="77777777" w:rsidR="000B3C5C" w:rsidRDefault="00ED192D">
      <w:pPr>
        <w:numPr>
          <w:ilvl w:val="2"/>
          <w:numId w:val="8"/>
        </w:numPr>
        <w:spacing w:after="118" w:line="251" w:lineRule="auto"/>
        <w:ind w:hanging="852"/>
        <w:jc w:val="both"/>
      </w:pPr>
      <w:r>
        <w:rPr>
          <w:rFonts w:ascii="Arial" w:eastAsia="Arial" w:hAnsi="Arial" w:cs="Arial"/>
          <w:color w:val="0000FF"/>
          <w:sz w:val="20"/>
        </w:rPr>
        <w:t>Bioanalytical Methods .................................................................................................................... 75</w:t>
      </w:r>
      <w:r>
        <w:rPr>
          <w:rFonts w:ascii="Calibri" w:eastAsia="Calibri" w:hAnsi="Calibri" w:cs="Calibri"/>
          <w:sz w:val="22"/>
        </w:rPr>
        <w:t xml:space="preserve"> </w:t>
      </w:r>
    </w:p>
    <w:p w14:paraId="7388192F" w14:textId="77777777" w:rsidR="000B3C5C" w:rsidRDefault="00ED192D">
      <w:pPr>
        <w:numPr>
          <w:ilvl w:val="2"/>
          <w:numId w:val="8"/>
        </w:numPr>
        <w:spacing w:after="236" w:line="251" w:lineRule="auto"/>
        <w:ind w:hanging="852"/>
        <w:jc w:val="both"/>
      </w:pPr>
      <w:r>
        <w:rPr>
          <w:rFonts w:ascii="Arial" w:eastAsia="Arial" w:hAnsi="Arial" w:cs="Arial"/>
          <w:color w:val="0000FF"/>
          <w:sz w:val="20"/>
        </w:rPr>
        <w:t>Pharmacokinetic parameters ......................................................................................................... 75</w:t>
      </w:r>
      <w:r>
        <w:rPr>
          <w:rFonts w:ascii="Calibri" w:eastAsia="Calibri" w:hAnsi="Calibri" w:cs="Calibri"/>
          <w:sz w:val="22"/>
        </w:rPr>
        <w:t xml:space="preserve"> </w:t>
      </w:r>
    </w:p>
    <w:p w14:paraId="473B2047" w14:textId="77777777" w:rsidR="000B3C5C" w:rsidRDefault="00ED192D">
      <w:pPr>
        <w:numPr>
          <w:ilvl w:val="1"/>
          <w:numId w:val="9"/>
        </w:numPr>
        <w:spacing w:after="236" w:line="251" w:lineRule="auto"/>
        <w:ind w:hanging="852"/>
        <w:jc w:val="both"/>
      </w:pPr>
      <w:r>
        <w:rPr>
          <w:rFonts w:ascii="Arial" w:eastAsia="Arial" w:hAnsi="Arial" w:cs="Arial"/>
          <w:color w:val="0000FF"/>
          <w:sz w:val="20"/>
        </w:rPr>
        <w:t xml:space="preserve">PHARMACODYNAMICS </w:t>
      </w:r>
      <w:r>
        <w:rPr>
          <w:rFonts w:ascii="Arial" w:eastAsia="Arial" w:hAnsi="Arial" w:cs="Arial"/>
          <w:color w:val="0000FF"/>
          <w:sz w:val="20"/>
        </w:rPr>
        <w:t>............................................................................................................... 75</w:t>
      </w:r>
      <w:r>
        <w:rPr>
          <w:rFonts w:ascii="Calibri" w:eastAsia="Calibri" w:hAnsi="Calibri" w:cs="Calibri"/>
          <w:sz w:val="22"/>
        </w:rPr>
        <w:t xml:space="preserve"> </w:t>
      </w:r>
    </w:p>
    <w:p w14:paraId="4252158A" w14:textId="77777777" w:rsidR="000B3C5C" w:rsidRDefault="00ED192D">
      <w:pPr>
        <w:numPr>
          <w:ilvl w:val="1"/>
          <w:numId w:val="9"/>
        </w:numPr>
        <w:spacing w:after="236" w:line="251" w:lineRule="auto"/>
        <w:ind w:hanging="852"/>
        <w:jc w:val="both"/>
      </w:pPr>
      <w:r>
        <w:rPr>
          <w:rFonts w:ascii="Arial" w:eastAsia="Arial" w:hAnsi="Arial" w:cs="Arial"/>
          <w:color w:val="0000FF"/>
          <w:sz w:val="20"/>
        </w:rPr>
        <w:t>GENETICS ..................................................................................................................................... 76</w:t>
      </w:r>
      <w:r>
        <w:rPr>
          <w:rFonts w:ascii="Calibri" w:eastAsia="Calibri" w:hAnsi="Calibri" w:cs="Calibri"/>
          <w:sz w:val="22"/>
        </w:rPr>
        <w:t xml:space="preserve"> </w:t>
      </w:r>
    </w:p>
    <w:p w14:paraId="62112F7D" w14:textId="77777777" w:rsidR="000B3C5C" w:rsidRDefault="00ED192D">
      <w:pPr>
        <w:numPr>
          <w:ilvl w:val="1"/>
          <w:numId w:val="9"/>
        </w:numPr>
        <w:spacing w:after="116" w:line="251" w:lineRule="auto"/>
        <w:ind w:hanging="852"/>
        <w:jc w:val="both"/>
      </w:pPr>
      <w:r>
        <w:rPr>
          <w:rFonts w:ascii="Arial" w:eastAsia="Arial" w:hAnsi="Arial" w:cs="Arial"/>
          <w:color w:val="0000FF"/>
          <w:sz w:val="20"/>
        </w:rPr>
        <w:t>BIOMARKERS ............................................................................................................................... 77</w:t>
      </w:r>
      <w:r>
        <w:rPr>
          <w:rFonts w:ascii="Calibri" w:eastAsia="Calibri" w:hAnsi="Calibri" w:cs="Calibri"/>
          <w:sz w:val="22"/>
        </w:rPr>
        <w:t xml:space="preserve"> </w:t>
      </w:r>
    </w:p>
    <w:p w14:paraId="4857BEE1" w14:textId="77777777" w:rsidR="000B3C5C" w:rsidRDefault="00ED192D">
      <w:pPr>
        <w:numPr>
          <w:ilvl w:val="2"/>
          <w:numId w:val="4"/>
        </w:numPr>
        <w:spacing w:after="119" w:line="251" w:lineRule="auto"/>
        <w:ind w:hanging="852"/>
        <w:jc w:val="both"/>
      </w:pPr>
      <w:r>
        <w:rPr>
          <w:rFonts w:ascii="Arial" w:eastAsia="Arial" w:hAnsi="Arial" w:cs="Arial"/>
          <w:color w:val="0000FF"/>
          <w:sz w:val="20"/>
        </w:rPr>
        <w:t>Immunogenicity assessments ........................................................................................................ 77</w:t>
      </w:r>
      <w:r>
        <w:rPr>
          <w:rFonts w:ascii="Calibri" w:eastAsia="Calibri" w:hAnsi="Calibri" w:cs="Calibri"/>
          <w:sz w:val="22"/>
        </w:rPr>
        <w:t xml:space="preserve"> </w:t>
      </w:r>
    </w:p>
    <w:p w14:paraId="694289DD" w14:textId="77777777" w:rsidR="000B3C5C" w:rsidRDefault="00ED192D">
      <w:pPr>
        <w:numPr>
          <w:ilvl w:val="2"/>
          <w:numId w:val="4"/>
        </w:numPr>
        <w:spacing w:after="236" w:line="251" w:lineRule="auto"/>
        <w:ind w:hanging="852"/>
        <w:jc w:val="both"/>
      </w:pPr>
      <w:r>
        <w:rPr>
          <w:rFonts w:ascii="Arial" w:eastAsia="Arial" w:hAnsi="Arial" w:cs="Arial"/>
          <w:color w:val="0000FF"/>
          <w:sz w:val="20"/>
        </w:rPr>
        <w:t xml:space="preserve">RNA transcriptome research </w:t>
      </w:r>
      <w:r>
        <w:rPr>
          <w:rFonts w:ascii="Arial" w:eastAsia="Arial" w:hAnsi="Arial" w:cs="Arial"/>
          <w:color w:val="0000FF"/>
          <w:sz w:val="20"/>
        </w:rPr>
        <w:t>.......................................................................................................... 78</w:t>
      </w:r>
      <w:r>
        <w:rPr>
          <w:rFonts w:ascii="Calibri" w:eastAsia="Calibri" w:hAnsi="Calibri" w:cs="Calibri"/>
          <w:sz w:val="22"/>
        </w:rPr>
        <w:t xml:space="preserve"> </w:t>
      </w:r>
    </w:p>
    <w:p w14:paraId="38AFD21B" w14:textId="77777777" w:rsidR="000B3C5C" w:rsidRDefault="00ED192D">
      <w:pPr>
        <w:tabs>
          <w:tab w:val="center" w:pos="4438"/>
        </w:tabs>
        <w:spacing w:after="7" w:line="251" w:lineRule="auto"/>
        <w:ind w:left="-13" w:firstLine="0"/>
      </w:pPr>
      <w:r>
        <w:rPr>
          <w:rFonts w:ascii="Arial" w:eastAsia="Arial" w:hAnsi="Arial" w:cs="Arial"/>
          <w:color w:val="0000FF"/>
          <w:sz w:val="20"/>
        </w:rPr>
        <w:t>8.9</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 xml:space="preserve">HEALTH ECONOMICS OR MEDICAL RESOURCE UTILIZATION AND HEALTH </w:t>
      </w:r>
    </w:p>
    <w:p w14:paraId="4C1C2216" w14:textId="77777777" w:rsidR="000B3C5C" w:rsidRDefault="00ED192D">
      <w:pPr>
        <w:spacing w:after="14" w:line="452" w:lineRule="auto"/>
        <w:ind w:left="-13" w:firstLine="852"/>
        <w:jc w:val="both"/>
      </w:pPr>
      <w:r>
        <w:rPr>
          <w:rFonts w:ascii="Arial" w:eastAsia="Arial" w:hAnsi="Arial" w:cs="Arial"/>
          <w:color w:val="0000FF"/>
          <w:sz w:val="20"/>
        </w:rPr>
        <w:t>ECONOMICS ................................................................................................................................. 78</w:t>
      </w:r>
      <w:r>
        <w:rPr>
          <w:rFonts w:ascii="Calibri" w:eastAsia="Calibri" w:hAnsi="Calibri" w:cs="Calibri"/>
          <w:sz w:val="22"/>
        </w:rPr>
        <w:t xml:space="preserve"> </w:t>
      </w:r>
      <w:r>
        <w:rPr>
          <w:rFonts w:ascii="Arial" w:eastAsia="Arial" w:hAnsi="Arial" w:cs="Arial"/>
          <w:b/>
          <w:color w:val="0000FF"/>
          <w:sz w:val="20"/>
        </w:rPr>
        <w:t>9</w:t>
      </w:r>
      <w:r>
        <w:rPr>
          <w:rFonts w:ascii="Calibri" w:eastAsia="Calibri" w:hAnsi="Calibri" w:cs="Calibri"/>
          <w:color w:val="0000FF"/>
          <w:sz w:val="22"/>
        </w:rPr>
        <w:t xml:space="preserve"> </w:t>
      </w:r>
      <w:r>
        <w:rPr>
          <w:rFonts w:ascii="Arial" w:eastAsia="Arial" w:hAnsi="Arial" w:cs="Arial"/>
          <w:b/>
          <w:color w:val="0000FF"/>
          <w:sz w:val="20"/>
        </w:rPr>
        <w:t>STATISTICAL CONSIDERATIONS .............................................................................................. 79</w:t>
      </w:r>
      <w:r>
        <w:rPr>
          <w:rFonts w:ascii="Calibri" w:eastAsia="Calibri" w:hAnsi="Calibri" w:cs="Calibri"/>
          <w:sz w:val="22"/>
        </w:rPr>
        <w:t xml:space="preserve"> </w:t>
      </w:r>
    </w:p>
    <w:p w14:paraId="6E547C62" w14:textId="77777777" w:rsidR="000B3C5C" w:rsidRDefault="00ED192D">
      <w:pPr>
        <w:numPr>
          <w:ilvl w:val="1"/>
          <w:numId w:val="2"/>
        </w:numPr>
        <w:spacing w:after="236" w:line="251" w:lineRule="auto"/>
        <w:ind w:hanging="852"/>
        <w:jc w:val="both"/>
      </w:pPr>
      <w:r>
        <w:rPr>
          <w:rFonts w:ascii="Arial" w:eastAsia="Arial" w:hAnsi="Arial" w:cs="Arial"/>
          <w:color w:val="0000FF"/>
          <w:sz w:val="20"/>
        </w:rPr>
        <w:t>STATISTICAL HYPOTHESES ....................................................................................................... 79</w:t>
      </w:r>
      <w:r>
        <w:rPr>
          <w:rFonts w:ascii="Calibri" w:eastAsia="Calibri" w:hAnsi="Calibri" w:cs="Calibri"/>
          <w:sz w:val="22"/>
        </w:rPr>
        <w:t xml:space="preserve"> </w:t>
      </w:r>
    </w:p>
    <w:p w14:paraId="3A34A600" w14:textId="77777777" w:rsidR="000B3C5C" w:rsidRDefault="00ED192D">
      <w:pPr>
        <w:numPr>
          <w:ilvl w:val="1"/>
          <w:numId w:val="2"/>
        </w:numPr>
        <w:spacing w:after="236" w:line="251" w:lineRule="auto"/>
        <w:ind w:hanging="852"/>
        <w:jc w:val="both"/>
      </w:pPr>
      <w:r>
        <w:rPr>
          <w:rFonts w:ascii="Arial" w:eastAsia="Arial" w:hAnsi="Arial" w:cs="Arial"/>
          <w:color w:val="0000FF"/>
          <w:sz w:val="20"/>
        </w:rPr>
        <w:t>SAMPLE SIZE DETERMINATION ................................................................................................. 79</w:t>
      </w:r>
      <w:r>
        <w:rPr>
          <w:rFonts w:ascii="Calibri" w:eastAsia="Calibri" w:hAnsi="Calibri" w:cs="Calibri"/>
          <w:sz w:val="22"/>
        </w:rPr>
        <w:t xml:space="preserve"> </w:t>
      </w:r>
    </w:p>
    <w:p w14:paraId="10D12525" w14:textId="77777777" w:rsidR="000B3C5C" w:rsidRDefault="00ED192D">
      <w:pPr>
        <w:numPr>
          <w:ilvl w:val="1"/>
          <w:numId w:val="2"/>
        </w:numPr>
        <w:spacing w:after="236" w:line="251" w:lineRule="auto"/>
        <w:ind w:hanging="852"/>
        <w:jc w:val="both"/>
      </w:pPr>
      <w:r>
        <w:rPr>
          <w:rFonts w:ascii="Arial" w:eastAsia="Arial" w:hAnsi="Arial" w:cs="Arial"/>
          <w:color w:val="0000FF"/>
          <w:sz w:val="20"/>
        </w:rPr>
        <w:t>POPULATIONS FOR ANALYSES ................................................................................................. 80</w:t>
      </w:r>
    </w:p>
    <w:p w14:paraId="428AB96F" w14:textId="77777777" w:rsidR="000B3C5C" w:rsidRDefault="00ED192D">
      <w:pPr>
        <w:numPr>
          <w:ilvl w:val="1"/>
          <w:numId w:val="2"/>
        </w:numPr>
        <w:spacing w:after="116" w:line="251" w:lineRule="auto"/>
        <w:ind w:hanging="852"/>
        <w:jc w:val="both"/>
      </w:pPr>
      <w:r>
        <w:rPr>
          <w:rFonts w:ascii="Arial" w:eastAsia="Arial" w:hAnsi="Arial" w:cs="Arial"/>
          <w:color w:val="0000FF"/>
          <w:sz w:val="20"/>
        </w:rPr>
        <w:t>STATISTICAL ANALYSES ............................................................................................................ 81</w:t>
      </w:r>
    </w:p>
    <w:p w14:paraId="5EF8AB9E" w14:textId="77777777" w:rsidR="000B3C5C" w:rsidRDefault="00ED192D">
      <w:pPr>
        <w:numPr>
          <w:ilvl w:val="2"/>
          <w:numId w:val="10"/>
        </w:numPr>
        <w:spacing w:after="118" w:line="251" w:lineRule="auto"/>
        <w:ind w:hanging="852"/>
        <w:jc w:val="both"/>
      </w:pPr>
      <w:r>
        <w:rPr>
          <w:rFonts w:ascii="Arial" w:eastAsia="Arial" w:hAnsi="Arial" w:cs="Arial"/>
          <w:color w:val="0000FF"/>
          <w:sz w:val="20"/>
        </w:rPr>
        <w:t xml:space="preserve">Efficacy analyses </w:t>
      </w:r>
      <w:r>
        <w:rPr>
          <w:rFonts w:ascii="Arial" w:eastAsia="Arial" w:hAnsi="Arial" w:cs="Arial"/>
          <w:color w:val="0000FF"/>
          <w:sz w:val="20"/>
        </w:rPr>
        <w:t>........................................................................................................................... 81</w:t>
      </w:r>
      <w:r>
        <w:rPr>
          <w:rFonts w:ascii="Calibri" w:eastAsia="Calibri" w:hAnsi="Calibri" w:cs="Calibri"/>
          <w:sz w:val="22"/>
        </w:rPr>
        <w:t xml:space="preserve"> </w:t>
      </w:r>
    </w:p>
    <w:p w14:paraId="04DCB381" w14:textId="77777777" w:rsidR="000B3C5C" w:rsidRDefault="00ED192D">
      <w:pPr>
        <w:numPr>
          <w:ilvl w:val="2"/>
          <w:numId w:val="10"/>
        </w:numPr>
        <w:spacing w:after="118" w:line="251" w:lineRule="auto"/>
        <w:ind w:hanging="852"/>
        <w:jc w:val="both"/>
      </w:pPr>
      <w:r>
        <w:rPr>
          <w:rFonts w:ascii="Arial" w:eastAsia="Arial" w:hAnsi="Arial" w:cs="Arial"/>
          <w:color w:val="0000FF"/>
          <w:sz w:val="20"/>
        </w:rPr>
        <w:t>Safety analyses .............................................................................................................................. 82</w:t>
      </w:r>
      <w:r>
        <w:rPr>
          <w:rFonts w:ascii="Calibri" w:eastAsia="Calibri" w:hAnsi="Calibri" w:cs="Calibri"/>
          <w:sz w:val="22"/>
        </w:rPr>
        <w:t xml:space="preserve"> </w:t>
      </w:r>
    </w:p>
    <w:p w14:paraId="21DF0CF2" w14:textId="77777777" w:rsidR="000B3C5C" w:rsidRDefault="00ED192D">
      <w:pPr>
        <w:numPr>
          <w:ilvl w:val="2"/>
          <w:numId w:val="10"/>
        </w:numPr>
        <w:spacing w:after="236" w:line="251" w:lineRule="auto"/>
        <w:ind w:hanging="852"/>
        <w:jc w:val="both"/>
      </w:pPr>
      <w:r>
        <w:rPr>
          <w:rFonts w:ascii="Arial" w:eastAsia="Arial" w:hAnsi="Arial" w:cs="Arial"/>
          <w:color w:val="0000FF"/>
          <w:sz w:val="20"/>
        </w:rPr>
        <w:t>Other analyses ............................................................................................................................... 84</w:t>
      </w:r>
      <w:r>
        <w:rPr>
          <w:rFonts w:ascii="Calibri" w:eastAsia="Calibri" w:hAnsi="Calibri" w:cs="Calibri"/>
          <w:sz w:val="22"/>
        </w:rPr>
        <w:t xml:space="preserve"> </w:t>
      </w:r>
    </w:p>
    <w:p w14:paraId="0500526B" w14:textId="77777777" w:rsidR="000B3C5C" w:rsidRDefault="00ED192D">
      <w:pPr>
        <w:tabs>
          <w:tab w:val="right" w:pos="9473"/>
        </w:tabs>
        <w:spacing w:after="236" w:line="251" w:lineRule="auto"/>
        <w:ind w:left="-13" w:firstLine="0"/>
      </w:pPr>
      <w:r>
        <w:rPr>
          <w:rFonts w:ascii="Arial" w:eastAsia="Arial" w:hAnsi="Arial" w:cs="Arial"/>
          <w:color w:val="0000FF"/>
          <w:sz w:val="20"/>
        </w:rPr>
        <w:t>9.5</w:t>
      </w:r>
      <w:r>
        <w:rPr>
          <w:rFonts w:ascii="Calibri" w:eastAsia="Calibri" w:hAnsi="Calibri" w:cs="Calibri"/>
          <w:color w:val="0000FF"/>
          <w:sz w:val="22"/>
        </w:rPr>
        <w:t xml:space="preserve"> </w:t>
      </w:r>
      <w:r>
        <w:rPr>
          <w:rFonts w:ascii="Calibri" w:eastAsia="Calibri" w:hAnsi="Calibri" w:cs="Calibri"/>
          <w:color w:val="0000FF"/>
          <w:sz w:val="22"/>
        </w:rPr>
        <w:tab/>
      </w:r>
      <w:r>
        <w:rPr>
          <w:rFonts w:ascii="Arial" w:eastAsia="Arial" w:hAnsi="Arial" w:cs="Arial"/>
          <w:color w:val="0000FF"/>
          <w:sz w:val="20"/>
        </w:rPr>
        <w:t>INTERIM ANALYSES .................................................................................................................... 84</w:t>
      </w:r>
      <w:r>
        <w:rPr>
          <w:rFonts w:ascii="Calibri" w:eastAsia="Calibri" w:hAnsi="Calibri" w:cs="Calibri"/>
          <w:sz w:val="22"/>
        </w:rPr>
        <w:t xml:space="preserve"> </w:t>
      </w:r>
    </w:p>
    <w:p w14:paraId="786696AE" w14:textId="77777777" w:rsidR="000B3C5C" w:rsidRDefault="00ED192D">
      <w:pPr>
        <w:numPr>
          <w:ilvl w:val="0"/>
          <w:numId w:val="11"/>
        </w:numPr>
        <w:spacing w:line="259" w:lineRule="auto"/>
        <w:ind w:hanging="852"/>
      </w:pPr>
      <w:r>
        <w:rPr>
          <w:rFonts w:ascii="Arial" w:eastAsia="Arial" w:hAnsi="Arial" w:cs="Arial"/>
          <w:b/>
          <w:color w:val="0000FF"/>
          <w:sz w:val="20"/>
        </w:rPr>
        <w:t>SUPPORTING DOCUMENTATION AND OPERATIONAL CONSIDERATIONS ........................ 85</w:t>
      </w:r>
      <w:r>
        <w:rPr>
          <w:rFonts w:ascii="Calibri" w:eastAsia="Calibri" w:hAnsi="Calibri" w:cs="Calibri"/>
          <w:sz w:val="22"/>
        </w:rPr>
        <w:t xml:space="preserve"> </w:t>
      </w:r>
    </w:p>
    <w:p w14:paraId="12AF79D0" w14:textId="77777777" w:rsidR="000B3C5C" w:rsidRDefault="00ED192D">
      <w:pPr>
        <w:numPr>
          <w:ilvl w:val="1"/>
          <w:numId w:val="11"/>
        </w:numPr>
        <w:spacing w:after="116" w:line="251" w:lineRule="auto"/>
        <w:ind w:hanging="852"/>
        <w:jc w:val="both"/>
      </w:pPr>
      <w:r>
        <w:rPr>
          <w:rFonts w:ascii="Arial" w:eastAsia="Arial" w:hAnsi="Arial" w:cs="Arial"/>
          <w:color w:val="0000FF"/>
          <w:sz w:val="20"/>
        </w:rPr>
        <w:t>APPENDIX 1: REGULATORY, ETHICAL, AND STUDY OVERSIGHT CONSIDERATIONS ....... 85</w:t>
      </w:r>
      <w:r>
        <w:rPr>
          <w:rFonts w:ascii="Calibri" w:eastAsia="Calibri" w:hAnsi="Calibri" w:cs="Calibri"/>
          <w:sz w:val="22"/>
        </w:rPr>
        <w:t xml:space="preserve"> </w:t>
      </w:r>
    </w:p>
    <w:p w14:paraId="70E0E9EA" w14:textId="77777777" w:rsidR="000B3C5C" w:rsidRDefault="00ED192D">
      <w:pPr>
        <w:numPr>
          <w:ilvl w:val="2"/>
          <w:numId w:val="11"/>
        </w:numPr>
        <w:spacing w:after="119" w:line="251" w:lineRule="auto"/>
        <w:ind w:hanging="852"/>
        <w:jc w:val="both"/>
      </w:pPr>
      <w:r>
        <w:rPr>
          <w:rFonts w:ascii="Arial" w:eastAsia="Arial" w:hAnsi="Arial" w:cs="Arial"/>
          <w:color w:val="0000FF"/>
          <w:sz w:val="20"/>
        </w:rPr>
        <w:t>Regulatory and Ethical Considerations .......................................................................................... 85</w:t>
      </w:r>
      <w:r>
        <w:rPr>
          <w:rFonts w:ascii="Calibri" w:eastAsia="Calibri" w:hAnsi="Calibri" w:cs="Calibri"/>
          <w:sz w:val="22"/>
        </w:rPr>
        <w:t xml:space="preserve"> </w:t>
      </w:r>
    </w:p>
    <w:p w14:paraId="7F7AAF8A" w14:textId="77777777" w:rsidR="000B3C5C" w:rsidRDefault="00ED192D">
      <w:pPr>
        <w:numPr>
          <w:ilvl w:val="2"/>
          <w:numId w:val="11"/>
        </w:numPr>
        <w:spacing w:after="118" w:line="251" w:lineRule="auto"/>
        <w:ind w:hanging="852"/>
        <w:jc w:val="both"/>
      </w:pPr>
      <w:r>
        <w:rPr>
          <w:rFonts w:ascii="Arial" w:eastAsia="Arial" w:hAnsi="Arial" w:cs="Arial"/>
          <w:color w:val="0000FF"/>
          <w:sz w:val="20"/>
        </w:rPr>
        <w:t>Informed Consent Process ............................................................................................................ 85</w:t>
      </w:r>
      <w:r>
        <w:rPr>
          <w:rFonts w:ascii="Calibri" w:eastAsia="Calibri" w:hAnsi="Calibri" w:cs="Calibri"/>
          <w:sz w:val="22"/>
        </w:rPr>
        <w:t xml:space="preserve"> </w:t>
      </w:r>
    </w:p>
    <w:p w14:paraId="20AD32CD" w14:textId="77777777" w:rsidR="000B3C5C" w:rsidRDefault="00ED192D">
      <w:pPr>
        <w:numPr>
          <w:ilvl w:val="2"/>
          <w:numId w:val="11"/>
        </w:numPr>
        <w:spacing w:after="118" w:line="251" w:lineRule="auto"/>
        <w:ind w:hanging="852"/>
        <w:jc w:val="both"/>
      </w:pPr>
      <w:r>
        <w:rPr>
          <w:rFonts w:ascii="Arial" w:eastAsia="Arial" w:hAnsi="Arial" w:cs="Arial"/>
          <w:color w:val="0000FF"/>
          <w:sz w:val="20"/>
        </w:rPr>
        <w:t>Data Protection .............................................................................................................................. 86</w:t>
      </w:r>
      <w:r>
        <w:rPr>
          <w:rFonts w:ascii="Calibri" w:eastAsia="Calibri" w:hAnsi="Calibri" w:cs="Calibri"/>
          <w:sz w:val="22"/>
        </w:rPr>
        <w:t xml:space="preserve"> </w:t>
      </w:r>
    </w:p>
    <w:p w14:paraId="2F82AB14" w14:textId="77777777" w:rsidR="000B3C5C" w:rsidRDefault="00ED192D">
      <w:pPr>
        <w:numPr>
          <w:ilvl w:val="2"/>
          <w:numId w:val="11"/>
        </w:numPr>
        <w:spacing w:after="118" w:line="251" w:lineRule="auto"/>
        <w:ind w:hanging="852"/>
        <w:jc w:val="both"/>
      </w:pPr>
      <w:r>
        <w:rPr>
          <w:rFonts w:ascii="Arial" w:eastAsia="Arial" w:hAnsi="Arial" w:cs="Arial"/>
          <w:color w:val="0000FF"/>
          <w:sz w:val="20"/>
        </w:rPr>
        <w:t>Committees Structure .................................................................................................................... 86</w:t>
      </w:r>
      <w:r>
        <w:rPr>
          <w:rFonts w:ascii="Calibri" w:eastAsia="Calibri" w:hAnsi="Calibri" w:cs="Calibri"/>
          <w:sz w:val="22"/>
        </w:rPr>
        <w:t xml:space="preserve"> </w:t>
      </w:r>
    </w:p>
    <w:p w14:paraId="42E9F87B" w14:textId="77777777" w:rsidR="000B3C5C" w:rsidRDefault="00ED192D">
      <w:pPr>
        <w:numPr>
          <w:ilvl w:val="2"/>
          <w:numId w:val="11"/>
        </w:numPr>
        <w:spacing w:after="118" w:line="251" w:lineRule="auto"/>
        <w:ind w:hanging="852"/>
        <w:jc w:val="both"/>
      </w:pPr>
      <w:r>
        <w:rPr>
          <w:rFonts w:ascii="Arial" w:eastAsia="Arial" w:hAnsi="Arial" w:cs="Arial"/>
          <w:color w:val="0000FF"/>
          <w:sz w:val="20"/>
        </w:rPr>
        <w:t>Dissemination of Clinical Study Data ............................................................................................. 87</w:t>
      </w:r>
      <w:r>
        <w:rPr>
          <w:rFonts w:ascii="Calibri" w:eastAsia="Calibri" w:hAnsi="Calibri" w:cs="Calibri"/>
          <w:sz w:val="22"/>
        </w:rPr>
        <w:t xml:space="preserve"> </w:t>
      </w:r>
    </w:p>
    <w:p w14:paraId="24EE54D6" w14:textId="77777777" w:rsidR="000B3C5C" w:rsidRDefault="00ED192D">
      <w:pPr>
        <w:numPr>
          <w:ilvl w:val="2"/>
          <w:numId w:val="11"/>
        </w:numPr>
        <w:spacing w:after="116" w:line="251" w:lineRule="auto"/>
        <w:ind w:hanging="852"/>
        <w:jc w:val="both"/>
      </w:pPr>
      <w:r>
        <w:rPr>
          <w:rFonts w:ascii="Arial" w:eastAsia="Arial" w:hAnsi="Arial" w:cs="Arial"/>
          <w:color w:val="0000FF"/>
          <w:sz w:val="20"/>
        </w:rPr>
        <w:t>Data Quality Assurance ................................................................................................................. 87</w:t>
      </w:r>
      <w:r>
        <w:rPr>
          <w:rFonts w:ascii="Calibri" w:eastAsia="Calibri" w:hAnsi="Calibri" w:cs="Calibri"/>
          <w:sz w:val="22"/>
        </w:rPr>
        <w:t xml:space="preserve"> </w:t>
      </w:r>
    </w:p>
    <w:p w14:paraId="66395A86" w14:textId="77777777" w:rsidR="000B3C5C" w:rsidRDefault="00ED192D">
      <w:pPr>
        <w:numPr>
          <w:ilvl w:val="2"/>
          <w:numId w:val="11"/>
        </w:numPr>
        <w:spacing w:after="118" w:line="251" w:lineRule="auto"/>
        <w:ind w:hanging="852"/>
        <w:jc w:val="both"/>
      </w:pPr>
      <w:r>
        <w:rPr>
          <w:rFonts w:ascii="Arial" w:eastAsia="Arial" w:hAnsi="Arial" w:cs="Arial"/>
          <w:color w:val="0000FF"/>
          <w:sz w:val="20"/>
        </w:rPr>
        <w:t>Source documents ......................................................................................................................... 88</w:t>
      </w:r>
      <w:r>
        <w:rPr>
          <w:rFonts w:ascii="Calibri" w:eastAsia="Calibri" w:hAnsi="Calibri" w:cs="Calibri"/>
          <w:sz w:val="22"/>
        </w:rPr>
        <w:t xml:space="preserve"> </w:t>
      </w:r>
    </w:p>
    <w:p w14:paraId="4152BD24" w14:textId="77777777" w:rsidR="000B3C5C" w:rsidRDefault="00ED192D">
      <w:pPr>
        <w:numPr>
          <w:ilvl w:val="2"/>
          <w:numId w:val="11"/>
        </w:numPr>
        <w:spacing w:after="118" w:line="251" w:lineRule="auto"/>
        <w:ind w:hanging="852"/>
        <w:jc w:val="both"/>
      </w:pPr>
      <w:r>
        <w:rPr>
          <w:rFonts w:ascii="Arial" w:eastAsia="Arial" w:hAnsi="Arial" w:cs="Arial"/>
          <w:color w:val="0000FF"/>
          <w:sz w:val="20"/>
        </w:rPr>
        <w:t>Study and Site Closure .................................................................................................................. 88</w:t>
      </w:r>
      <w:r>
        <w:rPr>
          <w:rFonts w:ascii="Calibri" w:eastAsia="Calibri" w:hAnsi="Calibri" w:cs="Calibri"/>
          <w:sz w:val="22"/>
        </w:rPr>
        <w:t xml:space="preserve"> </w:t>
      </w:r>
    </w:p>
    <w:p w14:paraId="1E2EEE97" w14:textId="77777777" w:rsidR="000B3C5C" w:rsidRDefault="00ED192D">
      <w:pPr>
        <w:numPr>
          <w:ilvl w:val="2"/>
          <w:numId w:val="11"/>
        </w:numPr>
        <w:spacing w:after="236" w:line="251" w:lineRule="auto"/>
        <w:ind w:hanging="852"/>
        <w:jc w:val="both"/>
      </w:pPr>
      <w:r>
        <w:rPr>
          <w:rFonts w:ascii="Arial" w:eastAsia="Arial" w:hAnsi="Arial" w:cs="Arial"/>
          <w:color w:val="0000FF"/>
          <w:sz w:val="20"/>
        </w:rPr>
        <w:t xml:space="preserve">Publication Policy </w:t>
      </w:r>
      <w:r>
        <w:rPr>
          <w:rFonts w:ascii="Arial" w:eastAsia="Arial" w:hAnsi="Arial" w:cs="Arial"/>
          <w:color w:val="0000FF"/>
          <w:sz w:val="20"/>
        </w:rPr>
        <w:t>........................................................................................................................... 88</w:t>
      </w:r>
      <w:r>
        <w:rPr>
          <w:rFonts w:ascii="Calibri" w:eastAsia="Calibri" w:hAnsi="Calibri" w:cs="Calibri"/>
          <w:sz w:val="22"/>
        </w:rPr>
        <w:t xml:space="preserve"> </w:t>
      </w:r>
    </w:p>
    <w:p w14:paraId="0983C889" w14:textId="77777777" w:rsidR="000B3C5C" w:rsidRDefault="00ED192D">
      <w:pPr>
        <w:numPr>
          <w:ilvl w:val="1"/>
          <w:numId w:val="11"/>
        </w:numPr>
        <w:spacing w:after="7" w:line="251" w:lineRule="auto"/>
        <w:ind w:hanging="852"/>
        <w:jc w:val="both"/>
      </w:pPr>
      <w:r>
        <w:rPr>
          <w:rFonts w:ascii="Arial" w:eastAsia="Arial" w:hAnsi="Arial" w:cs="Arial"/>
          <w:color w:val="0000FF"/>
          <w:sz w:val="20"/>
        </w:rPr>
        <w:t xml:space="preserve">APPENDIX 2: ADVERSE EVENTS: DEFINITIONS AND PROCEDURES FOR </w:t>
      </w:r>
    </w:p>
    <w:p w14:paraId="1FB0F3A8" w14:textId="77777777" w:rsidR="000B3C5C" w:rsidRDefault="00ED192D">
      <w:pPr>
        <w:spacing w:after="230" w:line="259" w:lineRule="auto"/>
        <w:ind w:left="10" w:right="-13"/>
        <w:jc w:val="right"/>
      </w:pPr>
      <w:r>
        <w:rPr>
          <w:rFonts w:ascii="Arial" w:eastAsia="Arial" w:hAnsi="Arial" w:cs="Arial"/>
          <w:color w:val="0000FF"/>
          <w:sz w:val="20"/>
        </w:rPr>
        <w:t>RECORDING, EVALUATING, FOLLOW-UP, AND REPORTING ................................................ 89</w:t>
      </w:r>
      <w:r>
        <w:rPr>
          <w:rFonts w:ascii="Calibri" w:eastAsia="Calibri" w:hAnsi="Calibri" w:cs="Calibri"/>
          <w:sz w:val="22"/>
        </w:rPr>
        <w:t xml:space="preserve"> </w:t>
      </w:r>
    </w:p>
    <w:p w14:paraId="62803D3C"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3: CLINICAL LABORATORY TESTS ......................................................................... 92</w:t>
      </w:r>
      <w:r>
        <w:rPr>
          <w:rFonts w:ascii="Calibri" w:eastAsia="Calibri" w:hAnsi="Calibri" w:cs="Calibri"/>
          <w:sz w:val="22"/>
        </w:rPr>
        <w:t xml:space="preserve"> </w:t>
      </w:r>
    </w:p>
    <w:p w14:paraId="6CBA1264" w14:textId="77777777" w:rsidR="000B3C5C" w:rsidRDefault="00ED192D">
      <w:pPr>
        <w:numPr>
          <w:ilvl w:val="1"/>
          <w:numId w:val="11"/>
        </w:numPr>
        <w:spacing w:after="7" w:line="251" w:lineRule="auto"/>
        <w:ind w:hanging="852"/>
        <w:jc w:val="both"/>
      </w:pPr>
      <w:r>
        <w:rPr>
          <w:rFonts w:ascii="Arial" w:eastAsia="Arial" w:hAnsi="Arial" w:cs="Arial"/>
          <w:color w:val="0000FF"/>
          <w:sz w:val="20"/>
        </w:rPr>
        <w:t xml:space="preserve">APPENDIX 4: CONTRACEPTIVE GUIDANCE AND COLLECTION OF PREGNANCY </w:t>
      </w:r>
    </w:p>
    <w:p w14:paraId="3960803D" w14:textId="77777777" w:rsidR="000B3C5C" w:rsidRDefault="00ED192D">
      <w:pPr>
        <w:spacing w:after="230" w:line="259" w:lineRule="auto"/>
        <w:ind w:left="10" w:right="-13"/>
        <w:jc w:val="right"/>
      </w:pPr>
      <w:r>
        <w:rPr>
          <w:rFonts w:ascii="Arial" w:eastAsia="Arial" w:hAnsi="Arial" w:cs="Arial"/>
          <w:color w:val="0000FF"/>
          <w:sz w:val="20"/>
        </w:rPr>
        <w:t>INFORMATION .............................................................................................................................. 94</w:t>
      </w:r>
      <w:r>
        <w:rPr>
          <w:rFonts w:ascii="Calibri" w:eastAsia="Calibri" w:hAnsi="Calibri" w:cs="Calibri"/>
          <w:sz w:val="22"/>
        </w:rPr>
        <w:t xml:space="preserve"> </w:t>
      </w:r>
    </w:p>
    <w:p w14:paraId="46246C04"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5: GENETICS ............................................................................................................. 97</w:t>
      </w:r>
      <w:r>
        <w:rPr>
          <w:rFonts w:ascii="Calibri" w:eastAsia="Calibri" w:hAnsi="Calibri" w:cs="Calibri"/>
          <w:sz w:val="22"/>
        </w:rPr>
        <w:t xml:space="preserve"> </w:t>
      </w:r>
    </w:p>
    <w:p w14:paraId="7E50B6B5" w14:textId="77777777" w:rsidR="000B3C5C" w:rsidRDefault="00ED192D">
      <w:pPr>
        <w:numPr>
          <w:ilvl w:val="1"/>
          <w:numId w:val="11"/>
        </w:numPr>
        <w:spacing w:after="7" w:line="251" w:lineRule="auto"/>
        <w:ind w:hanging="852"/>
        <w:jc w:val="both"/>
      </w:pPr>
      <w:r>
        <w:rPr>
          <w:rFonts w:ascii="Arial" w:eastAsia="Arial" w:hAnsi="Arial" w:cs="Arial"/>
          <w:color w:val="0000FF"/>
          <w:sz w:val="20"/>
        </w:rPr>
        <w:t xml:space="preserve">APPENDIX 6: LIVER AND OTHER SAFETY: SUGGESTED ACTIONS AND  FOLLOW-UP </w:t>
      </w:r>
    </w:p>
    <w:p w14:paraId="797E351D" w14:textId="77777777" w:rsidR="000B3C5C" w:rsidRDefault="00ED192D">
      <w:pPr>
        <w:spacing w:after="230" w:line="259" w:lineRule="auto"/>
        <w:ind w:left="10" w:right="-13"/>
        <w:jc w:val="right"/>
      </w:pPr>
      <w:r>
        <w:rPr>
          <w:rFonts w:ascii="Arial" w:eastAsia="Arial" w:hAnsi="Arial" w:cs="Arial"/>
          <w:color w:val="0000FF"/>
          <w:sz w:val="20"/>
        </w:rPr>
        <w:t>ASSESSMENTS ............................................................................................................................ 97</w:t>
      </w:r>
      <w:r>
        <w:rPr>
          <w:rFonts w:ascii="Calibri" w:eastAsia="Calibri" w:hAnsi="Calibri" w:cs="Calibri"/>
          <w:sz w:val="22"/>
        </w:rPr>
        <w:t xml:space="preserve"> </w:t>
      </w:r>
    </w:p>
    <w:p w14:paraId="79C88102" w14:textId="77777777" w:rsidR="000B3C5C" w:rsidRDefault="00ED192D">
      <w:pPr>
        <w:numPr>
          <w:ilvl w:val="1"/>
          <w:numId w:val="11"/>
        </w:numPr>
        <w:spacing w:after="7" w:line="251" w:lineRule="auto"/>
        <w:ind w:hanging="852"/>
        <w:jc w:val="both"/>
      </w:pPr>
      <w:r>
        <w:rPr>
          <w:rFonts w:ascii="Arial" w:eastAsia="Arial" w:hAnsi="Arial" w:cs="Arial"/>
          <w:color w:val="0000FF"/>
          <w:sz w:val="20"/>
        </w:rPr>
        <w:t xml:space="preserve">APPENDIX 7: MEDICAL DEVICE INCIDENTS: DEFINITION AND PROCEDURES FOR </w:t>
      </w:r>
    </w:p>
    <w:p w14:paraId="1C0A2416" w14:textId="77777777" w:rsidR="000B3C5C" w:rsidRDefault="00ED192D">
      <w:pPr>
        <w:spacing w:after="230" w:line="259" w:lineRule="auto"/>
        <w:ind w:left="10" w:right="-13"/>
        <w:jc w:val="right"/>
      </w:pPr>
      <w:r>
        <w:rPr>
          <w:rFonts w:ascii="Arial" w:eastAsia="Arial" w:hAnsi="Arial" w:cs="Arial"/>
          <w:color w:val="0000FF"/>
          <w:sz w:val="20"/>
        </w:rPr>
        <w:t>RECORDING, EVALUATING, FOLLOW-UP, AND REPORTING ................................................ 97</w:t>
      </w:r>
      <w:r>
        <w:rPr>
          <w:rFonts w:ascii="Calibri" w:eastAsia="Calibri" w:hAnsi="Calibri" w:cs="Calibri"/>
          <w:sz w:val="22"/>
        </w:rPr>
        <w:t xml:space="preserve"> </w:t>
      </w:r>
    </w:p>
    <w:p w14:paraId="4C172B4B" w14:textId="77777777" w:rsidR="000B3C5C" w:rsidRDefault="00ED192D">
      <w:pPr>
        <w:numPr>
          <w:ilvl w:val="1"/>
          <w:numId w:val="11"/>
        </w:numPr>
        <w:spacing w:after="118" w:line="251" w:lineRule="auto"/>
        <w:ind w:hanging="852"/>
        <w:jc w:val="both"/>
      </w:pPr>
      <w:r>
        <w:rPr>
          <w:rFonts w:ascii="Arial" w:eastAsia="Arial" w:hAnsi="Arial" w:cs="Arial"/>
          <w:color w:val="0000FF"/>
          <w:sz w:val="20"/>
        </w:rPr>
        <w:t>APPENDIX 8: COUNTRY-SPECIFIC REQUIREMENTS .............................................................. 98</w:t>
      </w:r>
      <w:r>
        <w:rPr>
          <w:rFonts w:ascii="Calibri" w:eastAsia="Calibri" w:hAnsi="Calibri" w:cs="Calibri"/>
          <w:sz w:val="22"/>
        </w:rPr>
        <w:t xml:space="preserve"> </w:t>
      </w:r>
    </w:p>
    <w:p w14:paraId="2FE4CB24" w14:textId="77777777" w:rsidR="000B3C5C" w:rsidRDefault="00ED192D">
      <w:pPr>
        <w:numPr>
          <w:ilvl w:val="2"/>
          <w:numId w:val="11"/>
        </w:numPr>
        <w:spacing w:after="236" w:line="251" w:lineRule="auto"/>
        <w:ind w:hanging="852"/>
        <w:jc w:val="both"/>
      </w:pPr>
      <w:r>
        <w:rPr>
          <w:rFonts w:ascii="Arial" w:eastAsia="Arial" w:hAnsi="Arial" w:cs="Arial"/>
          <w:color w:val="0000FF"/>
          <w:sz w:val="20"/>
        </w:rPr>
        <w:t>Amendment for France .................................................................................................................. 98</w:t>
      </w:r>
      <w:r>
        <w:rPr>
          <w:rFonts w:ascii="Calibri" w:eastAsia="Calibri" w:hAnsi="Calibri" w:cs="Calibri"/>
          <w:sz w:val="22"/>
        </w:rPr>
        <w:t xml:space="preserve"> </w:t>
      </w:r>
    </w:p>
    <w:p w14:paraId="7751F752"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9: ABBREVIATIONS ................................................................................................... 98</w:t>
      </w:r>
      <w:r>
        <w:rPr>
          <w:rFonts w:ascii="Calibri" w:eastAsia="Calibri" w:hAnsi="Calibri" w:cs="Calibri"/>
          <w:sz w:val="22"/>
        </w:rPr>
        <w:t xml:space="preserve"> </w:t>
      </w:r>
    </w:p>
    <w:p w14:paraId="1E89FD6D" w14:textId="77777777" w:rsidR="000B3C5C" w:rsidRDefault="00ED192D">
      <w:pPr>
        <w:numPr>
          <w:ilvl w:val="1"/>
          <w:numId w:val="11"/>
        </w:numPr>
        <w:spacing w:after="101" w:line="251" w:lineRule="auto"/>
        <w:ind w:hanging="852"/>
        <w:jc w:val="both"/>
      </w:pPr>
      <w:r>
        <w:rPr>
          <w:rFonts w:ascii="Arial" w:eastAsia="Arial" w:hAnsi="Arial" w:cs="Arial"/>
          <w:color w:val="0000FF"/>
          <w:sz w:val="20"/>
        </w:rPr>
        <w:t>APPENDIX 10: PROTOCOL AMENDMENT HISTORY .............................................................. 100</w:t>
      </w:r>
      <w:r>
        <w:rPr>
          <w:rFonts w:ascii="Calibri" w:eastAsia="Calibri" w:hAnsi="Calibri" w:cs="Calibri"/>
          <w:sz w:val="22"/>
        </w:rPr>
        <w:t xml:space="preserve"> </w:t>
      </w:r>
    </w:p>
    <w:p w14:paraId="2ECC0302" w14:textId="77777777" w:rsidR="000B3C5C" w:rsidRDefault="00ED192D">
      <w:pPr>
        <w:numPr>
          <w:ilvl w:val="2"/>
          <w:numId w:val="11"/>
        </w:numPr>
        <w:spacing w:after="104" w:line="251" w:lineRule="auto"/>
        <w:ind w:hanging="852"/>
        <w:jc w:val="both"/>
      </w:pPr>
      <w:r>
        <w:rPr>
          <w:rFonts w:ascii="Arial" w:eastAsia="Arial" w:hAnsi="Arial" w:cs="Arial"/>
          <w:color w:val="0000FF"/>
          <w:sz w:val="20"/>
        </w:rPr>
        <w:t xml:space="preserve">Amendment 01 (06-April-2018) </w:t>
      </w:r>
      <w:r>
        <w:rPr>
          <w:rFonts w:ascii="Arial" w:eastAsia="Arial" w:hAnsi="Arial" w:cs="Arial"/>
          <w:color w:val="0000FF"/>
          <w:sz w:val="20"/>
        </w:rPr>
        <w:t>.................................................................................................... 100</w:t>
      </w:r>
      <w:r>
        <w:rPr>
          <w:rFonts w:ascii="Calibri" w:eastAsia="Calibri" w:hAnsi="Calibri" w:cs="Calibri"/>
          <w:sz w:val="22"/>
        </w:rPr>
        <w:t xml:space="preserve"> </w:t>
      </w:r>
    </w:p>
    <w:p w14:paraId="639C3758" w14:textId="77777777" w:rsidR="000B3C5C" w:rsidRDefault="00ED192D">
      <w:pPr>
        <w:numPr>
          <w:ilvl w:val="2"/>
          <w:numId w:val="11"/>
        </w:numPr>
        <w:spacing w:after="104" w:line="251" w:lineRule="auto"/>
        <w:ind w:hanging="852"/>
        <w:jc w:val="both"/>
      </w:pPr>
      <w:r>
        <w:rPr>
          <w:rFonts w:ascii="Arial" w:eastAsia="Arial" w:hAnsi="Arial" w:cs="Arial"/>
          <w:color w:val="0000FF"/>
          <w:sz w:val="20"/>
        </w:rPr>
        <w:t>Amendment 02 (09-August-2018) ................................................................................................ 102</w:t>
      </w:r>
      <w:r>
        <w:rPr>
          <w:rFonts w:ascii="Calibri" w:eastAsia="Calibri" w:hAnsi="Calibri" w:cs="Calibri"/>
          <w:sz w:val="22"/>
        </w:rPr>
        <w:t xml:space="preserve"> </w:t>
      </w:r>
    </w:p>
    <w:p w14:paraId="7B042014" w14:textId="77777777" w:rsidR="000B3C5C" w:rsidRDefault="00ED192D">
      <w:pPr>
        <w:numPr>
          <w:ilvl w:val="2"/>
          <w:numId w:val="11"/>
        </w:numPr>
        <w:spacing w:after="104" w:line="251" w:lineRule="auto"/>
        <w:ind w:hanging="852"/>
        <w:jc w:val="both"/>
      </w:pPr>
      <w:r>
        <w:rPr>
          <w:rFonts w:ascii="Arial" w:eastAsia="Arial" w:hAnsi="Arial" w:cs="Arial"/>
          <w:color w:val="0000FF"/>
          <w:sz w:val="20"/>
        </w:rPr>
        <w:t>Amendment 03 (07 DECEMBER 2018) ....................................................................................... 104</w:t>
      </w:r>
      <w:r>
        <w:rPr>
          <w:rFonts w:ascii="Calibri" w:eastAsia="Calibri" w:hAnsi="Calibri" w:cs="Calibri"/>
          <w:sz w:val="22"/>
        </w:rPr>
        <w:t xml:space="preserve"> </w:t>
      </w:r>
    </w:p>
    <w:p w14:paraId="684F9BCB" w14:textId="77777777" w:rsidR="000B3C5C" w:rsidRDefault="00ED192D">
      <w:pPr>
        <w:numPr>
          <w:ilvl w:val="2"/>
          <w:numId w:val="11"/>
        </w:numPr>
        <w:spacing w:after="236" w:line="251" w:lineRule="auto"/>
        <w:ind w:hanging="852"/>
        <w:jc w:val="both"/>
      </w:pPr>
      <w:r>
        <w:rPr>
          <w:rFonts w:ascii="Arial" w:eastAsia="Arial" w:hAnsi="Arial" w:cs="Arial"/>
          <w:color w:val="0000FF"/>
          <w:sz w:val="20"/>
        </w:rPr>
        <w:t>Amendment 04 (11 June 2019) ................................................................................................... 107</w:t>
      </w:r>
      <w:r>
        <w:rPr>
          <w:rFonts w:ascii="Calibri" w:eastAsia="Calibri" w:hAnsi="Calibri" w:cs="Calibri"/>
          <w:sz w:val="22"/>
        </w:rPr>
        <w:t xml:space="preserve"> </w:t>
      </w:r>
    </w:p>
    <w:p w14:paraId="5118B69A"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11: RESPONSE EVALUATION CRITERIA IN SOLID TUMORS VERSION 1.1 ..... 108</w:t>
      </w:r>
    </w:p>
    <w:p w14:paraId="3C221573" w14:textId="77777777" w:rsidR="000B3C5C" w:rsidRDefault="00ED192D">
      <w:pPr>
        <w:numPr>
          <w:ilvl w:val="1"/>
          <w:numId w:val="11"/>
        </w:numPr>
        <w:spacing w:after="7" w:line="251" w:lineRule="auto"/>
        <w:ind w:hanging="852"/>
        <w:jc w:val="both"/>
      </w:pPr>
      <w:r>
        <w:rPr>
          <w:rFonts w:ascii="Arial" w:eastAsia="Arial" w:hAnsi="Arial" w:cs="Arial"/>
          <w:color w:val="0000FF"/>
          <w:sz w:val="20"/>
        </w:rPr>
        <w:t xml:space="preserve">APPENDIX 12: BARCELONA CLINIC LIVER CANCER (BCLC) STAGING </w:t>
      </w:r>
    </w:p>
    <w:p w14:paraId="029DBF03" w14:textId="77777777" w:rsidR="000B3C5C" w:rsidRDefault="00ED192D">
      <w:pPr>
        <w:spacing w:after="236" w:line="251" w:lineRule="auto"/>
        <w:ind w:left="864"/>
        <w:jc w:val="both"/>
      </w:pPr>
      <w:r>
        <w:rPr>
          <w:rFonts w:ascii="Arial" w:eastAsia="Arial" w:hAnsi="Arial" w:cs="Arial"/>
          <w:color w:val="0000FF"/>
          <w:sz w:val="20"/>
        </w:rPr>
        <w:t>CLASSIFICATION ........................................................................................................................ 116</w:t>
      </w:r>
      <w:r>
        <w:rPr>
          <w:rFonts w:ascii="Calibri" w:eastAsia="Calibri" w:hAnsi="Calibri" w:cs="Calibri"/>
          <w:sz w:val="22"/>
        </w:rPr>
        <w:t xml:space="preserve"> </w:t>
      </w:r>
    </w:p>
    <w:p w14:paraId="78B58E95"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13: CHILD PUGH SCORE ........................................................................................ 116</w:t>
      </w:r>
      <w:r>
        <w:rPr>
          <w:rFonts w:ascii="Calibri" w:eastAsia="Calibri" w:hAnsi="Calibri" w:cs="Calibri"/>
          <w:sz w:val="22"/>
        </w:rPr>
        <w:t xml:space="preserve"> </w:t>
      </w:r>
    </w:p>
    <w:p w14:paraId="682BE8AF"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14: PERFORMANCE STATUS................................................................................. 117</w:t>
      </w:r>
      <w:r>
        <w:rPr>
          <w:rFonts w:ascii="Calibri" w:eastAsia="Calibri" w:hAnsi="Calibri" w:cs="Calibri"/>
          <w:sz w:val="22"/>
        </w:rPr>
        <w:t xml:space="preserve"> </w:t>
      </w:r>
    </w:p>
    <w:p w14:paraId="778A6A65"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15: RESPONSE ASSESSMENT IN NEURO-ONCOLOGY (RANO) CRITERIA ..... 118</w:t>
      </w:r>
      <w:r>
        <w:rPr>
          <w:rFonts w:ascii="Calibri" w:eastAsia="Calibri" w:hAnsi="Calibri" w:cs="Calibri"/>
          <w:sz w:val="22"/>
        </w:rPr>
        <w:t xml:space="preserve"> </w:t>
      </w:r>
    </w:p>
    <w:p w14:paraId="1420A951" w14:textId="77777777" w:rsidR="000B3C5C" w:rsidRDefault="00ED192D">
      <w:pPr>
        <w:numPr>
          <w:ilvl w:val="1"/>
          <w:numId w:val="11"/>
        </w:numPr>
        <w:spacing w:after="7" w:line="251" w:lineRule="auto"/>
        <w:ind w:hanging="852"/>
        <w:jc w:val="both"/>
      </w:pPr>
      <w:r>
        <w:rPr>
          <w:rFonts w:ascii="Arial" w:eastAsia="Arial" w:hAnsi="Arial" w:cs="Arial"/>
          <w:color w:val="0000FF"/>
          <w:sz w:val="20"/>
        </w:rPr>
        <w:t xml:space="preserve">APPENDIX 16:  MODIFIED RESPONSE EVALUATION CRITERIA IN SOLID TUMORS </w:t>
      </w:r>
    </w:p>
    <w:p w14:paraId="440C4F3C" w14:textId="77777777" w:rsidR="000B3C5C" w:rsidRDefault="00ED192D">
      <w:pPr>
        <w:spacing w:after="236" w:line="251" w:lineRule="auto"/>
        <w:ind w:left="864"/>
        <w:jc w:val="both"/>
      </w:pPr>
      <w:r>
        <w:rPr>
          <w:rFonts w:ascii="Arial" w:eastAsia="Arial" w:hAnsi="Arial" w:cs="Arial"/>
          <w:color w:val="0000FF"/>
          <w:sz w:val="20"/>
        </w:rPr>
        <w:t>FOR IMMUNE-BASED THERAPEUTICS (IRECIST) .................................................................. 118</w:t>
      </w:r>
      <w:r>
        <w:rPr>
          <w:rFonts w:ascii="Calibri" w:eastAsia="Calibri" w:hAnsi="Calibri" w:cs="Calibri"/>
          <w:sz w:val="22"/>
        </w:rPr>
        <w:t xml:space="preserve"> </w:t>
      </w:r>
    </w:p>
    <w:p w14:paraId="27487D3A" w14:textId="77777777" w:rsidR="000B3C5C" w:rsidRDefault="00ED192D">
      <w:pPr>
        <w:numPr>
          <w:ilvl w:val="1"/>
          <w:numId w:val="11"/>
        </w:numPr>
        <w:spacing w:after="7" w:line="251" w:lineRule="auto"/>
        <w:ind w:hanging="852"/>
        <w:jc w:val="both"/>
      </w:pPr>
      <w:r>
        <w:rPr>
          <w:rFonts w:ascii="Arial" w:eastAsia="Arial" w:hAnsi="Arial" w:cs="Arial"/>
          <w:color w:val="0000FF"/>
          <w:sz w:val="20"/>
        </w:rPr>
        <w:t xml:space="preserve">APPENDIX 17: CA125 RESPONSE BY GYNAECOLOGIC CANCER INTERGROUP </w:t>
      </w:r>
    </w:p>
    <w:p w14:paraId="22F8D80A" w14:textId="77777777" w:rsidR="000B3C5C" w:rsidRDefault="00ED192D">
      <w:pPr>
        <w:spacing w:after="236" w:line="251" w:lineRule="auto"/>
        <w:ind w:left="864"/>
        <w:jc w:val="both"/>
      </w:pPr>
      <w:r>
        <w:rPr>
          <w:rFonts w:ascii="Arial" w:eastAsia="Arial" w:hAnsi="Arial" w:cs="Arial"/>
          <w:color w:val="0000FF"/>
          <w:sz w:val="20"/>
        </w:rPr>
        <w:t>(GCIG) CRITERIA ........................................................................................................................ 120</w:t>
      </w:r>
      <w:r>
        <w:rPr>
          <w:rFonts w:ascii="Calibri" w:eastAsia="Calibri" w:hAnsi="Calibri" w:cs="Calibri"/>
          <w:sz w:val="22"/>
        </w:rPr>
        <w:t xml:space="preserve"> </w:t>
      </w:r>
    </w:p>
    <w:p w14:paraId="3F84B36D" w14:textId="77777777" w:rsidR="000B3C5C" w:rsidRDefault="00ED192D">
      <w:pPr>
        <w:numPr>
          <w:ilvl w:val="1"/>
          <w:numId w:val="11"/>
        </w:numPr>
        <w:spacing w:after="7" w:line="251" w:lineRule="auto"/>
        <w:ind w:hanging="852"/>
        <w:jc w:val="both"/>
      </w:pPr>
      <w:r>
        <w:rPr>
          <w:rFonts w:ascii="Arial" w:eastAsia="Arial" w:hAnsi="Arial" w:cs="Arial"/>
          <w:color w:val="0000FF"/>
          <w:sz w:val="20"/>
        </w:rPr>
        <w:t xml:space="preserve">APPENDIX 18: IMMUNOTHERAPY RESPONSE ASSESSMENT IN NEURO-ONCOLOGY </w:t>
      </w:r>
    </w:p>
    <w:p w14:paraId="60E4347D" w14:textId="77777777" w:rsidR="000B3C5C" w:rsidRDefault="00ED192D">
      <w:pPr>
        <w:spacing w:after="236" w:line="251" w:lineRule="auto"/>
        <w:ind w:left="864"/>
        <w:jc w:val="both"/>
      </w:pPr>
      <w:r>
        <w:rPr>
          <w:rFonts w:ascii="Arial" w:eastAsia="Arial" w:hAnsi="Arial" w:cs="Arial"/>
          <w:color w:val="0000FF"/>
          <w:sz w:val="20"/>
        </w:rPr>
        <w:t>(IRANO) ....................................................................................................................................... 121</w:t>
      </w:r>
      <w:r>
        <w:rPr>
          <w:rFonts w:ascii="Calibri" w:eastAsia="Calibri" w:hAnsi="Calibri" w:cs="Calibri"/>
          <w:sz w:val="22"/>
        </w:rPr>
        <w:t xml:space="preserve"> </w:t>
      </w:r>
    </w:p>
    <w:p w14:paraId="2DBE7BB9" w14:textId="77777777" w:rsidR="000B3C5C" w:rsidRDefault="00ED192D">
      <w:pPr>
        <w:numPr>
          <w:ilvl w:val="1"/>
          <w:numId w:val="11"/>
        </w:numPr>
        <w:spacing w:after="7" w:line="251" w:lineRule="auto"/>
        <w:ind w:hanging="852"/>
        <w:jc w:val="both"/>
      </w:pPr>
      <w:r>
        <w:rPr>
          <w:rFonts w:ascii="Arial" w:eastAsia="Arial" w:hAnsi="Arial" w:cs="Arial"/>
          <w:color w:val="0000FF"/>
          <w:sz w:val="20"/>
        </w:rPr>
        <w:t xml:space="preserve">APPENDIX 19: CLUSTER OF DIFFERENTIATION 38 BLOOD TEST INTERFERENCE </w:t>
      </w:r>
    </w:p>
    <w:p w14:paraId="7F9D39A7" w14:textId="77777777" w:rsidR="000B3C5C" w:rsidRDefault="00ED192D">
      <w:pPr>
        <w:spacing w:after="236" w:line="251" w:lineRule="auto"/>
        <w:ind w:left="864"/>
        <w:jc w:val="both"/>
      </w:pPr>
      <w:r>
        <w:rPr>
          <w:rFonts w:ascii="Arial" w:eastAsia="Arial" w:hAnsi="Arial" w:cs="Arial"/>
          <w:color w:val="0000FF"/>
          <w:sz w:val="20"/>
        </w:rPr>
        <w:t>GUIDELINE AABB2016 ............................................................................................................... 123</w:t>
      </w:r>
      <w:r>
        <w:rPr>
          <w:rFonts w:ascii="Calibri" w:eastAsia="Calibri" w:hAnsi="Calibri" w:cs="Calibri"/>
          <w:sz w:val="22"/>
        </w:rPr>
        <w:t xml:space="preserve"> </w:t>
      </w:r>
    </w:p>
    <w:p w14:paraId="4DB9A684"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20: MODIFICATION OF DIET IN RENAL DISEASE (MDRD) EQUATION .............. 127</w:t>
      </w:r>
      <w:r>
        <w:rPr>
          <w:rFonts w:ascii="Calibri" w:eastAsia="Calibri" w:hAnsi="Calibri" w:cs="Calibri"/>
          <w:sz w:val="22"/>
        </w:rPr>
        <w:t xml:space="preserve"> </w:t>
      </w:r>
    </w:p>
    <w:p w14:paraId="6635F08A"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21: MANAGEMENT OF ATEZOLIZUMAB-SPECIFIC ADVERSE EVENTS ........... 127</w:t>
      </w:r>
      <w:r>
        <w:rPr>
          <w:rFonts w:ascii="Calibri" w:eastAsia="Calibri" w:hAnsi="Calibri" w:cs="Calibri"/>
          <w:sz w:val="22"/>
        </w:rPr>
        <w:t xml:space="preserve"> </w:t>
      </w:r>
    </w:p>
    <w:p w14:paraId="3E59CF20" w14:textId="77777777" w:rsidR="000B3C5C" w:rsidRDefault="00ED192D">
      <w:pPr>
        <w:numPr>
          <w:ilvl w:val="1"/>
          <w:numId w:val="11"/>
        </w:numPr>
        <w:spacing w:after="236" w:line="251" w:lineRule="auto"/>
        <w:ind w:hanging="852"/>
        <w:jc w:val="both"/>
      </w:pPr>
      <w:r>
        <w:rPr>
          <w:rFonts w:ascii="Arial" w:eastAsia="Arial" w:hAnsi="Arial" w:cs="Arial"/>
          <w:color w:val="0000FF"/>
          <w:sz w:val="20"/>
        </w:rPr>
        <w:t>APPENDIX 22: MANAGEMENT OF PATIENTS WITH HCV INFECTION .................................. 144</w:t>
      </w:r>
      <w:r>
        <w:rPr>
          <w:rFonts w:ascii="Calibri" w:eastAsia="Calibri" w:hAnsi="Calibri" w:cs="Calibri"/>
          <w:sz w:val="22"/>
        </w:rPr>
        <w:t xml:space="preserve"> </w:t>
      </w:r>
    </w:p>
    <w:p w14:paraId="166BD52C" w14:textId="77777777" w:rsidR="000B3C5C" w:rsidRDefault="00ED192D">
      <w:pPr>
        <w:numPr>
          <w:ilvl w:val="0"/>
          <w:numId w:val="11"/>
        </w:numPr>
        <w:spacing w:after="232" w:line="259" w:lineRule="auto"/>
        <w:ind w:hanging="852"/>
      </w:pPr>
      <w:r>
        <w:rPr>
          <w:rFonts w:ascii="Arial" w:eastAsia="Arial" w:hAnsi="Arial" w:cs="Arial"/>
          <w:b/>
          <w:color w:val="0000FF"/>
          <w:sz w:val="20"/>
        </w:rPr>
        <w:t xml:space="preserve">REFERENCES </w:t>
      </w:r>
      <w:r>
        <w:rPr>
          <w:rFonts w:ascii="Arial" w:eastAsia="Arial" w:hAnsi="Arial" w:cs="Arial"/>
          <w:b/>
          <w:color w:val="0000FF"/>
          <w:sz w:val="20"/>
        </w:rPr>
        <w:t>............................................................................................................................. 146</w:t>
      </w:r>
      <w:r>
        <w:rPr>
          <w:rFonts w:ascii="Calibri" w:eastAsia="Calibri" w:hAnsi="Calibri" w:cs="Calibri"/>
          <w:sz w:val="22"/>
        </w:rPr>
        <w:t xml:space="preserve"> </w:t>
      </w:r>
    </w:p>
    <w:p w14:paraId="41DDA498" w14:textId="77777777" w:rsidR="000B3C5C" w:rsidRDefault="00ED192D">
      <w:pPr>
        <w:spacing w:after="559" w:line="259" w:lineRule="auto"/>
        <w:ind w:left="2" w:firstLine="0"/>
      </w:pPr>
      <w:r>
        <w:t xml:space="preserve"> </w:t>
      </w:r>
    </w:p>
    <w:p w14:paraId="6F002A1E" w14:textId="77777777" w:rsidR="000B3C5C" w:rsidRDefault="00ED192D">
      <w:pPr>
        <w:pStyle w:val="Heading2"/>
        <w:spacing w:after="397" w:line="327" w:lineRule="auto"/>
        <w:ind w:left="13" w:right="1"/>
        <w:jc w:val="center"/>
      </w:pPr>
      <w:r>
        <w:rPr>
          <w:rFonts w:ascii="Arial" w:eastAsia="Arial" w:hAnsi="Arial" w:cs="Arial"/>
          <w:sz w:val="22"/>
        </w:rPr>
        <w:t xml:space="preserve">LIST OF TABLES  </w:t>
      </w:r>
    </w:p>
    <w:p w14:paraId="745CA500" w14:textId="77777777" w:rsidR="000B3C5C" w:rsidRDefault="00ED192D">
      <w:pPr>
        <w:spacing w:after="104" w:line="251" w:lineRule="auto"/>
        <w:ind w:left="-3"/>
        <w:jc w:val="both"/>
      </w:pPr>
      <w:r>
        <w:rPr>
          <w:rFonts w:ascii="Arial" w:eastAsia="Arial" w:hAnsi="Arial" w:cs="Arial"/>
          <w:color w:val="0000FF"/>
          <w:sz w:val="20"/>
        </w:rPr>
        <w:t>Table 1 - Objectives and endpoints ............................................................................................................... 37</w:t>
      </w:r>
      <w:r>
        <w:rPr>
          <w:rFonts w:ascii="Calibri" w:eastAsia="Calibri" w:hAnsi="Calibri" w:cs="Calibri"/>
          <w:sz w:val="22"/>
        </w:rPr>
        <w:t xml:space="preserve"> </w:t>
      </w:r>
    </w:p>
    <w:p w14:paraId="2132E49E" w14:textId="77777777" w:rsidR="000B3C5C" w:rsidRDefault="00ED192D">
      <w:pPr>
        <w:spacing w:after="104" w:line="251" w:lineRule="auto"/>
        <w:ind w:left="-3"/>
        <w:jc w:val="both"/>
      </w:pPr>
      <w:r>
        <w:rPr>
          <w:rFonts w:ascii="Arial" w:eastAsia="Arial" w:hAnsi="Arial" w:cs="Arial"/>
          <w:color w:val="0000FF"/>
          <w:sz w:val="20"/>
        </w:rPr>
        <w:t>Table 2 - Dosing schedule modification for Phase 1 ..................................................................................... 40</w:t>
      </w:r>
      <w:r>
        <w:rPr>
          <w:rFonts w:ascii="Calibri" w:eastAsia="Calibri" w:hAnsi="Calibri" w:cs="Calibri"/>
          <w:sz w:val="22"/>
        </w:rPr>
        <w:t xml:space="preserve"> </w:t>
      </w:r>
    </w:p>
    <w:p w14:paraId="38793F5D" w14:textId="77777777" w:rsidR="000B3C5C" w:rsidRDefault="00ED192D">
      <w:pPr>
        <w:spacing w:after="102" w:line="251" w:lineRule="auto"/>
        <w:ind w:left="-3"/>
        <w:jc w:val="both"/>
      </w:pPr>
      <w:r>
        <w:rPr>
          <w:rFonts w:ascii="Arial" w:eastAsia="Arial" w:hAnsi="Arial" w:cs="Arial"/>
          <w:color w:val="0000FF"/>
          <w:sz w:val="20"/>
        </w:rPr>
        <w:t>Table 3 - Overview of study interventions administered ............................................................................... 54</w:t>
      </w:r>
      <w:r>
        <w:rPr>
          <w:rFonts w:ascii="Calibri" w:eastAsia="Calibri" w:hAnsi="Calibri" w:cs="Calibri"/>
          <w:sz w:val="22"/>
        </w:rPr>
        <w:t xml:space="preserve"> </w:t>
      </w:r>
    </w:p>
    <w:p w14:paraId="1E80B4F2" w14:textId="77777777" w:rsidR="000B3C5C" w:rsidRDefault="00ED192D">
      <w:pPr>
        <w:spacing w:after="104" w:line="251" w:lineRule="auto"/>
        <w:ind w:left="-3"/>
        <w:jc w:val="both"/>
      </w:pPr>
      <w:r>
        <w:rPr>
          <w:rFonts w:ascii="Arial" w:eastAsia="Arial" w:hAnsi="Arial" w:cs="Arial"/>
          <w:color w:val="0000FF"/>
          <w:sz w:val="20"/>
        </w:rPr>
        <w:t>Table 4 - General Guidelines for Immune-Related Adverse Events ............................................................. 61</w:t>
      </w:r>
      <w:r>
        <w:rPr>
          <w:rFonts w:ascii="Calibri" w:eastAsia="Calibri" w:hAnsi="Calibri" w:cs="Calibri"/>
          <w:sz w:val="22"/>
        </w:rPr>
        <w:t xml:space="preserve"> </w:t>
      </w:r>
    </w:p>
    <w:p w14:paraId="4AAA5971" w14:textId="77777777" w:rsidR="000B3C5C" w:rsidRDefault="00ED192D">
      <w:pPr>
        <w:spacing w:after="104" w:line="251" w:lineRule="auto"/>
        <w:ind w:left="-3"/>
        <w:jc w:val="both"/>
      </w:pPr>
      <w:r>
        <w:rPr>
          <w:rFonts w:ascii="Arial" w:eastAsia="Arial" w:hAnsi="Arial" w:cs="Arial"/>
          <w:color w:val="0000FF"/>
          <w:sz w:val="20"/>
        </w:rPr>
        <w:t>Table 5 - Management Guidelines for Infusion-Associated Reactions ......................................................... 63</w:t>
      </w:r>
      <w:r>
        <w:rPr>
          <w:rFonts w:ascii="Calibri" w:eastAsia="Calibri" w:hAnsi="Calibri" w:cs="Calibri"/>
          <w:sz w:val="22"/>
        </w:rPr>
        <w:t xml:space="preserve"> </w:t>
      </w:r>
    </w:p>
    <w:p w14:paraId="0436205E" w14:textId="77777777" w:rsidR="000B3C5C" w:rsidRDefault="00ED192D">
      <w:pPr>
        <w:spacing w:after="104" w:line="251" w:lineRule="auto"/>
        <w:ind w:left="-3"/>
        <w:jc w:val="both"/>
      </w:pPr>
      <w:r>
        <w:rPr>
          <w:rFonts w:ascii="Arial" w:eastAsia="Arial" w:hAnsi="Arial" w:cs="Arial"/>
          <w:color w:val="0000FF"/>
          <w:sz w:val="20"/>
        </w:rPr>
        <w:t>Table 6 - List of pharmacokinetic parameters and definitions for isatuximab ............................................... 75</w:t>
      </w:r>
      <w:r>
        <w:rPr>
          <w:rFonts w:ascii="Calibri" w:eastAsia="Calibri" w:hAnsi="Calibri" w:cs="Calibri"/>
          <w:sz w:val="22"/>
        </w:rPr>
        <w:t xml:space="preserve"> </w:t>
      </w:r>
    </w:p>
    <w:p w14:paraId="2B84613C" w14:textId="77777777" w:rsidR="000B3C5C" w:rsidRDefault="00ED192D">
      <w:pPr>
        <w:spacing w:after="104" w:line="251" w:lineRule="auto"/>
        <w:ind w:left="-3"/>
        <w:jc w:val="both"/>
      </w:pPr>
      <w:r>
        <w:rPr>
          <w:rFonts w:ascii="Arial" w:eastAsia="Arial" w:hAnsi="Arial" w:cs="Arial"/>
          <w:color w:val="0000FF"/>
          <w:sz w:val="20"/>
        </w:rPr>
        <w:t>Table 7 - Populations for analyses ................................................................................................................ 80</w:t>
      </w:r>
      <w:r>
        <w:rPr>
          <w:rFonts w:ascii="Calibri" w:eastAsia="Calibri" w:hAnsi="Calibri" w:cs="Calibri"/>
          <w:sz w:val="22"/>
        </w:rPr>
        <w:t xml:space="preserve"> </w:t>
      </w:r>
    </w:p>
    <w:p w14:paraId="1092FF49" w14:textId="77777777" w:rsidR="000B3C5C" w:rsidRDefault="00ED192D">
      <w:pPr>
        <w:spacing w:after="104" w:line="251" w:lineRule="auto"/>
        <w:ind w:left="-3"/>
        <w:jc w:val="both"/>
      </w:pPr>
      <w:r>
        <w:rPr>
          <w:rFonts w:ascii="Arial" w:eastAsia="Arial" w:hAnsi="Arial" w:cs="Arial"/>
          <w:color w:val="0000FF"/>
          <w:sz w:val="20"/>
        </w:rPr>
        <w:t>Table 8 - Efficacy analyses ........................................................................................................................... 82</w:t>
      </w:r>
      <w:r>
        <w:rPr>
          <w:rFonts w:ascii="Calibri" w:eastAsia="Calibri" w:hAnsi="Calibri" w:cs="Calibri"/>
          <w:sz w:val="22"/>
        </w:rPr>
        <w:t xml:space="preserve"> </w:t>
      </w:r>
    </w:p>
    <w:p w14:paraId="725847BE" w14:textId="77777777" w:rsidR="000B3C5C" w:rsidRDefault="00ED192D">
      <w:pPr>
        <w:spacing w:after="101" w:line="251" w:lineRule="auto"/>
        <w:ind w:left="-3"/>
        <w:jc w:val="both"/>
      </w:pPr>
      <w:r>
        <w:rPr>
          <w:rFonts w:ascii="Arial" w:eastAsia="Arial" w:hAnsi="Arial" w:cs="Arial"/>
          <w:color w:val="0000FF"/>
          <w:sz w:val="20"/>
        </w:rPr>
        <w:t>Table 9 - Safety analyses .............................................................................................................................. 82</w:t>
      </w:r>
      <w:r>
        <w:rPr>
          <w:rFonts w:ascii="Calibri" w:eastAsia="Calibri" w:hAnsi="Calibri" w:cs="Calibri"/>
          <w:sz w:val="22"/>
        </w:rPr>
        <w:t xml:space="preserve"> </w:t>
      </w:r>
    </w:p>
    <w:p w14:paraId="3FC53504" w14:textId="77777777" w:rsidR="000B3C5C" w:rsidRDefault="00ED192D">
      <w:pPr>
        <w:spacing w:after="83" w:line="251" w:lineRule="auto"/>
        <w:ind w:left="-3"/>
        <w:jc w:val="both"/>
      </w:pPr>
      <w:r>
        <w:rPr>
          <w:rFonts w:ascii="Arial" w:eastAsia="Arial" w:hAnsi="Arial" w:cs="Arial"/>
          <w:color w:val="0000FF"/>
          <w:sz w:val="20"/>
        </w:rPr>
        <w:t>Table 10 - Protocol-required safety laboratory assessments ........................................................................ 93</w:t>
      </w:r>
      <w:r>
        <w:rPr>
          <w:rFonts w:ascii="Calibri" w:eastAsia="Calibri" w:hAnsi="Calibri" w:cs="Calibri"/>
          <w:sz w:val="22"/>
        </w:rPr>
        <w:t xml:space="preserve"> </w:t>
      </w:r>
    </w:p>
    <w:p w14:paraId="0B8FB100" w14:textId="77777777" w:rsidR="000B3C5C" w:rsidRDefault="00ED192D">
      <w:pPr>
        <w:spacing w:after="128" w:line="251" w:lineRule="auto"/>
        <w:ind w:left="-3"/>
        <w:jc w:val="both"/>
      </w:pPr>
      <w:r>
        <w:rPr>
          <w:rFonts w:ascii="Arial" w:eastAsia="Arial" w:hAnsi="Arial" w:cs="Arial"/>
          <w:color w:val="0000FF"/>
          <w:sz w:val="20"/>
        </w:rPr>
        <w:t xml:space="preserve">Table 11 - Highly effective contraceptive methods ....................................................................................... 95 Table 12 - Response criteria </w:t>
      </w:r>
      <w:r>
        <w:rPr>
          <w:rFonts w:ascii="Arial" w:eastAsia="Arial" w:hAnsi="Arial" w:cs="Arial"/>
          <w:color w:val="0000FF"/>
          <w:sz w:val="20"/>
        </w:rPr>
        <w:t>....................................................................................................................... 111</w:t>
      </w:r>
    </w:p>
    <w:p w14:paraId="2285F89C" w14:textId="77777777" w:rsidR="000B3C5C" w:rsidRDefault="00ED192D">
      <w:pPr>
        <w:spacing w:after="104" w:line="251" w:lineRule="auto"/>
        <w:ind w:left="-3"/>
        <w:jc w:val="both"/>
      </w:pPr>
      <w:r>
        <w:rPr>
          <w:rFonts w:ascii="Arial" w:eastAsia="Arial" w:hAnsi="Arial" w:cs="Arial"/>
          <w:color w:val="0000FF"/>
          <w:sz w:val="20"/>
        </w:rPr>
        <w:t>Table 13 - Response in patients with target disease .................................................................................. 113</w:t>
      </w:r>
      <w:r>
        <w:rPr>
          <w:rFonts w:ascii="Calibri" w:eastAsia="Calibri" w:hAnsi="Calibri" w:cs="Calibri"/>
          <w:sz w:val="22"/>
        </w:rPr>
        <w:t xml:space="preserve"> </w:t>
      </w:r>
    </w:p>
    <w:p w14:paraId="089F4793" w14:textId="77777777" w:rsidR="000B3C5C" w:rsidRDefault="00ED192D">
      <w:pPr>
        <w:spacing w:after="83" w:line="251" w:lineRule="auto"/>
        <w:ind w:left="-3"/>
        <w:jc w:val="both"/>
      </w:pPr>
      <w:r>
        <w:rPr>
          <w:rFonts w:ascii="Arial" w:eastAsia="Arial" w:hAnsi="Arial" w:cs="Arial"/>
          <w:color w:val="0000FF"/>
          <w:sz w:val="20"/>
        </w:rPr>
        <w:t>Table 14 - Response in patients with non-target disease only.................................................................... 114</w:t>
      </w:r>
      <w:r>
        <w:rPr>
          <w:rFonts w:ascii="Calibri" w:eastAsia="Calibri" w:hAnsi="Calibri" w:cs="Calibri"/>
          <w:sz w:val="22"/>
        </w:rPr>
        <w:t xml:space="preserve"> </w:t>
      </w:r>
    </w:p>
    <w:p w14:paraId="61899024" w14:textId="77777777" w:rsidR="000B3C5C" w:rsidRDefault="00ED192D">
      <w:pPr>
        <w:spacing w:after="11" w:line="251" w:lineRule="auto"/>
        <w:ind w:left="-3"/>
        <w:jc w:val="both"/>
      </w:pPr>
      <w:r>
        <w:rPr>
          <w:rFonts w:ascii="Arial" w:eastAsia="Arial" w:hAnsi="Arial" w:cs="Arial"/>
          <w:color w:val="0000FF"/>
          <w:sz w:val="20"/>
        </w:rPr>
        <w:t xml:space="preserve">Table 15 - Comparison of Response Evaluation Criteria in Solid Tumors (RECIST) 1.1 and modified </w:t>
      </w:r>
    </w:p>
    <w:p w14:paraId="756BA8B1" w14:textId="77777777" w:rsidR="000B3C5C" w:rsidRDefault="00ED192D">
      <w:pPr>
        <w:spacing w:after="83" w:line="251" w:lineRule="auto"/>
        <w:ind w:left="-3"/>
        <w:jc w:val="both"/>
      </w:pPr>
      <w:r>
        <w:rPr>
          <w:rFonts w:ascii="Arial" w:eastAsia="Arial" w:hAnsi="Arial" w:cs="Arial"/>
          <w:color w:val="0000FF"/>
          <w:sz w:val="20"/>
        </w:rPr>
        <w:t>Response Evaluation Criteria in Solid Tumors for immune based therapies (iRECIST) ............................ 118</w:t>
      </w:r>
      <w:r>
        <w:rPr>
          <w:rFonts w:ascii="Calibri" w:eastAsia="Calibri" w:hAnsi="Calibri" w:cs="Calibri"/>
          <w:sz w:val="22"/>
        </w:rPr>
        <w:t xml:space="preserve"> </w:t>
      </w:r>
    </w:p>
    <w:p w14:paraId="3E33728E" w14:textId="77777777" w:rsidR="000B3C5C" w:rsidRDefault="00ED192D">
      <w:pPr>
        <w:spacing w:after="97" w:line="251" w:lineRule="auto"/>
        <w:ind w:left="-3"/>
        <w:jc w:val="both"/>
      </w:pPr>
      <w:r>
        <w:rPr>
          <w:rFonts w:ascii="Arial" w:eastAsia="Arial" w:hAnsi="Arial" w:cs="Arial"/>
          <w:color w:val="0000FF"/>
          <w:sz w:val="20"/>
        </w:rPr>
        <w:t>Table 16 - Assessment of timepoint response using modified Response Evaluation Criteria in Solid Tumors for immune based therapies (iRECIST) ...................................................................................................... 119</w:t>
      </w:r>
      <w:r>
        <w:rPr>
          <w:rFonts w:ascii="Calibri" w:eastAsia="Calibri" w:hAnsi="Calibri" w:cs="Calibri"/>
          <w:sz w:val="22"/>
        </w:rPr>
        <w:t xml:space="preserve"> </w:t>
      </w:r>
      <w:r>
        <w:rPr>
          <w:rFonts w:ascii="Arial" w:eastAsia="Arial" w:hAnsi="Arial" w:cs="Arial"/>
          <w:color w:val="0000FF"/>
          <w:sz w:val="20"/>
        </w:rPr>
        <w:t>Table 17 - Management Guidelines for Pulmonary Events, Including Pneumonitis ................................... 127</w:t>
      </w:r>
      <w:r>
        <w:rPr>
          <w:rFonts w:ascii="Calibri" w:eastAsia="Calibri" w:hAnsi="Calibri" w:cs="Calibri"/>
          <w:sz w:val="22"/>
        </w:rPr>
        <w:t xml:space="preserve"> </w:t>
      </w:r>
    </w:p>
    <w:p w14:paraId="56BE8CC6" w14:textId="77777777" w:rsidR="000B3C5C" w:rsidRDefault="00ED192D">
      <w:pPr>
        <w:spacing w:after="104" w:line="251" w:lineRule="auto"/>
        <w:ind w:left="-3"/>
        <w:jc w:val="both"/>
      </w:pPr>
      <w:r>
        <w:rPr>
          <w:rFonts w:ascii="Arial" w:eastAsia="Arial" w:hAnsi="Arial" w:cs="Arial"/>
          <w:color w:val="0000FF"/>
          <w:sz w:val="20"/>
        </w:rPr>
        <w:t>Table 18 - Management Guidelines for Hepatic Events .............................................................................. 128</w:t>
      </w:r>
      <w:r>
        <w:rPr>
          <w:rFonts w:ascii="Calibri" w:eastAsia="Calibri" w:hAnsi="Calibri" w:cs="Calibri"/>
          <w:sz w:val="22"/>
        </w:rPr>
        <w:t xml:space="preserve"> </w:t>
      </w:r>
    </w:p>
    <w:p w14:paraId="672B63F1" w14:textId="77777777" w:rsidR="000B3C5C" w:rsidRDefault="00ED192D">
      <w:pPr>
        <w:spacing w:after="104" w:line="251" w:lineRule="auto"/>
        <w:ind w:left="-3"/>
        <w:jc w:val="both"/>
      </w:pPr>
      <w:r>
        <w:rPr>
          <w:rFonts w:ascii="Arial" w:eastAsia="Arial" w:hAnsi="Arial" w:cs="Arial"/>
          <w:color w:val="0000FF"/>
          <w:sz w:val="20"/>
        </w:rPr>
        <w:t>Table 19 - Management Guidelines for Gastrointestinal Events (Diarrhea or Colitis) ................................ 129</w:t>
      </w:r>
      <w:r>
        <w:rPr>
          <w:rFonts w:ascii="Calibri" w:eastAsia="Calibri" w:hAnsi="Calibri" w:cs="Calibri"/>
          <w:sz w:val="22"/>
        </w:rPr>
        <w:t xml:space="preserve"> </w:t>
      </w:r>
    </w:p>
    <w:p w14:paraId="06A5F07E" w14:textId="77777777" w:rsidR="000B3C5C" w:rsidRDefault="00ED192D">
      <w:pPr>
        <w:spacing w:after="104" w:line="251" w:lineRule="auto"/>
        <w:ind w:left="-3"/>
        <w:jc w:val="both"/>
      </w:pPr>
      <w:r>
        <w:rPr>
          <w:rFonts w:ascii="Arial" w:eastAsia="Arial" w:hAnsi="Arial" w:cs="Arial"/>
          <w:color w:val="0000FF"/>
          <w:sz w:val="20"/>
        </w:rPr>
        <w:t>Table 20 - Management Guidelines for Endocrine Events.......................................................................... 130</w:t>
      </w:r>
      <w:r>
        <w:rPr>
          <w:rFonts w:ascii="Calibri" w:eastAsia="Calibri" w:hAnsi="Calibri" w:cs="Calibri"/>
          <w:sz w:val="22"/>
        </w:rPr>
        <w:t xml:space="preserve"> </w:t>
      </w:r>
    </w:p>
    <w:p w14:paraId="2707C061" w14:textId="77777777" w:rsidR="000B3C5C" w:rsidRDefault="00ED192D">
      <w:pPr>
        <w:spacing w:after="104" w:line="251" w:lineRule="auto"/>
        <w:ind w:left="-3"/>
        <w:jc w:val="both"/>
      </w:pPr>
      <w:r>
        <w:rPr>
          <w:rFonts w:ascii="Arial" w:eastAsia="Arial" w:hAnsi="Arial" w:cs="Arial"/>
          <w:color w:val="0000FF"/>
          <w:sz w:val="20"/>
        </w:rPr>
        <w:t>Table 21 - Management Guidelines for Ocular Events ............................................................................... 132</w:t>
      </w:r>
      <w:r>
        <w:rPr>
          <w:rFonts w:ascii="Calibri" w:eastAsia="Calibri" w:hAnsi="Calibri" w:cs="Calibri"/>
          <w:sz w:val="22"/>
        </w:rPr>
        <w:t xml:space="preserve"> </w:t>
      </w:r>
    </w:p>
    <w:p w14:paraId="6F6C2253" w14:textId="77777777" w:rsidR="000B3C5C" w:rsidRDefault="00ED192D">
      <w:pPr>
        <w:spacing w:after="101" w:line="251" w:lineRule="auto"/>
        <w:ind w:left="-3"/>
        <w:jc w:val="both"/>
      </w:pPr>
      <w:r>
        <w:rPr>
          <w:rFonts w:ascii="Arial" w:eastAsia="Arial" w:hAnsi="Arial" w:cs="Arial"/>
          <w:color w:val="0000FF"/>
          <w:sz w:val="20"/>
        </w:rPr>
        <w:t>Table 22 - Management Guidelines for Immune-Related Myocarditis ........................................................ 133</w:t>
      </w:r>
      <w:r>
        <w:rPr>
          <w:rFonts w:ascii="Calibri" w:eastAsia="Calibri" w:hAnsi="Calibri" w:cs="Calibri"/>
          <w:sz w:val="22"/>
        </w:rPr>
        <w:t xml:space="preserve"> </w:t>
      </w:r>
    </w:p>
    <w:p w14:paraId="226DC93C" w14:textId="77777777" w:rsidR="000B3C5C" w:rsidRDefault="00ED192D">
      <w:pPr>
        <w:spacing w:after="104" w:line="251" w:lineRule="auto"/>
        <w:ind w:left="-3"/>
        <w:jc w:val="both"/>
      </w:pPr>
      <w:r>
        <w:rPr>
          <w:rFonts w:ascii="Arial" w:eastAsia="Arial" w:hAnsi="Arial" w:cs="Arial"/>
          <w:color w:val="0000FF"/>
          <w:sz w:val="20"/>
        </w:rPr>
        <w:t>Table 23 - Management Guidelines for Infusion-Associated Reactions ..................................................... 134</w:t>
      </w:r>
      <w:r>
        <w:rPr>
          <w:rFonts w:ascii="Calibri" w:eastAsia="Calibri" w:hAnsi="Calibri" w:cs="Calibri"/>
          <w:sz w:val="22"/>
        </w:rPr>
        <w:t xml:space="preserve"> </w:t>
      </w:r>
    </w:p>
    <w:p w14:paraId="68CDB8AB" w14:textId="77777777" w:rsidR="000B3C5C" w:rsidRDefault="00ED192D">
      <w:pPr>
        <w:spacing w:after="104" w:line="251" w:lineRule="auto"/>
        <w:ind w:left="-3"/>
        <w:jc w:val="both"/>
      </w:pPr>
      <w:r>
        <w:rPr>
          <w:rFonts w:ascii="Arial" w:eastAsia="Arial" w:hAnsi="Arial" w:cs="Arial"/>
          <w:color w:val="0000FF"/>
          <w:sz w:val="20"/>
        </w:rPr>
        <w:t>Table 24 - Management Guidelines for Pancreatic Events, Including Pancreatitis .................................... 135</w:t>
      </w:r>
      <w:r>
        <w:rPr>
          <w:rFonts w:ascii="Calibri" w:eastAsia="Calibri" w:hAnsi="Calibri" w:cs="Calibri"/>
          <w:sz w:val="22"/>
        </w:rPr>
        <w:t xml:space="preserve"> </w:t>
      </w:r>
    </w:p>
    <w:p w14:paraId="373268F7" w14:textId="77777777" w:rsidR="000B3C5C" w:rsidRDefault="00ED192D">
      <w:pPr>
        <w:spacing w:after="104" w:line="251" w:lineRule="auto"/>
        <w:ind w:left="-3"/>
        <w:jc w:val="both"/>
      </w:pPr>
      <w:r>
        <w:rPr>
          <w:rFonts w:ascii="Arial" w:eastAsia="Arial" w:hAnsi="Arial" w:cs="Arial"/>
          <w:color w:val="0000FF"/>
          <w:sz w:val="20"/>
        </w:rPr>
        <w:t>Table 25 - Management Guidelines for Dermatologic Events</w:t>
      </w:r>
      <w:r>
        <w:rPr>
          <w:rFonts w:ascii="Arial" w:eastAsia="Arial" w:hAnsi="Arial" w:cs="Arial"/>
          <w:color w:val="0000FF"/>
          <w:sz w:val="20"/>
        </w:rPr>
        <w:t>..................................................................... 137</w:t>
      </w:r>
      <w:r>
        <w:rPr>
          <w:rFonts w:ascii="Calibri" w:eastAsia="Calibri" w:hAnsi="Calibri" w:cs="Calibri"/>
          <w:sz w:val="22"/>
        </w:rPr>
        <w:t xml:space="preserve"> </w:t>
      </w:r>
    </w:p>
    <w:p w14:paraId="23F19457" w14:textId="77777777" w:rsidR="000B3C5C" w:rsidRDefault="00ED192D">
      <w:pPr>
        <w:spacing w:after="104" w:line="251" w:lineRule="auto"/>
        <w:ind w:left="-3"/>
        <w:jc w:val="both"/>
      </w:pPr>
      <w:r>
        <w:rPr>
          <w:rFonts w:ascii="Arial" w:eastAsia="Arial" w:hAnsi="Arial" w:cs="Arial"/>
          <w:color w:val="0000FF"/>
          <w:sz w:val="20"/>
        </w:rPr>
        <w:t>Table 26 - Management Guidelines for Neurologic Disorders .................................................................... 138</w:t>
      </w:r>
      <w:r>
        <w:rPr>
          <w:rFonts w:ascii="Calibri" w:eastAsia="Calibri" w:hAnsi="Calibri" w:cs="Calibri"/>
          <w:sz w:val="22"/>
        </w:rPr>
        <w:t xml:space="preserve"> </w:t>
      </w:r>
    </w:p>
    <w:p w14:paraId="05D48176" w14:textId="77777777" w:rsidR="000B3C5C" w:rsidRDefault="00ED192D">
      <w:pPr>
        <w:spacing w:after="104" w:line="251" w:lineRule="auto"/>
        <w:ind w:left="-3"/>
        <w:jc w:val="both"/>
      </w:pPr>
      <w:r>
        <w:rPr>
          <w:rFonts w:ascii="Arial" w:eastAsia="Arial" w:hAnsi="Arial" w:cs="Arial"/>
          <w:color w:val="0000FF"/>
          <w:sz w:val="20"/>
        </w:rPr>
        <w:t>Table 27 - Management Guidelines for Immune-Related Meningoencephalitis ......................................... 139</w:t>
      </w:r>
      <w:r>
        <w:rPr>
          <w:rFonts w:ascii="Calibri" w:eastAsia="Calibri" w:hAnsi="Calibri" w:cs="Calibri"/>
          <w:sz w:val="22"/>
        </w:rPr>
        <w:t xml:space="preserve"> </w:t>
      </w:r>
    </w:p>
    <w:p w14:paraId="447733A7" w14:textId="77777777" w:rsidR="000B3C5C" w:rsidRDefault="00ED192D">
      <w:pPr>
        <w:spacing w:after="102" w:line="251" w:lineRule="auto"/>
        <w:ind w:left="-3"/>
        <w:jc w:val="both"/>
      </w:pPr>
      <w:r>
        <w:rPr>
          <w:rFonts w:ascii="Arial" w:eastAsia="Arial" w:hAnsi="Arial" w:cs="Arial"/>
          <w:color w:val="0000FF"/>
          <w:sz w:val="20"/>
        </w:rPr>
        <w:t>Table 28 - Management Guidelines for Renal Events ................................................................................ 139</w:t>
      </w:r>
      <w:r>
        <w:rPr>
          <w:rFonts w:ascii="Calibri" w:eastAsia="Calibri" w:hAnsi="Calibri" w:cs="Calibri"/>
          <w:sz w:val="22"/>
        </w:rPr>
        <w:t xml:space="preserve"> </w:t>
      </w:r>
    </w:p>
    <w:p w14:paraId="2C0578D1" w14:textId="77777777" w:rsidR="000B3C5C" w:rsidRDefault="00ED192D">
      <w:pPr>
        <w:spacing w:after="104" w:line="251" w:lineRule="auto"/>
        <w:ind w:left="-3"/>
        <w:jc w:val="both"/>
      </w:pPr>
      <w:r>
        <w:rPr>
          <w:rFonts w:ascii="Arial" w:eastAsia="Arial" w:hAnsi="Arial" w:cs="Arial"/>
          <w:color w:val="0000FF"/>
          <w:sz w:val="20"/>
        </w:rPr>
        <w:t>Table 29 – Management Guidelines for Immune-related Myositis .............................................................. 141</w:t>
      </w:r>
      <w:r>
        <w:rPr>
          <w:rFonts w:ascii="Calibri" w:eastAsia="Calibri" w:hAnsi="Calibri" w:cs="Calibri"/>
          <w:sz w:val="22"/>
        </w:rPr>
        <w:t xml:space="preserve"> </w:t>
      </w:r>
    </w:p>
    <w:p w14:paraId="68F8BA06" w14:textId="77777777" w:rsidR="000B3C5C" w:rsidRDefault="00ED192D">
      <w:pPr>
        <w:spacing w:after="83" w:line="251" w:lineRule="auto"/>
        <w:ind w:left="-3"/>
        <w:jc w:val="both"/>
      </w:pPr>
      <w:r>
        <w:rPr>
          <w:rFonts w:ascii="Arial" w:eastAsia="Arial" w:hAnsi="Arial" w:cs="Arial"/>
          <w:color w:val="0000FF"/>
          <w:sz w:val="20"/>
        </w:rPr>
        <w:t>Table 30 - Diagnostic Criteria and Recommended Management for Systemic Immune Activation ........... 143</w:t>
      </w:r>
      <w:r>
        <w:rPr>
          <w:rFonts w:ascii="Calibri" w:eastAsia="Calibri" w:hAnsi="Calibri" w:cs="Calibri"/>
          <w:sz w:val="22"/>
        </w:rPr>
        <w:t xml:space="preserve"> </w:t>
      </w:r>
    </w:p>
    <w:p w14:paraId="290558B0" w14:textId="77777777" w:rsidR="000B3C5C" w:rsidRDefault="00ED192D">
      <w:pPr>
        <w:spacing w:after="602" w:line="259" w:lineRule="auto"/>
        <w:ind w:left="2" w:firstLine="0"/>
      </w:pPr>
      <w:r>
        <w:rPr>
          <w:rFonts w:ascii="Arial" w:eastAsia="Arial" w:hAnsi="Arial" w:cs="Arial"/>
          <w:sz w:val="20"/>
        </w:rPr>
        <w:t xml:space="preserve"> </w:t>
      </w:r>
    </w:p>
    <w:p w14:paraId="4D282FFA" w14:textId="77777777" w:rsidR="000B3C5C" w:rsidRDefault="00ED192D">
      <w:pPr>
        <w:pStyle w:val="Heading2"/>
        <w:spacing w:after="397" w:line="327" w:lineRule="auto"/>
        <w:ind w:left="13" w:right="1"/>
        <w:jc w:val="center"/>
      </w:pPr>
      <w:r>
        <w:rPr>
          <w:rFonts w:ascii="Arial" w:eastAsia="Arial" w:hAnsi="Arial" w:cs="Arial"/>
          <w:sz w:val="22"/>
        </w:rPr>
        <w:t xml:space="preserve">LIST OF FIGURES  </w:t>
      </w:r>
    </w:p>
    <w:p w14:paraId="19C57412" w14:textId="77777777" w:rsidR="000B3C5C" w:rsidRDefault="00ED192D">
      <w:pPr>
        <w:spacing w:after="83" w:line="251" w:lineRule="auto"/>
        <w:ind w:left="-3"/>
        <w:jc w:val="both"/>
      </w:pPr>
      <w:r>
        <w:rPr>
          <w:rFonts w:ascii="Arial" w:eastAsia="Arial" w:hAnsi="Arial" w:cs="Arial"/>
          <w:color w:val="0000FF"/>
          <w:sz w:val="20"/>
        </w:rPr>
        <w:t xml:space="preserve">Figure 1 - </w:t>
      </w:r>
      <w:r>
        <w:rPr>
          <w:rFonts w:ascii="Arial" w:eastAsia="Arial" w:hAnsi="Arial" w:cs="Arial"/>
          <w:color w:val="0000FF"/>
          <w:sz w:val="20"/>
        </w:rPr>
        <w:t>Graphical Study Design ................................................................................................................ 17</w:t>
      </w:r>
      <w:r>
        <w:rPr>
          <w:rFonts w:ascii="Calibri" w:eastAsia="Calibri" w:hAnsi="Calibri" w:cs="Calibri"/>
          <w:sz w:val="22"/>
        </w:rPr>
        <w:t xml:space="preserve"> </w:t>
      </w:r>
    </w:p>
    <w:p w14:paraId="47029FBE" w14:textId="77777777" w:rsidR="000B3C5C" w:rsidRDefault="00ED192D">
      <w:pPr>
        <w:spacing w:after="94" w:line="251" w:lineRule="auto"/>
        <w:ind w:left="-3"/>
        <w:jc w:val="both"/>
      </w:pPr>
      <w:r>
        <w:rPr>
          <w:rFonts w:ascii="Arial" w:eastAsia="Arial" w:hAnsi="Arial" w:cs="Arial"/>
          <w:color w:val="0000FF"/>
          <w:sz w:val="20"/>
        </w:rPr>
        <w:t>Figure 2 - Cluster of differentiation 38 H scores (3 × (% cells 3+) + 2 × (% cells 2+) + 1 × (% cells 1+) in low and high grade glioblastoma ......................................................................................................................... 27</w:t>
      </w:r>
      <w:r>
        <w:rPr>
          <w:rFonts w:ascii="Calibri" w:eastAsia="Calibri" w:hAnsi="Calibri" w:cs="Calibri"/>
          <w:sz w:val="22"/>
        </w:rPr>
        <w:t xml:space="preserve"> </w:t>
      </w:r>
    </w:p>
    <w:p w14:paraId="4AB7279F" w14:textId="77777777" w:rsidR="000B3C5C" w:rsidRDefault="00ED192D">
      <w:pPr>
        <w:spacing w:after="10" w:line="251" w:lineRule="auto"/>
        <w:ind w:left="-3"/>
        <w:jc w:val="both"/>
      </w:pPr>
      <w:r>
        <w:rPr>
          <w:rFonts w:ascii="Arial" w:eastAsia="Arial" w:hAnsi="Arial" w:cs="Arial"/>
          <w:color w:val="0000FF"/>
          <w:sz w:val="20"/>
        </w:rPr>
        <w:t xml:space="preserve">Figure 3 - Combination of anti-CD38 and anti PD-L1 in a mouse lung cancer model results in enhanced anti-tumor activity, decreases incidence of lung metastasis and increases the tumor infiltration of CD8+ T </w:t>
      </w:r>
    </w:p>
    <w:p w14:paraId="6F77D24E" w14:textId="77777777" w:rsidR="000B3C5C" w:rsidRDefault="00ED192D">
      <w:pPr>
        <w:spacing w:after="236" w:line="385" w:lineRule="auto"/>
        <w:ind w:left="-3"/>
        <w:jc w:val="both"/>
      </w:pPr>
      <w:r>
        <w:rPr>
          <w:rFonts w:ascii="Arial" w:eastAsia="Arial" w:hAnsi="Arial" w:cs="Arial"/>
          <w:color w:val="0000FF"/>
          <w:sz w:val="20"/>
        </w:rPr>
        <w:t>cells................................................................................................................................................................ 28</w:t>
      </w:r>
      <w:r>
        <w:rPr>
          <w:rFonts w:ascii="Calibri" w:eastAsia="Calibri" w:hAnsi="Calibri" w:cs="Calibri"/>
          <w:sz w:val="22"/>
        </w:rPr>
        <w:t xml:space="preserve"> </w:t>
      </w:r>
      <w:r>
        <w:rPr>
          <w:rFonts w:ascii="Arial" w:eastAsia="Arial" w:hAnsi="Arial" w:cs="Arial"/>
          <w:sz w:val="20"/>
        </w:rPr>
        <w:t xml:space="preserve"> </w:t>
      </w:r>
    </w:p>
    <w:p w14:paraId="62CBE87B" w14:textId="77777777" w:rsidR="000B3C5C" w:rsidRDefault="000B3C5C">
      <w:pPr>
        <w:sectPr w:rsidR="000B3C5C">
          <w:headerReference w:type="even" r:id="rId8"/>
          <w:headerReference w:type="default" r:id="rId9"/>
          <w:footerReference w:type="even" r:id="rId10"/>
          <w:footerReference w:type="default" r:id="rId11"/>
          <w:headerReference w:type="first" r:id="rId12"/>
          <w:footerReference w:type="first" r:id="rId13"/>
          <w:pgSz w:w="11906" w:h="16841"/>
          <w:pgMar w:top="728" w:right="849" w:bottom="1587" w:left="1584" w:header="720" w:footer="454" w:gutter="0"/>
          <w:cols w:space="720"/>
          <w:titlePg/>
        </w:sectPr>
      </w:pPr>
    </w:p>
    <w:p w14:paraId="43A290F9" w14:textId="77777777" w:rsidR="000B3C5C" w:rsidRDefault="00ED192D">
      <w:pPr>
        <w:pStyle w:val="Heading1"/>
        <w:tabs>
          <w:tab w:val="center" w:pos="2234"/>
        </w:tabs>
        <w:spacing w:after="419"/>
        <w:ind w:left="-13" w:firstLine="0"/>
      </w:pPr>
      <w:r>
        <w:t xml:space="preserve">1 </w:t>
      </w:r>
      <w:r>
        <w:tab/>
        <w:t xml:space="preserve">PROTOCOL SUMMARY  </w:t>
      </w:r>
    </w:p>
    <w:p w14:paraId="4EA07593" w14:textId="77777777" w:rsidR="000B3C5C" w:rsidRDefault="00ED192D">
      <w:pPr>
        <w:pStyle w:val="Heading2"/>
        <w:tabs>
          <w:tab w:val="center" w:pos="1242"/>
        </w:tabs>
        <w:spacing w:after="249"/>
        <w:ind w:left="-15" w:firstLine="0"/>
      </w:pPr>
      <w:r>
        <w:rPr>
          <w:rFonts w:ascii="Arial" w:eastAsia="Arial" w:hAnsi="Arial" w:cs="Arial"/>
          <w:sz w:val="22"/>
        </w:rPr>
        <w:t xml:space="preserve">1.1 </w:t>
      </w:r>
      <w:r>
        <w:rPr>
          <w:rFonts w:ascii="Arial" w:eastAsia="Arial" w:hAnsi="Arial" w:cs="Arial"/>
          <w:sz w:val="22"/>
        </w:rPr>
        <w:tab/>
        <w:t xml:space="preserve">SYNOPSIS  </w:t>
      </w:r>
    </w:p>
    <w:p w14:paraId="7CCB6F6D" w14:textId="77777777" w:rsidR="000B3C5C" w:rsidRDefault="00ED192D">
      <w:pPr>
        <w:spacing w:after="260"/>
        <w:ind w:left="1548" w:right="14" w:hanging="1561"/>
      </w:pPr>
      <w:r>
        <w:rPr>
          <w:b/>
        </w:rPr>
        <w:t>Protocol title:</w:t>
      </w:r>
      <w:r>
        <w:t xml:space="preserve"> A Phase 1/2 open-label, multi-center, safety, preliminary efficacy and pharmacokinetic (PK) study of isatuximab (SAR650984) in combination with atezolizumab or isatuximab alone in patients with advanced malignancies </w:t>
      </w:r>
    </w:p>
    <w:p w14:paraId="237E9F70" w14:textId="77777777" w:rsidR="000B3C5C" w:rsidRDefault="00ED192D">
      <w:pPr>
        <w:ind w:left="1548" w:right="14" w:hanging="1561"/>
      </w:pPr>
      <w:r>
        <w:rPr>
          <w:b/>
        </w:rPr>
        <w:t>Short title:</w:t>
      </w:r>
      <w:r>
        <w:t xml:space="preserve"> </w:t>
      </w:r>
      <w:r>
        <w:tab/>
        <w:t xml:space="preserve">Safety, preliminary efficacy and PK of isatuximab (SAR650984) alone or in combination with atezolizumab in patients with advanced malignancies </w:t>
      </w:r>
    </w:p>
    <w:p w14:paraId="4BB7424F" w14:textId="77777777" w:rsidR="000B3C5C" w:rsidRDefault="00ED192D">
      <w:pPr>
        <w:spacing w:line="249" w:lineRule="auto"/>
        <w:ind w:left="-5" w:right="51"/>
      </w:pPr>
      <w:r>
        <w:rPr>
          <w:b/>
        </w:rPr>
        <w:t xml:space="preserve">Rationale: </w:t>
      </w:r>
    </w:p>
    <w:p w14:paraId="5077BA7F" w14:textId="77777777" w:rsidR="000B3C5C" w:rsidRDefault="00ED192D">
      <w:pPr>
        <w:ind w:left="-3" w:right="14"/>
      </w:pPr>
      <w:r>
        <w:t>Monoclonal antibodies (mAbs) that block the programmed cell death-1/programmed cell death-ligand 1 (PD-1/PD-L1) alone or in combination with others mAbs have changed the landscape of cancer immunotherapy. Isatuximab, an anti-CD38 mAb, has shown clinical response in relapsed/refractory multiple myeloma (MM) patients as a single agent and in combination with immuno-modulatory agents. Although isatuximab has not been tested in solid tumors, this study is designed to explore whether isatuximab may contribute to</w:t>
      </w:r>
      <w:r>
        <w:t xml:space="preserve"> reshaping the tumor immune-environment and will enhance the activity of established anti-PD-L1 therapy</w:t>
      </w:r>
      <w:r>
        <w:rPr>
          <w:color w:val="FF00FF"/>
        </w:rPr>
        <w:t>.</w:t>
      </w:r>
      <w:r>
        <w:t xml:space="preserve"> </w:t>
      </w:r>
    </w:p>
    <w:p w14:paraId="1C3A8643" w14:textId="77777777" w:rsidR="000B3C5C" w:rsidRDefault="00ED192D">
      <w:pPr>
        <w:pStyle w:val="Heading2"/>
        <w:spacing w:after="10"/>
        <w:ind w:left="-5" w:right="51"/>
      </w:pPr>
      <w:r>
        <w:t xml:space="preserve">Objectives and endpoints </w:t>
      </w:r>
    </w:p>
    <w:p w14:paraId="0C3D6FF1" w14:textId="77777777" w:rsidR="000B3C5C" w:rsidRDefault="00ED192D">
      <w:pPr>
        <w:spacing w:after="0" w:line="259" w:lineRule="auto"/>
        <w:ind w:left="0" w:firstLine="0"/>
      </w:pPr>
      <w:r>
        <w:rPr>
          <w:b/>
        </w:rPr>
        <w:t xml:space="preserve"> </w:t>
      </w:r>
    </w:p>
    <w:p w14:paraId="2BFC1B7C" w14:textId="77777777" w:rsidR="000B3C5C" w:rsidRDefault="00ED192D">
      <w:pPr>
        <w:spacing w:after="3" w:line="259" w:lineRule="auto"/>
        <w:ind w:left="-98"/>
      </w:pPr>
      <w:r>
        <w:rPr>
          <w:rFonts w:ascii="Calibri" w:eastAsia="Calibri" w:hAnsi="Calibri" w:cs="Calibri"/>
          <w:noProof/>
          <w:sz w:val="22"/>
        </w:rPr>
        <mc:AlternateContent>
          <mc:Choice Requires="wpg">
            <w:drawing>
              <wp:inline distT="0" distB="0" distL="0" distR="0" wp14:anchorId="2AF52EBF" wp14:editId="1B0F3107">
                <wp:extent cx="6141416" cy="234696"/>
                <wp:effectExtent l="0" t="0" r="0" b="0"/>
                <wp:docPr id="242997" name="Group 242997"/>
                <wp:cNvGraphicFramePr/>
                <a:graphic xmlns:a="http://schemas.openxmlformats.org/drawingml/2006/main">
                  <a:graphicData uri="http://schemas.microsoft.com/office/word/2010/wordprocessingGroup">
                    <wpg:wgp>
                      <wpg:cNvGrpSpPr/>
                      <wpg:grpSpPr>
                        <a:xfrm>
                          <a:off x="0" y="0"/>
                          <a:ext cx="6141416" cy="234696"/>
                          <a:chOff x="0" y="0"/>
                          <a:chExt cx="6141416" cy="234696"/>
                        </a:xfrm>
                      </wpg:grpSpPr>
                      <wps:wsp>
                        <wps:cNvPr id="2995" name="Rectangle 2995"/>
                        <wps:cNvSpPr/>
                        <wps:spPr>
                          <a:xfrm>
                            <a:off x="3146120" y="70978"/>
                            <a:ext cx="729632" cy="158130"/>
                          </a:xfrm>
                          <a:prstGeom prst="rect">
                            <a:avLst/>
                          </a:prstGeom>
                          <a:ln>
                            <a:noFill/>
                          </a:ln>
                        </wps:spPr>
                        <wps:txbx>
                          <w:txbxContent>
                            <w:p w14:paraId="491B3F7F" w14:textId="77777777" w:rsidR="000B3C5C" w:rsidRDefault="00ED192D">
                              <w:pPr>
                                <w:spacing w:after="160" w:line="259" w:lineRule="auto"/>
                                <w:ind w:left="0" w:firstLine="0"/>
                              </w:pPr>
                              <w:r>
                                <w:rPr>
                                  <w:rFonts w:ascii="Arial" w:eastAsia="Arial" w:hAnsi="Arial" w:cs="Arial"/>
                                  <w:b/>
                                  <w:sz w:val="20"/>
                                </w:rPr>
                                <w:t>Endpoint</w:t>
                              </w:r>
                            </w:p>
                          </w:txbxContent>
                        </wps:txbx>
                        <wps:bodyPr horzOverflow="overflow" vert="horz" lIns="0" tIns="0" rIns="0" bIns="0" rtlCol="0">
                          <a:noAutofit/>
                        </wps:bodyPr>
                      </wps:wsp>
                      <wps:wsp>
                        <wps:cNvPr id="2996" name="Rectangle 2996"/>
                        <wps:cNvSpPr/>
                        <wps:spPr>
                          <a:xfrm>
                            <a:off x="3696284" y="70978"/>
                            <a:ext cx="93538" cy="158130"/>
                          </a:xfrm>
                          <a:prstGeom prst="rect">
                            <a:avLst/>
                          </a:prstGeom>
                          <a:ln>
                            <a:noFill/>
                          </a:ln>
                        </wps:spPr>
                        <wps:txbx>
                          <w:txbxContent>
                            <w:p w14:paraId="34319238" w14:textId="77777777" w:rsidR="000B3C5C" w:rsidRDefault="00ED192D">
                              <w:pPr>
                                <w:spacing w:after="160" w:line="259" w:lineRule="auto"/>
                                <w:ind w:left="0" w:firstLine="0"/>
                              </w:pPr>
                              <w:r>
                                <w:rPr>
                                  <w:rFonts w:ascii="Arial" w:eastAsia="Arial" w:hAnsi="Arial" w:cs="Arial"/>
                                  <w:b/>
                                  <w:sz w:val="20"/>
                                </w:rPr>
                                <w:t>s</w:t>
                              </w:r>
                            </w:p>
                          </w:txbxContent>
                        </wps:txbx>
                        <wps:bodyPr horzOverflow="overflow" vert="horz" lIns="0" tIns="0" rIns="0" bIns="0" rtlCol="0">
                          <a:noAutofit/>
                        </wps:bodyPr>
                      </wps:wsp>
                      <wps:wsp>
                        <wps:cNvPr id="2997" name="Rectangle 2997"/>
                        <wps:cNvSpPr/>
                        <wps:spPr>
                          <a:xfrm>
                            <a:off x="3766388" y="70978"/>
                            <a:ext cx="46769" cy="158130"/>
                          </a:xfrm>
                          <a:prstGeom prst="rect">
                            <a:avLst/>
                          </a:prstGeom>
                          <a:ln>
                            <a:noFill/>
                          </a:ln>
                        </wps:spPr>
                        <wps:txbx>
                          <w:txbxContent>
                            <w:p w14:paraId="1AE8C26C"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315704" name="Shape 315704"/>
                        <wps:cNvSpPr/>
                        <wps:spPr>
                          <a:xfrm>
                            <a:off x="0" y="0"/>
                            <a:ext cx="3076067" cy="9144"/>
                          </a:xfrm>
                          <a:custGeom>
                            <a:avLst/>
                            <a:gdLst/>
                            <a:ahLst/>
                            <a:cxnLst/>
                            <a:rect l="0" t="0" r="0" b="0"/>
                            <a:pathLst>
                              <a:path w="3076067" h="9144">
                                <a:moveTo>
                                  <a:pt x="0" y="0"/>
                                </a:moveTo>
                                <a:lnTo>
                                  <a:pt x="3076067" y="0"/>
                                </a:lnTo>
                                <a:lnTo>
                                  <a:pt x="30760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05" name="Shape 315705"/>
                        <wps:cNvSpPr/>
                        <wps:spPr>
                          <a:xfrm>
                            <a:off x="30760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06" name="Shape 315706"/>
                        <wps:cNvSpPr/>
                        <wps:spPr>
                          <a:xfrm>
                            <a:off x="3082112" y="0"/>
                            <a:ext cx="3059303" cy="9144"/>
                          </a:xfrm>
                          <a:custGeom>
                            <a:avLst/>
                            <a:gdLst/>
                            <a:ahLst/>
                            <a:cxnLst/>
                            <a:rect l="0" t="0" r="0" b="0"/>
                            <a:pathLst>
                              <a:path w="3059303" h="9144">
                                <a:moveTo>
                                  <a:pt x="0" y="0"/>
                                </a:moveTo>
                                <a:lnTo>
                                  <a:pt x="3059303" y="0"/>
                                </a:lnTo>
                                <a:lnTo>
                                  <a:pt x="30593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07" name="Shape 315707"/>
                        <wps:cNvSpPr/>
                        <wps:spPr>
                          <a:xfrm>
                            <a:off x="0" y="228600"/>
                            <a:ext cx="3076067" cy="9144"/>
                          </a:xfrm>
                          <a:custGeom>
                            <a:avLst/>
                            <a:gdLst/>
                            <a:ahLst/>
                            <a:cxnLst/>
                            <a:rect l="0" t="0" r="0" b="0"/>
                            <a:pathLst>
                              <a:path w="3076067" h="9144">
                                <a:moveTo>
                                  <a:pt x="0" y="0"/>
                                </a:moveTo>
                                <a:lnTo>
                                  <a:pt x="3076067" y="0"/>
                                </a:lnTo>
                                <a:lnTo>
                                  <a:pt x="30760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08" name="Shape 315708"/>
                        <wps:cNvSpPr/>
                        <wps:spPr>
                          <a:xfrm>
                            <a:off x="3076016" y="2286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09" name="Shape 315709"/>
                        <wps:cNvSpPr/>
                        <wps:spPr>
                          <a:xfrm>
                            <a:off x="3082112" y="228600"/>
                            <a:ext cx="3059303" cy="9144"/>
                          </a:xfrm>
                          <a:custGeom>
                            <a:avLst/>
                            <a:gdLst/>
                            <a:ahLst/>
                            <a:cxnLst/>
                            <a:rect l="0" t="0" r="0" b="0"/>
                            <a:pathLst>
                              <a:path w="3059303" h="9144">
                                <a:moveTo>
                                  <a:pt x="0" y="0"/>
                                </a:moveTo>
                                <a:lnTo>
                                  <a:pt x="3059303" y="0"/>
                                </a:lnTo>
                                <a:lnTo>
                                  <a:pt x="30593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2997" style="width:483.576pt;height:18.48pt;mso-position-horizontal-relative:char;mso-position-vertical-relative:line" coordsize="61414,2346">
                <v:rect id="Rectangle 2995" style="position:absolute;width:7296;height:1581;left:31461;top:709;" filled="f" stroked="f">
                  <v:textbox inset="0,0,0,0">
                    <w:txbxContent>
                      <w:p>
                        <w:pPr>
                          <w:spacing w:before="0" w:after="160" w:line="259" w:lineRule="auto"/>
                          <w:ind w:left="0" w:firstLine="0"/>
                        </w:pPr>
                        <w:r>
                          <w:rPr>
                            <w:rFonts w:cs="Arial" w:hAnsi="Arial" w:eastAsia="Arial" w:ascii="Arial"/>
                            <w:b w:val="1"/>
                            <w:sz w:val="20"/>
                          </w:rPr>
                          <w:t xml:space="preserve">Endpoint</w:t>
                        </w:r>
                      </w:p>
                    </w:txbxContent>
                  </v:textbox>
                </v:rect>
                <v:rect id="Rectangle 2996" style="position:absolute;width:935;height:1581;left:36962;top:709;" filled="f" stroked="f">
                  <v:textbox inset="0,0,0,0">
                    <w:txbxContent>
                      <w:p>
                        <w:pPr>
                          <w:spacing w:before="0" w:after="160" w:line="259" w:lineRule="auto"/>
                          <w:ind w:left="0" w:firstLine="0"/>
                        </w:pPr>
                        <w:r>
                          <w:rPr>
                            <w:rFonts w:cs="Arial" w:hAnsi="Arial" w:eastAsia="Arial" w:ascii="Arial"/>
                            <w:b w:val="1"/>
                            <w:sz w:val="20"/>
                          </w:rPr>
                          <w:t xml:space="preserve">s</w:t>
                        </w:r>
                      </w:p>
                    </w:txbxContent>
                  </v:textbox>
                </v:rect>
                <v:rect id="Rectangle 2997" style="position:absolute;width:467;height:1581;left:37663;top:709;"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shape id="Shape 315710" style="position:absolute;width:30760;height:91;left:0;top:0;" coordsize="3076067,9144" path="m0,0l3076067,0l3076067,9144l0,9144l0,0">
                  <v:stroke weight="0pt" endcap="flat" joinstyle="miter" miterlimit="10" on="false" color="#000000" opacity="0"/>
                  <v:fill on="true" color="#000000"/>
                </v:shape>
                <v:shape id="Shape 315711" style="position:absolute;width:91;height:91;left:30760;top:0;" coordsize="9144,9144" path="m0,0l9144,0l9144,9144l0,9144l0,0">
                  <v:stroke weight="0pt" endcap="flat" joinstyle="miter" miterlimit="10" on="false" color="#000000" opacity="0"/>
                  <v:fill on="true" color="#000000"/>
                </v:shape>
                <v:shape id="Shape 315712" style="position:absolute;width:30593;height:91;left:30821;top:0;" coordsize="3059303,9144" path="m0,0l3059303,0l3059303,9144l0,9144l0,0">
                  <v:stroke weight="0pt" endcap="flat" joinstyle="miter" miterlimit="10" on="false" color="#000000" opacity="0"/>
                  <v:fill on="true" color="#000000"/>
                </v:shape>
                <v:shape id="Shape 315713" style="position:absolute;width:30760;height:91;left:0;top:2286;" coordsize="3076067,9144" path="m0,0l3076067,0l3076067,9144l0,9144l0,0">
                  <v:stroke weight="0pt" endcap="flat" joinstyle="miter" miterlimit="10" on="false" color="#000000" opacity="0"/>
                  <v:fill on="true" color="#000000"/>
                </v:shape>
                <v:shape id="Shape 315714" style="position:absolute;width:91;height:91;left:30760;top:2286;" coordsize="9144,9144" path="m0,0l9144,0l9144,9144l0,9144l0,0">
                  <v:stroke weight="0pt" endcap="flat" joinstyle="miter" miterlimit="10" on="false" color="#000000" opacity="0"/>
                  <v:fill on="true" color="#000000"/>
                </v:shape>
                <v:shape id="Shape 315715" style="position:absolute;width:30593;height:91;left:30821;top:2286;" coordsize="3059303,9144" path="m0,0l3059303,0l3059303,9144l0,9144l0,0">
                  <v:stroke weight="0pt" endcap="flat" joinstyle="miter" miterlimit="10" on="false" color="#000000" opacity="0"/>
                  <v:fill on="true" color="#000000"/>
                </v:shape>
              </v:group>
            </w:pict>
          </mc:Fallback>
        </mc:AlternateContent>
      </w:r>
      <w:r>
        <w:rPr>
          <w:rFonts w:ascii="Arial" w:eastAsia="Arial" w:hAnsi="Arial" w:cs="Arial"/>
          <w:b/>
          <w:sz w:val="20"/>
        </w:rPr>
        <w:t xml:space="preserve">Objectives </w:t>
      </w:r>
    </w:p>
    <w:p w14:paraId="01B740F6" w14:textId="77777777" w:rsidR="000B3C5C" w:rsidRDefault="000B3C5C">
      <w:pPr>
        <w:sectPr w:rsidR="000B3C5C">
          <w:headerReference w:type="even" r:id="rId14"/>
          <w:headerReference w:type="default" r:id="rId15"/>
          <w:footerReference w:type="even" r:id="rId16"/>
          <w:footerReference w:type="default" r:id="rId17"/>
          <w:headerReference w:type="first" r:id="rId18"/>
          <w:footerReference w:type="first" r:id="rId19"/>
          <w:pgSz w:w="11906" w:h="16841"/>
          <w:pgMar w:top="2352" w:right="872" w:bottom="1440" w:left="1587" w:header="1170" w:footer="454" w:gutter="0"/>
          <w:cols w:space="720"/>
        </w:sectPr>
      </w:pPr>
    </w:p>
    <w:p w14:paraId="6E43D9D5" w14:textId="77777777" w:rsidR="000B3C5C" w:rsidRDefault="00ED192D">
      <w:pPr>
        <w:pStyle w:val="Heading3"/>
        <w:spacing w:after="133" w:line="259" w:lineRule="auto"/>
        <w:ind w:left="-5"/>
      </w:pPr>
      <w:r>
        <w:rPr>
          <w:sz w:val="20"/>
        </w:rPr>
        <w:t xml:space="preserve">Primary </w:t>
      </w:r>
    </w:p>
    <w:p w14:paraId="3C08B0A0" w14:textId="77777777" w:rsidR="000B3C5C" w:rsidRDefault="00ED192D">
      <w:pPr>
        <w:numPr>
          <w:ilvl w:val="0"/>
          <w:numId w:val="12"/>
        </w:numPr>
        <w:spacing w:after="4" w:line="250" w:lineRule="auto"/>
        <w:ind w:hanging="358"/>
      </w:pPr>
      <w:r>
        <w:rPr>
          <w:rFonts w:ascii="Arial" w:eastAsia="Arial" w:hAnsi="Arial" w:cs="Arial"/>
          <w:sz w:val="20"/>
        </w:rPr>
        <w:t xml:space="preserve">Phase 1: To characterize the safety and tolerability of isatuximab in combination with atezolizumab in participants with unresectable hepatocellular carcinoma (HCC), platinum-refractory recurrent/metastatic squamous cell carcinoma of the head and neck (SCCHN), </w:t>
      </w:r>
    </w:p>
    <w:p w14:paraId="346CB847" w14:textId="77777777" w:rsidR="000B3C5C" w:rsidRDefault="00ED192D">
      <w:pPr>
        <w:spacing w:after="4" w:line="250" w:lineRule="auto"/>
        <w:ind w:left="730"/>
      </w:pPr>
      <w:r>
        <w:rPr>
          <w:rFonts w:ascii="Arial" w:eastAsia="Arial" w:hAnsi="Arial" w:cs="Arial"/>
          <w:sz w:val="20"/>
        </w:rPr>
        <w:t>platinum-</w:t>
      </w:r>
      <w:r>
        <w:rPr>
          <w:rFonts w:ascii="Arial" w:eastAsia="Arial" w:hAnsi="Arial" w:cs="Arial"/>
          <w:sz w:val="20"/>
        </w:rPr>
        <w:t>resistant/refractory epithelial ovarian cancer (EOC), or recurrent glioblastoma multiforme (GBM), and to determine the recommended Phase 2 dose (RP2D)</w:t>
      </w:r>
      <w:r>
        <w:rPr>
          <w:sz w:val="20"/>
        </w:rPr>
        <w:t xml:space="preserve">. </w:t>
      </w:r>
    </w:p>
    <w:p w14:paraId="49E64094" w14:textId="77777777" w:rsidR="000B3C5C" w:rsidRDefault="00ED192D">
      <w:pPr>
        <w:numPr>
          <w:ilvl w:val="0"/>
          <w:numId w:val="12"/>
        </w:numPr>
        <w:spacing w:after="82" w:line="250" w:lineRule="auto"/>
        <w:ind w:hanging="358"/>
      </w:pPr>
      <w:r>
        <w:rPr>
          <w:rFonts w:ascii="Arial" w:eastAsia="Arial" w:hAnsi="Arial" w:cs="Arial"/>
          <w:sz w:val="20"/>
        </w:rPr>
        <w:t xml:space="preserve">Dose limiting toxicities (DLTs) (in Cycle 1), adverse events (AEs)/serious adverse events (SAEs), and laboratory abnormalities. </w:t>
      </w:r>
    </w:p>
    <w:p w14:paraId="21483DDE" w14:textId="77777777" w:rsidR="000B3C5C" w:rsidRDefault="00ED192D">
      <w:pPr>
        <w:numPr>
          <w:ilvl w:val="0"/>
          <w:numId w:val="12"/>
        </w:numPr>
        <w:spacing w:after="82" w:line="250" w:lineRule="auto"/>
        <w:ind w:hanging="358"/>
      </w:pPr>
      <w:r>
        <w:rPr>
          <w:rFonts w:ascii="Arial" w:eastAsia="Arial" w:hAnsi="Arial" w:cs="Arial"/>
          <w:sz w:val="20"/>
        </w:rPr>
        <w:t xml:space="preserve">Maximum tolerated dose (MTD) defined as the highest dose level (DL) at which no more than 1 out of 6 participants (starting dose or DL-1) or 2 out of 12 participants (starting dose) experience an investigational medicinal product (IMP)-related DLT. </w:t>
      </w:r>
    </w:p>
    <w:tbl>
      <w:tblPr>
        <w:tblStyle w:val="TableGrid"/>
        <w:tblpPr w:vertAnchor="text" w:horzAnchor="margin" w:tblpX="-122" w:tblpY="513"/>
        <w:tblOverlap w:val="never"/>
        <w:tblW w:w="9686" w:type="dxa"/>
        <w:tblInd w:w="0" w:type="dxa"/>
        <w:tblCellMar>
          <w:top w:w="119" w:type="dxa"/>
          <w:left w:w="0" w:type="dxa"/>
          <w:bottom w:w="6" w:type="dxa"/>
          <w:right w:w="115" w:type="dxa"/>
        </w:tblCellMar>
        <w:tblLook w:val="04A0" w:firstRow="1" w:lastRow="0" w:firstColumn="1" w:lastColumn="0" w:noHBand="0" w:noVBand="1"/>
      </w:tblPr>
      <w:tblGrid>
        <w:gridCol w:w="5689"/>
        <w:gridCol w:w="3997"/>
      </w:tblGrid>
      <w:tr w:rsidR="000B3C5C" w14:paraId="728E838D" w14:textId="77777777">
        <w:trPr>
          <w:trHeight w:val="1231"/>
        </w:trPr>
        <w:tc>
          <w:tcPr>
            <w:tcW w:w="5689" w:type="dxa"/>
            <w:tcBorders>
              <w:top w:val="single" w:sz="4" w:space="0" w:color="000000"/>
              <w:left w:val="nil"/>
              <w:bottom w:val="single" w:sz="4" w:space="0" w:color="000000"/>
              <w:right w:val="nil"/>
            </w:tcBorders>
          </w:tcPr>
          <w:p w14:paraId="6B7A27CA" w14:textId="77777777" w:rsidR="000B3C5C" w:rsidRDefault="00ED192D">
            <w:pPr>
              <w:tabs>
                <w:tab w:val="center" w:pos="531"/>
                <w:tab w:val="center" w:pos="2787"/>
                <w:tab w:val="right" w:pos="5574"/>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Phase 2: To assess response rate (RR) of isatuximab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p>
          <w:p w14:paraId="48556EC9" w14:textId="77777777" w:rsidR="000B3C5C" w:rsidRDefault="00ED192D">
            <w:pPr>
              <w:spacing w:after="0" w:line="259" w:lineRule="auto"/>
              <w:ind w:left="842" w:right="536" w:firstLine="0"/>
            </w:pPr>
            <w:r>
              <w:rPr>
                <w:rFonts w:ascii="Arial" w:eastAsia="Arial" w:hAnsi="Arial" w:cs="Arial"/>
                <w:sz w:val="20"/>
              </w:rPr>
              <w:t>in combination with atezolizumab in participants with HCC or SCCHN or EOC.</w:t>
            </w:r>
            <w:r>
              <w:rPr>
                <w:sz w:val="20"/>
              </w:rPr>
              <w:t xml:space="preserve"> </w:t>
            </w:r>
          </w:p>
        </w:tc>
        <w:tc>
          <w:tcPr>
            <w:tcW w:w="3997" w:type="dxa"/>
            <w:tcBorders>
              <w:top w:val="single" w:sz="4" w:space="0" w:color="000000"/>
              <w:left w:val="nil"/>
              <w:bottom w:val="single" w:sz="4" w:space="0" w:color="000000"/>
              <w:right w:val="nil"/>
            </w:tcBorders>
            <w:vAlign w:val="bottom"/>
          </w:tcPr>
          <w:p w14:paraId="1087FF59" w14:textId="77777777" w:rsidR="000B3C5C" w:rsidRDefault="00ED192D">
            <w:pPr>
              <w:spacing w:after="1" w:line="241" w:lineRule="auto"/>
              <w:ind w:left="0" w:firstLine="0"/>
            </w:pPr>
            <w:r>
              <w:rPr>
                <w:rFonts w:ascii="Arial" w:eastAsia="Arial" w:hAnsi="Arial" w:cs="Arial"/>
                <w:sz w:val="20"/>
              </w:rPr>
              <w:t xml:space="preserve">RR defined as the proportion of patients with complete response and partial response as best overall response (assessed by Investigators using Response Evaluation Criteria in Solid Tumors </w:t>
            </w:r>
          </w:p>
          <w:p w14:paraId="4C5BA324" w14:textId="77777777" w:rsidR="000B3C5C" w:rsidRDefault="00ED192D">
            <w:pPr>
              <w:spacing w:after="0" w:line="259" w:lineRule="auto"/>
              <w:ind w:left="0" w:firstLine="0"/>
            </w:pPr>
            <w:r>
              <w:rPr>
                <w:rFonts w:ascii="Arial" w:eastAsia="Arial" w:hAnsi="Arial" w:cs="Arial"/>
                <w:sz w:val="20"/>
              </w:rPr>
              <w:t xml:space="preserve">(RECIST) 1.1 see Appendix 11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10.11</w:t>
            </w:r>
            <w:r>
              <w:rPr>
                <w:rFonts w:ascii="Arial" w:eastAsia="Arial" w:hAnsi="Arial" w:cs="Arial"/>
                <w:sz w:val="20"/>
              </w:rPr>
              <w:t xml:space="preserve">). </w:t>
            </w:r>
          </w:p>
        </w:tc>
      </w:tr>
      <w:tr w:rsidR="000B3C5C" w14:paraId="2365F82E" w14:textId="77777777">
        <w:trPr>
          <w:trHeight w:val="1003"/>
        </w:trPr>
        <w:tc>
          <w:tcPr>
            <w:tcW w:w="5689" w:type="dxa"/>
            <w:tcBorders>
              <w:top w:val="single" w:sz="4" w:space="0" w:color="000000"/>
              <w:left w:val="nil"/>
              <w:bottom w:val="single" w:sz="4" w:space="0" w:color="000000"/>
              <w:right w:val="nil"/>
            </w:tcBorders>
            <w:vAlign w:val="bottom"/>
          </w:tcPr>
          <w:p w14:paraId="6059B281" w14:textId="77777777" w:rsidR="000B3C5C" w:rsidRDefault="00ED192D">
            <w:pPr>
              <w:spacing w:after="0" w:line="259" w:lineRule="auto"/>
              <w:ind w:left="843" w:right="151"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Phase 2: To assess the progression free survival rate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at 6 months (PFS-6</w:t>
            </w:r>
            <w:r>
              <w:rPr>
                <w:rFonts w:ascii="Arial" w:eastAsia="Arial" w:hAnsi="Arial" w:cs="Arial"/>
                <w:sz w:val="20"/>
              </w:rPr>
              <w:t xml:space="preserve">) of isatuximab in combination with atezolizumab, or as a single agent in participants with GBM. </w:t>
            </w:r>
          </w:p>
        </w:tc>
        <w:tc>
          <w:tcPr>
            <w:tcW w:w="3997" w:type="dxa"/>
            <w:tcBorders>
              <w:top w:val="single" w:sz="4" w:space="0" w:color="000000"/>
              <w:left w:val="nil"/>
              <w:bottom w:val="single" w:sz="4" w:space="0" w:color="000000"/>
              <w:right w:val="nil"/>
            </w:tcBorders>
            <w:vAlign w:val="bottom"/>
          </w:tcPr>
          <w:p w14:paraId="6C21E97C" w14:textId="77777777" w:rsidR="000B3C5C" w:rsidRDefault="00ED192D">
            <w:pPr>
              <w:spacing w:after="0" w:line="259" w:lineRule="auto"/>
              <w:ind w:left="0" w:firstLine="0"/>
            </w:pPr>
            <w:r>
              <w:rPr>
                <w:rFonts w:ascii="Arial" w:eastAsia="Arial" w:hAnsi="Arial" w:cs="Arial"/>
                <w:sz w:val="20"/>
              </w:rPr>
              <w:t xml:space="preserve">PFS-6 defined as the PFS rate at 6 months </w:t>
            </w:r>
          </w:p>
          <w:p w14:paraId="6C072617" w14:textId="77777777" w:rsidR="000B3C5C" w:rsidRDefault="00ED192D">
            <w:pPr>
              <w:spacing w:after="0" w:line="259" w:lineRule="auto"/>
              <w:ind w:left="0" w:firstLine="0"/>
            </w:pPr>
            <w:r>
              <w:rPr>
                <w:rFonts w:ascii="Arial" w:eastAsia="Arial" w:hAnsi="Arial" w:cs="Arial"/>
                <w:sz w:val="20"/>
              </w:rPr>
              <w:t xml:space="preserve">(assessed by Investigators using Response </w:t>
            </w:r>
          </w:p>
          <w:p w14:paraId="694D3DB5" w14:textId="77777777" w:rsidR="000B3C5C" w:rsidRDefault="00ED192D">
            <w:pPr>
              <w:spacing w:after="0" w:line="259" w:lineRule="auto"/>
              <w:ind w:left="0" w:firstLine="0"/>
            </w:pPr>
            <w:r>
              <w:rPr>
                <w:rFonts w:ascii="Arial" w:eastAsia="Arial" w:hAnsi="Arial" w:cs="Arial"/>
                <w:sz w:val="20"/>
              </w:rPr>
              <w:t xml:space="preserve">Assessment for Neuro-Oncology [RANO] criteria). </w:t>
            </w:r>
          </w:p>
          <w:p w14:paraId="5345449C" w14:textId="77777777" w:rsidR="000B3C5C" w:rsidRDefault="00ED192D">
            <w:pPr>
              <w:spacing w:after="0" w:line="259" w:lineRule="auto"/>
              <w:ind w:left="0" w:firstLine="0"/>
            </w:pPr>
            <w:r>
              <w:rPr>
                <w:rFonts w:ascii="Arial" w:eastAsia="Arial" w:hAnsi="Arial" w:cs="Arial"/>
                <w:sz w:val="20"/>
              </w:rPr>
              <w:t xml:space="preserve"> </w:t>
            </w:r>
          </w:p>
        </w:tc>
      </w:tr>
    </w:tbl>
    <w:p w14:paraId="19EEB895" w14:textId="77777777" w:rsidR="000B3C5C" w:rsidRDefault="00ED192D">
      <w:pPr>
        <w:numPr>
          <w:ilvl w:val="0"/>
          <w:numId w:val="12"/>
        </w:numPr>
        <w:spacing w:after="4" w:line="250" w:lineRule="auto"/>
        <w:ind w:hanging="358"/>
      </w:pPr>
      <w:r>
        <w:rPr>
          <w:rFonts w:ascii="Arial" w:eastAsia="Arial" w:hAnsi="Arial" w:cs="Arial"/>
          <w:sz w:val="20"/>
        </w:rPr>
        <w:t xml:space="preserve">Recommended Phase 2 dose (RP2D) defined as the dose selected for the Phase 2 portion. </w:t>
      </w:r>
    </w:p>
    <w:p w14:paraId="762BE49F" w14:textId="77777777" w:rsidR="000B3C5C" w:rsidRDefault="000B3C5C">
      <w:pPr>
        <w:sectPr w:rsidR="000B3C5C">
          <w:type w:val="continuous"/>
          <w:pgSz w:w="11906" w:h="16841"/>
          <w:pgMar w:top="1440" w:right="928" w:bottom="1440" w:left="1587" w:header="720" w:footer="720" w:gutter="0"/>
          <w:cols w:num="2" w:space="720" w:equalWidth="0">
            <w:col w:w="4604" w:space="580"/>
            <w:col w:w="4208"/>
          </w:cols>
        </w:sectPr>
      </w:pPr>
    </w:p>
    <w:tbl>
      <w:tblPr>
        <w:tblStyle w:val="TableGrid"/>
        <w:tblW w:w="9686" w:type="dxa"/>
        <w:tblInd w:w="-122" w:type="dxa"/>
        <w:tblCellMar>
          <w:top w:w="58" w:type="dxa"/>
          <w:left w:w="0" w:type="dxa"/>
          <w:bottom w:w="6" w:type="dxa"/>
          <w:right w:w="115" w:type="dxa"/>
        </w:tblCellMar>
        <w:tblLook w:val="04A0" w:firstRow="1" w:lastRow="0" w:firstColumn="1" w:lastColumn="0" w:noHBand="0" w:noVBand="1"/>
      </w:tblPr>
      <w:tblGrid>
        <w:gridCol w:w="4969"/>
        <w:gridCol w:w="720"/>
        <w:gridCol w:w="3997"/>
      </w:tblGrid>
      <w:tr w:rsidR="000B3C5C" w14:paraId="59768F15" w14:textId="77777777">
        <w:trPr>
          <w:trHeight w:val="360"/>
        </w:trPr>
        <w:tc>
          <w:tcPr>
            <w:tcW w:w="4969" w:type="dxa"/>
            <w:tcBorders>
              <w:top w:val="single" w:sz="4" w:space="0" w:color="000000"/>
              <w:left w:val="nil"/>
              <w:bottom w:val="single" w:sz="4" w:space="0" w:color="000000"/>
              <w:right w:val="nil"/>
            </w:tcBorders>
          </w:tcPr>
          <w:p w14:paraId="0CEEA652" w14:textId="77777777" w:rsidR="000B3C5C" w:rsidRDefault="00ED192D">
            <w:pPr>
              <w:spacing w:after="0" w:line="259" w:lineRule="auto"/>
              <w:ind w:left="122" w:firstLine="0"/>
            </w:pPr>
            <w:r>
              <w:rPr>
                <w:rFonts w:ascii="Arial" w:eastAsia="Arial" w:hAnsi="Arial" w:cs="Arial"/>
                <w:b/>
                <w:sz w:val="20"/>
              </w:rPr>
              <w:t xml:space="preserve">Objectives </w:t>
            </w:r>
          </w:p>
        </w:tc>
        <w:tc>
          <w:tcPr>
            <w:tcW w:w="4717" w:type="dxa"/>
            <w:gridSpan w:val="2"/>
            <w:tcBorders>
              <w:top w:val="single" w:sz="4" w:space="0" w:color="000000"/>
              <w:left w:val="nil"/>
              <w:bottom w:val="single" w:sz="4" w:space="0" w:color="000000"/>
              <w:right w:val="nil"/>
            </w:tcBorders>
          </w:tcPr>
          <w:p w14:paraId="3A6F4353" w14:textId="77777777" w:rsidR="000B3C5C" w:rsidRDefault="00ED192D">
            <w:pPr>
              <w:spacing w:after="0" w:line="259" w:lineRule="auto"/>
              <w:ind w:left="0" w:firstLine="0"/>
            </w:pPr>
            <w:r>
              <w:rPr>
                <w:rFonts w:ascii="Arial" w:eastAsia="Arial" w:hAnsi="Arial" w:cs="Arial"/>
                <w:b/>
                <w:sz w:val="20"/>
              </w:rPr>
              <w:t xml:space="preserve">Endpoints </w:t>
            </w:r>
          </w:p>
        </w:tc>
      </w:tr>
      <w:tr w:rsidR="000B3C5C" w14:paraId="21951184" w14:textId="77777777">
        <w:trPr>
          <w:trHeight w:val="1172"/>
        </w:trPr>
        <w:tc>
          <w:tcPr>
            <w:tcW w:w="5689" w:type="dxa"/>
            <w:gridSpan w:val="2"/>
            <w:tcBorders>
              <w:top w:val="single" w:sz="4" w:space="0" w:color="000000"/>
              <w:left w:val="nil"/>
              <w:bottom w:val="nil"/>
              <w:right w:val="nil"/>
            </w:tcBorders>
          </w:tcPr>
          <w:p w14:paraId="345C00DB" w14:textId="77777777" w:rsidR="000B3C5C" w:rsidRDefault="00ED192D">
            <w:pPr>
              <w:spacing w:after="133" w:line="259" w:lineRule="auto"/>
              <w:ind w:left="122" w:firstLine="0"/>
            </w:pPr>
            <w:r>
              <w:rPr>
                <w:rFonts w:ascii="Arial" w:eastAsia="Arial" w:hAnsi="Arial" w:cs="Arial"/>
                <w:b/>
                <w:sz w:val="20"/>
              </w:rPr>
              <w:t xml:space="preserve">Secondary </w:t>
            </w:r>
          </w:p>
          <w:p w14:paraId="48999E6F" w14:textId="77777777" w:rsidR="000B3C5C" w:rsidRDefault="00ED192D">
            <w:pPr>
              <w:tabs>
                <w:tab w:val="center" w:pos="531"/>
                <w:tab w:val="center" w:pos="2450"/>
                <w:tab w:val="right" w:pos="5574"/>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To evaluate the safety (in Phase 2) profile of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p>
          <w:p w14:paraId="485FF01A" w14:textId="77777777" w:rsidR="000B3C5C" w:rsidRDefault="00ED192D">
            <w:pPr>
              <w:spacing w:after="0" w:line="259" w:lineRule="auto"/>
              <w:ind w:left="842" w:right="734" w:firstLine="0"/>
            </w:pPr>
            <w:r>
              <w:rPr>
                <w:rFonts w:ascii="Arial" w:eastAsia="Arial" w:hAnsi="Arial" w:cs="Arial"/>
                <w:sz w:val="20"/>
              </w:rPr>
              <w:t>isatuximab monotherapy (GBM only), or in combination with atezolizumab.</w:t>
            </w:r>
            <w:r>
              <w:rPr>
                <w:sz w:val="20"/>
              </w:rPr>
              <w:t xml:space="preserve"> </w:t>
            </w:r>
          </w:p>
        </w:tc>
        <w:tc>
          <w:tcPr>
            <w:tcW w:w="3997" w:type="dxa"/>
            <w:tcBorders>
              <w:top w:val="single" w:sz="4" w:space="0" w:color="000000"/>
              <w:left w:val="nil"/>
              <w:bottom w:val="nil"/>
              <w:right w:val="nil"/>
            </w:tcBorders>
            <w:vAlign w:val="bottom"/>
          </w:tcPr>
          <w:p w14:paraId="238ADEE1" w14:textId="77777777" w:rsidR="000B3C5C" w:rsidRDefault="00ED192D">
            <w:pPr>
              <w:spacing w:after="0" w:line="259" w:lineRule="auto"/>
              <w:ind w:left="0" w:firstLine="0"/>
            </w:pPr>
            <w:r>
              <w:rPr>
                <w:rFonts w:ascii="Arial" w:eastAsia="Arial" w:hAnsi="Arial" w:cs="Arial"/>
                <w:sz w:val="20"/>
              </w:rPr>
              <w:t xml:space="preserve">Adverse events (AE)/serious AEs and laboratory abnormalities (in Phase 2). </w:t>
            </w:r>
          </w:p>
        </w:tc>
      </w:tr>
      <w:tr w:rsidR="000B3C5C" w14:paraId="450FCA8F" w14:textId="77777777">
        <w:trPr>
          <w:trHeight w:val="763"/>
        </w:trPr>
        <w:tc>
          <w:tcPr>
            <w:tcW w:w="5689" w:type="dxa"/>
            <w:gridSpan w:val="2"/>
            <w:tcBorders>
              <w:top w:val="nil"/>
              <w:left w:val="nil"/>
              <w:bottom w:val="nil"/>
              <w:right w:val="nil"/>
            </w:tcBorders>
          </w:tcPr>
          <w:p w14:paraId="6ECDBC22" w14:textId="77777777" w:rsidR="000B3C5C" w:rsidRDefault="00ED192D">
            <w:pPr>
              <w:spacing w:after="0" w:line="259" w:lineRule="auto"/>
              <w:ind w:left="843"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To evaluate the immunogenicity of isatuximab and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atezolizumab. </w:t>
            </w:r>
          </w:p>
        </w:tc>
        <w:tc>
          <w:tcPr>
            <w:tcW w:w="3997" w:type="dxa"/>
            <w:tcBorders>
              <w:top w:val="nil"/>
              <w:left w:val="nil"/>
              <w:bottom w:val="nil"/>
              <w:right w:val="nil"/>
            </w:tcBorders>
          </w:tcPr>
          <w:p w14:paraId="65B7539E" w14:textId="77777777" w:rsidR="000B3C5C" w:rsidRDefault="00ED192D">
            <w:pPr>
              <w:spacing w:after="0" w:line="259" w:lineRule="auto"/>
              <w:ind w:left="0" w:firstLine="0"/>
            </w:pPr>
            <w:r>
              <w:rPr>
                <w:rFonts w:ascii="Arial" w:eastAsia="Arial" w:hAnsi="Arial" w:cs="Arial"/>
                <w:sz w:val="20"/>
              </w:rPr>
              <w:t>Incidence rate of anti-</w:t>
            </w:r>
            <w:r>
              <w:rPr>
                <w:rFonts w:ascii="Arial" w:eastAsia="Arial" w:hAnsi="Arial" w:cs="Arial"/>
                <w:sz w:val="20"/>
              </w:rPr>
              <w:t xml:space="preserve">drug antibodies development (ADA: antiisatuximab and anti-atezolizumab antibodies). </w:t>
            </w:r>
          </w:p>
        </w:tc>
      </w:tr>
      <w:tr w:rsidR="000B3C5C" w14:paraId="4690B770" w14:textId="77777777">
        <w:trPr>
          <w:trHeight w:val="1081"/>
        </w:trPr>
        <w:tc>
          <w:tcPr>
            <w:tcW w:w="5689" w:type="dxa"/>
            <w:gridSpan w:val="2"/>
            <w:tcBorders>
              <w:top w:val="nil"/>
              <w:left w:val="nil"/>
              <w:bottom w:val="nil"/>
              <w:right w:val="nil"/>
            </w:tcBorders>
          </w:tcPr>
          <w:p w14:paraId="09DABAF3" w14:textId="77777777" w:rsidR="000B3C5C" w:rsidRDefault="00ED192D">
            <w:pPr>
              <w:spacing w:after="0" w:line="259" w:lineRule="auto"/>
              <w:ind w:left="843" w:right="151"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To characterize the pharmacokinetic (PK) profile of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 xml:space="preserve">isatuximab single agent (GBM only) and atezolizumab in combination with isatuximab. </w:t>
            </w:r>
          </w:p>
        </w:tc>
        <w:tc>
          <w:tcPr>
            <w:tcW w:w="3997" w:type="dxa"/>
            <w:tcBorders>
              <w:top w:val="nil"/>
              <w:left w:val="nil"/>
              <w:bottom w:val="nil"/>
              <w:right w:val="nil"/>
            </w:tcBorders>
          </w:tcPr>
          <w:p w14:paraId="2742BE71" w14:textId="77777777" w:rsidR="000B3C5C" w:rsidRDefault="00ED192D">
            <w:pPr>
              <w:spacing w:after="0" w:line="259" w:lineRule="auto"/>
              <w:ind w:left="0" w:firstLine="0"/>
            </w:pPr>
            <w:r>
              <w:rPr>
                <w:rFonts w:ascii="Arial" w:eastAsia="Arial" w:hAnsi="Arial" w:cs="Arial"/>
                <w:sz w:val="20"/>
              </w:rPr>
              <w:t xml:space="preserve">PK assessed from concentrations of isatuximab (non-compartmental analysis and population PK approach) and atezolizumab (population PK approach). </w:t>
            </w:r>
          </w:p>
        </w:tc>
      </w:tr>
      <w:tr w:rsidR="000B3C5C" w14:paraId="13A3A059" w14:textId="77777777">
        <w:trPr>
          <w:trHeight w:val="1717"/>
        </w:trPr>
        <w:tc>
          <w:tcPr>
            <w:tcW w:w="5689" w:type="dxa"/>
            <w:gridSpan w:val="2"/>
            <w:tcBorders>
              <w:top w:val="nil"/>
              <w:left w:val="nil"/>
              <w:bottom w:val="single" w:sz="4" w:space="0" w:color="000000"/>
              <w:right w:val="nil"/>
            </w:tcBorders>
          </w:tcPr>
          <w:p w14:paraId="38DA1AFB" w14:textId="77777777" w:rsidR="000B3C5C" w:rsidRDefault="00ED192D">
            <w:pPr>
              <w:tabs>
                <w:tab w:val="center" w:pos="531"/>
                <w:tab w:val="center" w:pos="2373"/>
                <w:tab w:val="right" w:pos="5574"/>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To assess overall efficacy of isatuximab in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p>
          <w:p w14:paraId="2249DA1D" w14:textId="77777777" w:rsidR="000B3C5C" w:rsidRDefault="00ED192D">
            <w:pPr>
              <w:spacing w:after="0" w:line="259" w:lineRule="auto"/>
              <w:ind w:left="842" w:right="415" w:firstLine="0"/>
            </w:pPr>
            <w:r>
              <w:rPr>
                <w:rFonts w:ascii="Arial" w:eastAsia="Arial" w:hAnsi="Arial" w:cs="Arial"/>
                <w:sz w:val="20"/>
              </w:rPr>
              <w:t xml:space="preserve">combination with atezolizumab, or single agent (GBM only). </w:t>
            </w:r>
          </w:p>
        </w:tc>
        <w:tc>
          <w:tcPr>
            <w:tcW w:w="3997" w:type="dxa"/>
            <w:tcBorders>
              <w:top w:val="nil"/>
              <w:left w:val="nil"/>
              <w:bottom w:val="single" w:sz="4" w:space="0" w:color="000000"/>
              <w:right w:val="nil"/>
            </w:tcBorders>
            <w:vAlign w:val="bottom"/>
          </w:tcPr>
          <w:p w14:paraId="06415697" w14:textId="77777777" w:rsidR="000B3C5C" w:rsidRDefault="00ED192D">
            <w:pPr>
              <w:spacing w:after="0" w:line="259" w:lineRule="auto"/>
              <w:ind w:left="0" w:firstLine="0"/>
            </w:pPr>
            <w:r>
              <w:rPr>
                <w:rFonts w:ascii="Arial" w:eastAsia="Arial" w:hAnsi="Arial" w:cs="Arial"/>
                <w:sz w:val="20"/>
              </w:rPr>
              <w:t xml:space="preserve">Best percent-change from baseline in tumor burden change, disease control rate (DCR) defined as the sum of the complete response, partial response and stable disease rates, duration of response (DoR), progression free survival (PFS) (HCC, SCCHN, EOC per RECIST 1.1 and GBM per RANO criteria), RR (GBM only, per RANO criteria). </w:t>
            </w:r>
          </w:p>
        </w:tc>
      </w:tr>
    </w:tbl>
    <w:p w14:paraId="074B205F" w14:textId="77777777" w:rsidR="000B3C5C" w:rsidRDefault="00ED192D">
      <w:pPr>
        <w:spacing w:after="267" w:line="249" w:lineRule="auto"/>
        <w:ind w:left="-5" w:right="51"/>
      </w:pPr>
      <w:r>
        <w:rPr>
          <w:b/>
        </w:rPr>
        <w:t xml:space="preserve">Overall design: </w:t>
      </w:r>
    </w:p>
    <w:p w14:paraId="68258C2A" w14:textId="77777777" w:rsidR="000B3C5C" w:rsidRDefault="00ED192D">
      <w:pPr>
        <w:spacing w:after="271"/>
        <w:ind w:left="-3" w:right="14"/>
      </w:pPr>
      <w:r>
        <w:t xml:space="preserve">This is a Phase 1/2 open-label, non-randomized, multi-center, </w:t>
      </w:r>
      <w:r>
        <w:t xml:space="preserve">safety, preliminary efficacy, and PK study of isatuximab in combination with atezolizumab, or isatuximab alone in participants with advanced malignancies. The study will be conducted in 2 phases (see </w:t>
      </w:r>
      <w:r>
        <w:rPr>
          <w:color w:val="0000FF"/>
        </w:rPr>
        <w:t>Section</w:t>
      </w:r>
      <w:r>
        <w:t xml:space="preserve"> </w:t>
      </w:r>
      <w:r>
        <w:rPr>
          <w:color w:val="0000FF"/>
        </w:rPr>
        <w:t>1.2</w:t>
      </w:r>
      <w:r>
        <w:t xml:space="preserve"> for study design schema): </w:t>
      </w:r>
    </w:p>
    <w:p w14:paraId="037F152E" w14:textId="77777777" w:rsidR="000B3C5C" w:rsidRDefault="00ED192D">
      <w:pPr>
        <w:spacing w:line="249" w:lineRule="auto"/>
        <w:ind w:left="-5" w:right="51"/>
      </w:pPr>
      <w:r>
        <w:rPr>
          <w:b/>
        </w:rPr>
        <w:t xml:space="preserve">Phase 1 (safety run-in): </w:t>
      </w:r>
    </w:p>
    <w:p w14:paraId="3D5C4B18" w14:textId="77777777" w:rsidR="000B3C5C" w:rsidRDefault="00ED192D">
      <w:pPr>
        <w:ind w:left="-3" w:right="14"/>
      </w:pPr>
      <w:r>
        <w:t xml:space="preserve">Patients with HCC, or SCCHN, or EOC, or GBM will be enrolled in Phase 1. </w:t>
      </w:r>
    </w:p>
    <w:p w14:paraId="18B9B934" w14:textId="77777777" w:rsidR="000B3C5C" w:rsidRDefault="00ED192D">
      <w:pPr>
        <w:ind w:left="-3" w:right="268"/>
      </w:pPr>
      <w:r>
        <w:t xml:space="preserve">Starting dose is 1200 mg once every 3 weeks (Q3W) for atezolizumab with isatuximab given 10 mg/kg once weekly (QW) for 3 weeks followed by Q3W as described in the table below: </w:t>
      </w:r>
    </w:p>
    <w:p w14:paraId="2802BF6E" w14:textId="77777777" w:rsidR="000B3C5C" w:rsidRDefault="00ED192D">
      <w:pPr>
        <w:pStyle w:val="Heading2"/>
        <w:spacing w:after="0" w:line="259" w:lineRule="auto"/>
        <w:ind w:left="-5"/>
      </w:pPr>
      <w:r>
        <w:rPr>
          <w:u w:val="single" w:color="000000"/>
        </w:rPr>
        <w:t>Dosing schedule modification f</w:t>
      </w:r>
      <w:r>
        <w:t xml:space="preserve">or Phase 1 </w:t>
      </w:r>
    </w:p>
    <w:tbl>
      <w:tblPr>
        <w:tblStyle w:val="TableGrid"/>
        <w:tblW w:w="9496" w:type="dxa"/>
        <w:tblInd w:w="-12" w:type="dxa"/>
        <w:tblCellMar>
          <w:top w:w="80" w:type="dxa"/>
          <w:left w:w="0" w:type="dxa"/>
          <w:bottom w:w="0" w:type="dxa"/>
          <w:right w:w="115" w:type="dxa"/>
        </w:tblCellMar>
        <w:tblLook w:val="04A0" w:firstRow="1" w:lastRow="0" w:firstColumn="1" w:lastColumn="0" w:noHBand="0" w:noVBand="1"/>
      </w:tblPr>
      <w:tblGrid>
        <w:gridCol w:w="4217"/>
        <w:gridCol w:w="3109"/>
        <w:gridCol w:w="2170"/>
      </w:tblGrid>
      <w:tr w:rsidR="000B3C5C" w14:paraId="769B02D8" w14:textId="77777777">
        <w:trPr>
          <w:trHeight w:val="360"/>
        </w:trPr>
        <w:tc>
          <w:tcPr>
            <w:tcW w:w="4218" w:type="dxa"/>
            <w:tcBorders>
              <w:top w:val="nil"/>
              <w:left w:val="nil"/>
              <w:bottom w:val="single" w:sz="4" w:space="0" w:color="000000"/>
              <w:right w:val="nil"/>
            </w:tcBorders>
          </w:tcPr>
          <w:p w14:paraId="0C76BA01" w14:textId="77777777" w:rsidR="000B3C5C" w:rsidRDefault="00ED192D">
            <w:pPr>
              <w:spacing w:after="0" w:line="259" w:lineRule="auto"/>
              <w:ind w:left="991" w:firstLine="0"/>
            </w:pPr>
            <w:r>
              <w:rPr>
                <w:rFonts w:ascii="Arial" w:eastAsia="Arial" w:hAnsi="Arial" w:cs="Arial"/>
                <w:b/>
                <w:sz w:val="20"/>
              </w:rPr>
              <w:t xml:space="preserve">Dose level (DL)  </w:t>
            </w:r>
          </w:p>
        </w:tc>
        <w:tc>
          <w:tcPr>
            <w:tcW w:w="3109" w:type="dxa"/>
            <w:tcBorders>
              <w:top w:val="single" w:sz="4" w:space="0" w:color="000000"/>
              <w:left w:val="nil"/>
              <w:bottom w:val="single" w:sz="4" w:space="0" w:color="000000"/>
              <w:right w:val="nil"/>
            </w:tcBorders>
          </w:tcPr>
          <w:p w14:paraId="41CA6013" w14:textId="77777777" w:rsidR="000B3C5C" w:rsidRDefault="00ED192D">
            <w:pPr>
              <w:spacing w:after="0" w:line="259" w:lineRule="auto"/>
              <w:ind w:left="67" w:firstLine="0"/>
            </w:pPr>
            <w:r>
              <w:rPr>
                <w:rFonts w:ascii="Arial" w:eastAsia="Arial" w:hAnsi="Arial" w:cs="Arial"/>
                <w:b/>
                <w:sz w:val="20"/>
              </w:rPr>
              <w:t xml:space="preserve">Isatuximab </w:t>
            </w:r>
          </w:p>
        </w:tc>
        <w:tc>
          <w:tcPr>
            <w:tcW w:w="2170" w:type="dxa"/>
            <w:tcBorders>
              <w:top w:val="single" w:sz="4" w:space="0" w:color="000000"/>
              <w:left w:val="nil"/>
              <w:bottom w:val="single" w:sz="4" w:space="0" w:color="000000"/>
              <w:right w:val="nil"/>
            </w:tcBorders>
          </w:tcPr>
          <w:p w14:paraId="0BD49D16" w14:textId="77777777" w:rsidR="000B3C5C" w:rsidRDefault="00ED192D">
            <w:pPr>
              <w:spacing w:after="0" w:line="259" w:lineRule="auto"/>
              <w:ind w:left="0" w:firstLine="0"/>
            </w:pPr>
            <w:r>
              <w:rPr>
                <w:rFonts w:ascii="Arial" w:eastAsia="Arial" w:hAnsi="Arial" w:cs="Arial"/>
                <w:b/>
                <w:sz w:val="20"/>
              </w:rPr>
              <w:t xml:space="preserve">Atezolizumab </w:t>
            </w:r>
          </w:p>
        </w:tc>
      </w:tr>
      <w:tr w:rsidR="000B3C5C" w14:paraId="0C01A252" w14:textId="77777777">
        <w:trPr>
          <w:trHeight w:val="665"/>
        </w:trPr>
        <w:tc>
          <w:tcPr>
            <w:tcW w:w="4218" w:type="dxa"/>
            <w:tcBorders>
              <w:top w:val="single" w:sz="4" w:space="0" w:color="000000"/>
              <w:left w:val="nil"/>
              <w:bottom w:val="nil"/>
              <w:right w:val="nil"/>
            </w:tcBorders>
          </w:tcPr>
          <w:p w14:paraId="33C91EF7" w14:textId="77777777" w:rsidR="000B3C5C" w:rsidRDefault="00ED192D">
            <w:pPr>
              <w:spacing w:after="0" w:line="259" w:lineRule="auto"/>
              <w:ind w:left="1099" w:firstLine="0"/>
            </w:pPr>
            <w:r>
              <w:rPr>
                <w:rFonts w:ascii="Arial" w:eastAsia="Arial" w:hAnsi="Arial" w:cs="Arial"/>
                <w:sz w:val="20"/>
              </w:rPr>
              <w:t xml:space="preserve">Starting dose </w:t>
            </w:r>
          </w:p>
        </w:tc>
        <w:tc>
          <w:tcPr>
            <w:tcW w:w="3109" w:type="dxa"/>
            <w:tcBorders>
              <w:top w:val="single" w:sz="4" w:space="0" w:color="000000"/>
              <w:left w:val="nil"/>
              <w:bottom w:val="nil"/>
              <w:right w:val="nil"/>
            </w:tcBorders>
          </w:tcPr>
          <w:p w14:paraId="45B5C55E" w14:textId="77777777" w:rsidR="000B3C5C" w:rsidRDefault="00ED192D">
            <w:pPr>
              <w:spacing w:after="0" w:line="259" w:lineRule="auto"/>
              <w:ind w:left="0" w:right="1740" w:firstLine="252"/>
            </w:pPr>
            <w:r>
              <w:rPr>
                <w:rFonts w:ascii="Arial" w:eastAsia="Arial" w:hAnsi="Arial" w:cs="Arial"/>
                <w:sz w:val="20"/>
              </w:rPr>
              <w:t xml:space="preserve">10 mg/kg QW × 3 </w:t>
            </w:r>
            <w:r>
              <w:rPr>
                <w:rFonts w:ascii="Wingdings" w:eastAsia="Wingdings" w:hAnsi="Wingdings" w:cs="Wingdings"/>
                <w:sz w:val="20"/>
              </w:rPr>
              <w:t>→</w:t>
            </w:r>
            <w:r>
              <w:rPr>
                <w:rFonts w:ascii="Arial" w:eastAsia="Arial" w:hAnsi="Arial" w:cs="Arial"/>
                <w:sz w:val="20"/>
              </w:rPr>
              <w:t xml:space="preserve">Q3W </w:t>
            </w:r>
          </w:p>
        </w:tc>
        <w:tc>
          <w:tcPr>
            <w:tcW w:w="2170" w:type="dxa"/>
            <w:tcBorders>
              <w:top w:val="single" w:sz="4" w:space="0" w:color="000000"/>
              <w:left w:val="nil"/>
              <w:bottom w:val="nil"/>
              <w:right w:val="nil"/>
            </w:tcBorders>
          </w:tcPr>
          <w:p w14:paraId="6961869B" w14:textId="77777777" w:rsidR="000B3C5C" w:rsidRDefault="00ED192D">
            <w:pPr>
              <w:spacing w:after="43" w:line="259" w:lineRule="auto"/>
              <w:ind w:left="324" w:firstLine="0"/>
            </w:pPr>
            <w:r>
              <w:rPr>
                <w:rFonts w:ascii="Arial" w:eastAsia="Arial" w:hAnsi="Arial" w:cs="Arial"/>
                <w:sz w:val="20"/>
              </w:rPr>
              <w:t xml:space="preserve">1200 mg </w:t>
            </w:r>
          </w:p>
          <w:p w14:paraId="5D75D1E2" w14:textId="77777777" w:rsidR="000B3C5C" w:rsidRDefault="00ED192D">
            <w:pPr>
              <w:spacing w:after="0" w:line="259" w:lineRule="auto"/>
              <w:ind w:left="456" w:firstLine="0"/>
            </w:pPr>
            <w:r>
              <w:rPr>
                <w:rFonts w:ascii="Arial" w:eastAsia="Arial" w:hAnsi="Arial" w:cs="Arial"/>
                <w:sz w:val="20"/>
              </w:rPr>
              <w:t xml:space="preserve">Q3W </w:t>
            </w:r>
          </w:p>
        </w:tc>
      </w:tr>
      <w:tr w:rsidR="000B3C5C" w14:paraId="16D57E65" w14:textId="77777777">
        <w:trPr>
          <w:trHeight w:val="634"/>
        </w:trPr>
        <w:tc>
          <w:tcPr>
            <w:tcW w:w="4218" w:type="dxa"/>
            <w:tcBorders>
              <w:top w:val="nil"/>
              <w:left w:val="nil"/>
              <w:bottom w:val="single" w:sz="12" w:space="0" w:color="000000"/>
              <w:right w:val="nil"/>
            </w:tcBorders>
          </w:tcPr>
          <w:p w14:paraId="35BCE7C0" w14:textId="77777777" w:rsidR="000B3C5C" w:rsidRDefault="00ED192D">
            <w:pPr>
              <w:spacing w:after="0" w:line="259" w:lineRule="auto"/>
              <w:ind w:left="1013" w:firstLine="0"/>
            </w:pPr>
            <w:r>
              <w:rPr>
                <w:rFonts w:ascii="Arial" w:eastAsia="Arial" w:hAnsi="Arial" w:cs="Arial"/>
                <w:sz w:val="20"/>
              </w:rPr>
              <w:t xml:space="preserve">Minus -1 (DL-1) </w:t>
            </w:r>
          </w:p>
        </w:tc>
        <w:tc>
          <w:tcPr>
            <w:tcW w:w="3109" w:type="dxa"/>
            <w:tcBorders>
              <w:top w:val="nil"/>
              <w:left w:val="nil"/>
              <w:bottom w:val="single" w:sz="12" w:space="0" w:color="000000"/>
              <w:right w:val="nil"/>
            </w:tcBorders>
          </w:tcPr>
          <w:p w14:paraId="2B1380ED" w14:textId="77777777" w:rsidR="000B3C5C" w:rsidRDefault="00ED192D">
            <w:pPr>
              <w:spacing w:after="0" w:line="259" w:lineRule="auto"/>
              <w:ind w:left="0" w:right="1786" w:firstLine="298"/>
            </w:pPr>
            <w:r>
              <w:rPr>
                <w:rFonts w:ascii="Arial" w:eastAsia="Arial" w:hAnsi="Arial" w:cs="Arial"/>
                <w:sz w:val="20"/>
              </w:rPr>
              <w:t xml:space="preserve">5 mg/kg QW × 3 </w:t>
            </w:r>
            <w:r>
              <w:rPr>
                <w:rFonts w:ascii="Wingdings" w:eastAsia="Wingdings" w:hAnsi="Wingdings" w:cs="Wingdings"/>
                <w:sz w:val="20"/>
              </w:rPr>
              <w:t>→</w:t>
            </w:r>
            <w:r>
              <w:rPr>
                <w:rFonts w:ascii="Arial" w:eastAsia="Arial" w:hAnsi="Arial" w:cs="Arial"/>
                <w:sz w:val="20"/>
              </w:rPr>
              <w:t xml:space="preserve">Q3W </w:t>
            </w:r>
          </w:p>
        </w:tc>
        <w:tc>
          <w:tcPr>
            <w:tcW w:w="2170" w:type="dxa"/>
            <w:tcBorders>
              <w:top w:val="nil"/>
              <w:left w:val="nil"/>
              <w:bottom w:val="single" w:sz="12" w:space="0" w:color="000000"/>
              <w:right w:val="nil"/>
            </w:tcBorders>
          </w:tcPr>
          <w:p w14:paraId="2645C536" w14:textId="77777777" w:rsidR="000B3C5C" w:rsidRDefault="00ED192D">
            <w:pPr>
              <w:spacing w:after="43" w:line="259" w:lineRule="auto"/>
              <w:ind w:left="324" w:firstLine="0"/>
            </w:pPr>
            <w:r>
              <w:rPr>
                <w:rFonts w:ascii="Arial" w:eastAsia="Arial" w:hAnsi="Arial" w:cs="Arial"/>
                <w:sz w:val="20"/>
              </w:rPr>
              <w:t xml:space="preserve">1200 mg </w:t>
            </w:r>
          </w:p>
          <w:p w14:paraId="5DAB7C89" w14:textId="77777777" w:rsidR="000B3C5C" w:rsidRDefault="00ED192D">
            <w:pPr>
              <w:spacing w:after="0" w:line="259" w:lineRule="auto"/>
              <w:ind w:left="456" w:firstLine="0"/>
            </w:pPr>
            <w:r>
              <w:rPr>
                <w:rFonts w:ascii="Arial" w:eastAsia="Arial" w:hAnsi="Arial" w:cs="Arial"/>
                <w:sz w:val="20"/>
              </w:rPr>
              <w:t xml:space="preserve">Q3W </w:t>
            </w:r>
          </w:p>
        </w:tc>
      </w:tr>
    </w:tbl>
    <w:p w14:paraId="175EAE61" w14:textId="77777777" w:rsidR="000B3C5C" w:rsidRDefault="00ED192D">
      <w:pPr>
        <w:ind w:left="106" w:right="14"/>
      </w:pPr>
      <w:r>
        <w:t xml:space="preserve">The DLT observation period is the first cycle (21 days). The totality of the safety findings, including all the AEs occurring during treatment, unless due to disease progression or an obviously unrelated cause, will be taken into consideration by a Study Committee for the determination of the maximum tolerated dose and RP2D for the isatuximab and atezolizumab combination. </w:t>
      </w:r>
    </w:p>
    <w:p w14:paraId="26546FDE" w14:textId="77777777" w:rsidR="000B3C5C" w:rsidRDefault="00ED192D">
      <w:pPr>
        <w:spacing w:after="0"/>
        <w:ind w:left="106" w:right="14"/>
      </w:pPr>
      <w:r>
        <w:t xml:space="preserve">The selection of the RP2D will be based on the observation of the DLTs rules, as illustrated in the table below: </w:t>
      </w:r>
    </w:p>
    <w:p w14:paraId="10546D12" w14:textId="77777777" w:rsidR="000B3C5C" w:rsidRDefault="00ED192D">
      <w:pPr>
        <w:spacing w:after="0" w:line="259" w:lineRule="auto"/>
        <w:ind w:left="96" w:firstLine="0"/>
      </w:pPr>
      <w:r>
        <w:t xml:space="preserve"> </w:t>
      </w:r>
    </w:p>
    <w:tbl>
      <w:tblPr>
        <w:tblStyle w:val="TableGrid"/>
        <w:tblW w:w="9280" w:type="dxa"/>
        <w:tblInd w:w="96" w:type="dxa"/>
        <w:tblCellMar>
          <w:top w:w="81" w:type="dxa"/>
          <w:left w:w="0" w:type="dxa"/>
          <w:bottom w:w="0" w:type="dxa"/>
          <w:right w:w="0" w:type="dxa"/>
        </w:tblCellMar>
        <w:tblLook w:val="04A0" w:firstRow="1" w:lastRow="0" w:firstColumn="1" w:lastColumn="0" w:noHBand="0" w:noVBand="1"/>
      </w:tblPr>
      <w:tblGrid>
        <w:gridCol w:w="2206"/>
        <w:gridCol w:w="3027"/>
        <w:gridCol w:w="4047"/>
      </w:tblGrid>
      <w:tr w:rsidR="000B3C5C" w14:paraId="0DFC9DFB" w14:textId="77777777">
        <w:trPr>
          <w:trHeight w:val="360"/>
        </w:trPr>
        <w:tc>
          <w:tcPr>
            <w:tcW w:w="2206" w:type="dxa"/>
            <w:tcBorders>
              <w:top w:val="single" w:sz="4" w:space="0" w:color="000000"/>
              <w:left w:val="nil"/>
              <w:bottom w:val="single" w:sz="4" w:space="0" w:color="000000"/>
              <w:right w:val="nil"/>
            </w:tcBorders>
          </w:tcPr>
          <w:p w14:paraId="11E901B7" w14:textId="77777777" w:rsidR="000B3C5C" w:rsidRDefault="00ED192D">
            <w:pPr>
              <w:spacing w:after="0" w:line="259" w:lineRule="auto"/>
              <w:ind w:left="108" w:firstLine="0"/>
            </w:pPr>
            <w:r>
              <w:rPr>
                <w:rFonts w:ascii="Arial" w:eastAsia="Arial" w:hAnsi="Arial" w:cs="Arial"/>
                <w:b/>
                <w:sz w:val="20"/>
                <w:u w:val="single" w:color="000000"/>
              </w:rPr>
              <w:t>Isatuximab dose</w:t>
            </w:r>
            <w:r>
              <w:rPr>
                <w:rFonts w:ascii="Arial" w:eastAsia="Arial" w:hAnsi="Arial" w:cs="Arial"/>
                <w:b/>
                <w:sz w:val="20"/>
              </w:rPr>
              <w:t xml:space="preserve">         </w:t>
            </w:r>
          </w:p>
        </w:tc>
        <w:tc>
          <w:tcPr>
            <w:tcW w:w="3027" w:type="dxa"/>
            <w:tcBorders>
              <w:top w:val="single" w:sz="4" w:space="0" w:color="000000"/>
              <w:left w:val="nil"/>
              <w:bottom w:val="single" w:sz="4" w:space="0" w:color="000000"/>
              <w:right w:val="nil"/>
            </w:tcBorders>
          </w:tcPr>
          <w:p w14:paraId="32F38978" w14:textId="77777777" w:rsidR="000B3C5C" w:rsidRDefault="00ED192D">
            <w:pPr>
              <w:spacing w:after="0" w:line="259" w:lineRule="auto"/>
              <w:ind w:left="-31" w:firstLine="0"/>
            </w:pPr>
            <w:r>
              <w:rPr>
                <w:rFonts w:ascii="Arial" w:eastAsia="Arial" w:hAnsi="Arial" w:cs="Arial"/>
                <w:b/>
                <w:sz w:val="20"/>
              </w:rPr>
              <w:t xml:space="preserve">                 DLTs </w:t>
            </w:r>
          </w:p>
        </w:tc>
        <w:tc>
          <w:tcPr>
            <w:tcW w:w="4047" w:type="dxa"/>
            <w:tcBorders>
              <w:top w:val="single" w:sz="4" w:space="0" w:color="000000"/>
              <w:left w:val="nil"/>
              <w:bottom w:val="single" w:sz="4" w:space="0" w:color="000000"/>
              <w:right w:val="nil"/>
            </w:tcBorders>
          </w:tcPr>
          <w:p w14:paraId="43ED9F14" w14:textId="77777777" w:rsidR="000B3C5C" w:rsidRDefault="00ED192D">
            <w:pPr>
              <w:spacing w:after="0" w:line="259" w:lineRule="auto"/>
              <w:ind w:left="1318" w:firstLine="0"/>
            </w:pPr>
            <w:r>
              <w:rPr>
                <w:rFonts w:ascii="Arial" w:eastAsia="Arial" w:hAnsi="Arial" w:cs="Arial"/>
                <w:b/>
                <w:sz w:val="20"/>
              </w:rPr>
              <w:t xml:space="preserve">       Dose </w:t>
            </w:r>
          </w:p>
        </w:tc>
      </w:tr>
      <w:tr w:rsidR="000B3C5C" w14:paraId="6CF3A5F7" w14:textId="77777777">
        <w:trPr>
          <w:trHeight w:val="376"/>
        </w:trPr>
        <w:tc>
          <w:tcPr>
            <w:tcW w:w="2206" w:type="dxa"/>
            <w:tcBorders>
              <w:top w:val="single" w:sz="4" w:space="0" w:color="000000"/>
              <w:left w:val="nil"/>
              <w:bottom w:val="nil"/>
              <w:right w:val="nil"/>
            </w:tcBorders>
          </w:tcPr>
          <w:p w14:paraId="2F456640" w14:textId="77777777" w:rsidR="000B3C5C" w:rsidRDefault="00ED192D">
            <w:pPr>
              <w:spacing w:after="0" w:line="259" w:lineRule="auto"/>
              <w:ind w:left="108" w:firstLine="0"/>
            </w:pPr>
            <w:r>
              <w:rPr>
                <w:rFonts w:ascii="Arial" w:eastAsia="Arial" w:hAnsi="Arial" w:cs="Arial"/>
                <w:b/>
                <w:sz w:val="20"/>
                <w:u w:val="single" w:color="000000"/>
              </w:rPr>
              <w:t>Starting dose</w:t>
            </w:r>
            <w:r>
              <w:rPr>
                <w:rFonts w:ascii="Arial" w:eastAsia="Arial" w:hAnsi="Arial" w:cs="Arial"/>
                <w:sz w:val="20"/>
              </w:rPr>
              <w:t xml:space="preserve">:                      </w:t>
            </w:r>
          </w:p>
        </w:tc>
        <w:tc>
          <w:tcPr>
            <w:tcW w:w="3027" w:type="dxa"/>
            <w:tcBorders>
              <w:top w:val="single" w:sz="4" w:space="0" w:color="000000"/>
              <w:left w:val="nil"/>
              <w:bottom w:val="nil"/>
              <w:right w:val="nil"/>
            </w:tcBorders>
          </w:tcPr>
          <w:p w14:paraId="14706458" w14:textId="77777777" w:rsidR="000B3C5C" w:rsidRDefault="00ED192D">
            <w:pPr>
              <w:spacing w:after="0" w:line="259" w:lineRule="auto"/>
              <w:ind w:left="0" w:firstLine="0"/>
            </w:pPr>
            <w:r>
              <w:rPr>
                <w:rFonts w:ascii="Arial" w:eastAsia="Arial" w:hAnsi="Arial" w:cs="Arial"/>
                <w:sz w:val="20"/>
              </w:rPr>
              <w:t xml:space="preserve">         If ≤1/6 participant </w:t>
            </w:r>
          </w:p>
        </w:tc>
        <w:tc>
          <w:tcPr>
            <w:tcW w:w="4047" w:type="dxa"/>
            <w:tcBorders>
              <w:top w:val="single" w:sz="4" w:space="0" w:color="000000"/>
              <w:left w:val="nil"/>
              <w:bottom w:val="nil"/>
              <w:right w:val="nil"/>
            </w:tcBorders>
          </w:tcPr>
          <w:p w14:paraId="36C63533" w14:textId="77777777" w:rsidR="000B3C5C" w:rsidRDefault="00ED192D">
            <w:pPr>
              <w:spacing w:after="0" w:line="259" w:lineRule="auto"/>
              <w:ind w:left="781" w:firstLine="0"/>
            </w:pPr>
            <w:r>
              <w:rPr>
                <w:rFonts w:ascii="Arial" w:eastAsia="Arial" w:hAnsi="Arial" w:cs="Arial"/>
                <w:sz w:val="20"/>
              </w:rPr>
              <w:t xml:space="preserve">Starting dose will be RP2D </w:t>
            </w:r>
          </w:p>
        </w:tc>
      </w:tr>
      <w:tr w:rsidR="000B3C5C" w14:paraId="375B943E" w14:textId="77777777">
        <w:trPr>
          <w:trHeight w:val="349"/>
        </w:trPr>
        <w:tc>
          <w:tcPr>
            <w:tcW w:w="2206" w:type="dxa"/>
            <w:tcBorders>
              <w:top w:val="nil"/>
              <w:left w:val="nil"/>
              <w:bottom w:val="nil"/>
              <w:right w:val="nil"/>
            </w:tcBorders>
          </w:tcPr>
          <w:p w14:paraId="5A32D6A9" w14:textId="77777777" w:rsidR="000B3C5C" w:rsidRDefault="00ED192D">
            <w:pPr>
              <w:spacing w:after="0" w:line="259" w:lineRule="auto"/>
              <w:ind w:left="0" w:right="3" w:firstLine="0"/>
              <w:jc w:val="right"/>
            </w:pPr>
            <w:r>
              <w:rPr>
                <w:rFonts w:ascii="Arial" w:eastAsia="Arial" w:hAnsi="Arial" w:cs="Arial"/>
                <w:sz w:val="20"/>
              </w:rPr>
              <w:t xml:space="preserve">                              </w:t>
            </w:r>
          </w:p>
        </w:tc>
        <w:tc>
          <w:tcPr>
            <w:tcW w:w="3027" w:type="dxa"/>
            <w:tcBorders>
              <w:top w:val="nil"/>
              <w:left w:val="nil"/>
              <w:bottom w:val="nil"/>
              <w:right w:val="nil"/>
            </w:tcBorders>
          </w:tcPr>
          <w:p w14:paraId="6B61FAD1" w14:textId="77777777" w:rsidR="000B3C5C" w:rsidRDefault="00ED192D">
            <w:pPr>
              <w:spacing w:after="0" w:line="259" w:lineRule="auto"/>
              <w:ind w:left="-3" w:firstLine="0"/>
            </w:pPr>
            <w:r>
              <w:rPr>
                <w:rFonts w:ascii="Arial" w:eastAsia="Arial" w:hAnsi="Arial" w:cs="Arial"/>
                <w:sz w:val="20"/>
              </w:rPr>
              <w:t xml:space="preserve">         If 2/6 participants </w:t>
            </w:r>
          </w:p>
        </w:tc>
        <w:tc>
          <w:tcPr>
            <w:tcW w:w="4047" w:type="dxa"/>
            <w:tcBorders>
              <w:top w:val="nil"/>
              <w:left w:val="nil"/>
              <w:bottom w:val="nil"/>
              <w:right w:val="nil"/>
            </w:tcBorders>
          </w:tcPr>
          <w:p w14:paraId="28E01392" w14:textId="77777777" w:rsidR="000B3C5C" w:rsidRDefault="00ED192D">
            <w:pPr>
              <w:spacing w:after="0" w:line="259" w:lineRule="auto"/>
              <w:ind w:left="637" w:firstLine="0"/>
            </w:pPr>
            <w:r>
              <w:rPr>
                <w:rFonts w:ascii="Arial" w:eastAsia="Arial" w:hAnsi="Arial" w:cs="Arial"/>
                <w:sz w:val="20"/>
              </w:rPr>
              <w:t xml:space="preserve">+6 </w:t>
            </w:r>
            <w:r>
              <w:rPr>
                <w:rFonts w:ascii="Arial" w:eastAsia="Arial" w:hAnsi="Arial" w:cs="Arial"/>
                <w:sz w:val="20"/>
              </w:rPr>
              <w:t xml:space="preserve">participants at starting dose </w:t>
            </w:r>
          </w:p>
        </w:tc>
      </w:tr>
      <w:tr w:rsidR="000B3C5C" w14:paraId="3E8BE13C" w14:textId="77777777">
        <w:trPr>
          <w:trHeight w:val="349"/>
        </w:trPr>
        <w:tc>
          <w:tcPr>
            <w:tcW w:w="2206" w:type="dxa"/>
            <w:tcBorders>
              <w:top w:val="nil"/>
              <w:left w:val="nil"/>
              <w:bottom w:val="nil"/>
              <w:right w:val="nil"/>
            </w:tcBorders>
          </w:tcPr>
          <w:p w14:paraId="4F52DDF2" w14:textId="77777777" w:rsidR="000B3C5C" w:rsidRDefault="00ED192D">
            <w:pPr>
              <w:spacing w:after="0" w:line="259" w:lineRule="auto"/>
              <w:ind w:left="0" w:right="44" w:firstLine="0"/>
              <w:jc w:val="right"/>
            </w:pPr>
            <w:r>
              <w:rPr>
                <w:rFonts w:ascii="Arial" w:eastAsia="Arial" w:hAnsi="Arial" w:cs="Arial"/>
                <w:sz w:val="20"/>
              </w:rPr>
              <w:t xml:space="preserve">                                      </w:t>
            </w:r>
          </w:p>
        </w:tc>
        <w:tc>
          <w:tcPr>
            <w:tcW w:w="3027" w:type="dxa"/>
            <w:tcBorders>
              <w:top w:val="nil"/>
              <w:left w:val="nil"/>
              <w:bottom w:val="nil"/>
              <w:right w:val="nil"/>
            </w:tcBorders>
          </w:tcPr>
          <w:p w14:paraId="39197B6F" w14:textId="77777777" w:rsidR="000B3C5C" w:rsidRDefault="00ED192D">
            <w:pPr>
              <w:spacing w:after="0" w:line="259" w:lineRule="auto"/>
              <w:ind w:left="-44" w:firstLine="0"/>
            </w:pPr>
            <w:r>
              <w:rPr>
                <w:rFonts w:ascii="Arial" w:eastAsia="Arial" w:hAnsi="Arial" w:cs="Arial"/>
                <w:sz w:val="20"/>
              </w:rPr>
              <w:t xml:space="preserve">  If a total of 2/12 participants </w:t>
            </w:r>
          </w:p>
        </w:tc>
        <w:tc>
          <w:tcPr>
            <w:tcW w:w="4047" w:type="dxa"/>
            <w:tcBorders>
              <w:top w:val="nil"/>
              <w:left w:val="nil"/>
              <w:bottom w:val="nil"/>
              <w:right w:val="nil"/>
            </w:tcBorders>
          </w:tcPr>
          <w:p w14:paraId="21A12818" w14:textId="77777777" w:rsidR="000B3C5C" w:rsidRDefault="00ED192D">
            <w:pPr>
              <w:spacing w:after="0" w:line="259" w:lineRule="auto"/>
              <w:ind w:left="781" w:firstLine="0"/>
            </w:pPr>
            <w:r>
              <w:rPr>
                <w:rFonts w:ascii="Arial" w:eastAsia="Arial" w:hAnsi="Arial" w:cs="Arial"/>
                <w:sz w:val="20"/>
              </w:rPr>
              <w:t xml:space="preserve">Starting dose will be RP2D </w:t>
            </w:r>
          </w:p>
        </w:tc>
      </w:tr>
      <w:tr w:rsidR="000B3C5C" w14:paraId="21F7FC02" w14:textId="77777777">
        <w:trPr>
          <w:trHeight w:val="785"/>
        </w:trPr>
        <w:tc>
          <w:tcPr>
            <w:tcW w:w="2206" w:type="dxa"/>
            <w:tcBorders>
              <w:top w:val="nil"/>
              <w:left w:val="nil"/>
              <w:bottom w:val="nil"/>
              <w:right w:val="nil"/>
            </w:tcBorders>
          </w:tcPr>
          <w:p w14:paraId="174C7D56" w14:textId="77777777" w:rsidR="000B3C5C" w:rsidRDefault="00ED192D">
            <w:pPr>
              <w:spacing w:after="43" w:line="259" w:lineRule="auto"/>
              <w:ind w:left="0" w:right="34" w:firstLine="0"/>
              <w:jc w:val="right"/>
            </w:pPr>
            <w:r>
              <w:rPr>
                <w:rFonts w:ascii="Arial" w:eastAsia="Arial" w:hAnsi="Arial" w:cs="Arial"/>
                <w:sz w:val="20"/>
              </w:rPr>
              <w:t xml:space="preserve">                                          </w:t>
            </w:r>
          </w:p>
          <w:p w14:paraId="6C710B1B" w14:textId="77777777" w:rsidR="000B3C5C" w:rsidRDefault="00ED192D">
            <w:pPr>
              <w:spacing w:after="0" w:line="259" w:lineRule="auto"/>
              <w:ind w:left="0" w:right="8" w:firstLine="0"/>
              <w:jc w:val="right"/>
            </w:pPr>
            <w:r>
              <w:rPr>
                <w:rFonts w:ascii="Arial" w:eastAsia="Arial" w:hAnsi="Arial" w:cs="Arial"/>
                <w:sz w:val="20"/>
              </w:rPr>
              <w:t xml:space="preserve">                                      </w:t>
            </w:r>
          </w:p>
        </w:tc>
        <w:tc>
          <w:tcPr>
            <w:tcW w:w="3027" w:type="dxa"/>
            <w:tcBorders>
              <w:top w:val="nil"/>
              <w:left w:val="nil"/>
              <w:bottom w:val="nil"/>
              <w:right w:val="nil"/>
            </w:tcBorders>
            <w:vAlign w:val="bottom"/>
          </w:tcPr>
          <w:p w14:paraId="47C3F3DC" w14:textId="77777777" w:rsidR="000B3C5C" w:rsidRDefault="00ED192D">
            <w:pPr>
              <w:spacing w:after="0" w:line="305" w:lineRule="auto"/>
              <w:ind w:left="-8" w:right="389" w:hanging="26"/>
            </w:pPr>
            <w:r>
              <w:rPr>
                <w:rFonts w:ascii="Arial" w:eastAsia="Arial" w:hAnsi="Arial" w:cs="Arial"/>
                <w:sz w:val="20"/>
              </w:rPr>
              <w:t xml:space="preserve">  </w:t>
            </w:r>
            <w:r>
              <w:rPr>
                <w:rFonts w:ascii="Arial" w:eastAsia="Arial" w:hAnsi="Arial" w:cs="Arial"/>
                <w:sz w:val="20"/>
              </w:rPr>
              <w:t xml:space="preserve">If a total ≥3/6 participants or a      total of ≥3/12 participants </w:t>
            </w:r>
          </w:p>
          <w:p w14:paraId="436F0BB9" w14:textId="77777777" w:rsidR="000B3C5C" w:rsidRDefault="00ED192D">
            <w:pPr>
              <w:spacing w:after="0" w:line="259" w:lineRule="auto"/>
              <w:ind w:left="144" w:firstLine="0"/>
            </w:pPr>
            <w:r>
              <w:rPr>
                <w:rFonts w:ascii="Arial" w:eastAsia="Arial" w:hAnsi="Arial" w:cs="Arial"/>
                <w:sz w:val="20"/>
              </w:rPr>
              <w:t xml:space="preserve"> </w:t>
            </w:r>
          </w:p>
        </w:tc>
        <w:tc>
          <w:tcPr>
            <w:tcW w:w="4047" w:type="dxa"/>
            <w:tcBorders>
              <w:top w:val="nil"/>
              <w:left w:val="nil"/>
              <w:bottom w:val="nil"/>
              <w:right w:val="nil"/>
            </w:tcBorders>
          </w:tcPr>
          <w:p w14:paraId="16219904" w14:textId="77777777" w:rsidR="000B3C5C" w:rsidRDefault="00ED192D">
            <w:pPr>
              <w:spacing w:after="0" w:line="259" w:lineRule="auto"/>
              <w:ind w:left="929" w:firstLine="0"/>
            </w:pPr>
            <w:r>
              <w:rPr>
                <w:rFonts w:ascii="Arial" w:eastAsia="Arial" w:hAnsi="Arial" w:cs="Arial"/>
                <w:sz w:val="20"/>
              </w:rPr>
              <w:t xml:space="preserve">+6 participants at DL-1 </w:t>
            </w:r>
          </w:p>
        </w:tc>
      </w:tr>
      <w:tr w:rsidR="000B3C5C" w14:paraId="27E0DD98" w14:textId="77777777">
        <w:trPr>
          <w:trHeight w:val="1127"/>
        </w:trPr>
        <w:tc>
          <w:tcPr>
            <w:tcW w:w="2206" w:type="dxa"/>
            <w:tcBorders>
              <w:top w:val="nil"/>
              <w:left w:val="nil"/>
              <w:bottom w:val="nil"/>
              <w:right w:val="nil"/>
            </w:tcBorders>
            <w:vAlign w:val="center"/>
          </w:tcPr>
          <w:p w14:paraId="418B8C21" w14:textId="77777777" w:rsidR="000B3C5C" w:rsidRDefault="00ED192D">
            <w:pPr>
              <w:spacing w:after="41" w:line="259" w:lineRule="auto"/>
              <w:ind w:left="0" w:right="1688" w:firstLine="0"/>
              <w:jc w:val="right"/>
            </w:pPr>
            <w:r>
              <w:rPr>
                <w:rFonts w:ascii="Arial" w:eastAsia="Arial" w:hAnsi="Arial" w:cs="Arial"/>
                <w:b/>
                <w:sz w:val="20"/>
                <w:u w:val="single" w:color="000000"/>
              </w:rPr>
              <w:t>DL-1</w:t>
            </w:r>
            <w:r>
              <w:rPr>
                <w:rFonts w:ascii="Arial" w:eastAsia="Arial" w:hAnsi="Arial" w:cs="Arial"/>
                <w:sz w:val="20"/>
              </w:rPr>
              <w:t xml:space="preserve">:                                     </w:t>
            </w:r>
          </w:p>
          <w:p w14:paraId="218B98B2" w14:textId="77777777" w:rsidR="000B3C5C" w:rsidRDefault="00ED192D">
            <w:pPr>
              <w:spacing w:after="0" w:line="259" w:lineRule="auto"/>
              <w:ind w:left="108" w:firstLine="0"/>
            </w:pPr>
            <w:r>
              <w:rPr>
                <w:rFonts w:ascii="Arial" w:eastAsia="Arial" w:hAnsi="Arial" w:cs="Arial"/>
                <w:sz w:val="20"/>
              </w:rPr>
              <w:t xml:space="preserve"> </w:t>
            </w:r>
          </w:p>
          <w:p w14:paraId="036D9BD1" w14:textId="77777777" w:rsidR="000B3C5C" w:rsidRDefault="00ED192D">
            <w:pPr>
              <w:spacing w:after="0" w:line="259" w:lineRule="auto"/>
              <w:ind w:left="0" w:firstLine="0"/>
              <w:jc w:val="right"/>
            </w:pPr>
            <w:r>
              <w:rPr>
                <w:rFonts w:ascii="Arial" w:eastAsia="Arial" w:hAnsi="Arial" w:cs="Arial"/>
                <w:sz w:val="20"/>
              </w:rPr>
              <w:t xml:space="preserve">                                              </w:t>
            </w:r>
          </w:p>
        </w:tc>
        <w:tc>
          <w:tcPr>
            <w:tcW w:w="3027" w:type="dxa"/>
            <w:tcBorders>
              <w:top w:val="nil"/>
              <w:left w:val="nil"/>
              <w:bottom w:val="nil"/>
              <w:right w:val="nil"/>
            </w:tcBorders>
            <w:vAlign w:val="center"/>
          </w:tcPr>
          <w:p w14:paraId="1EFF486A" w14:textId="77777777" w:rsidR="000B3C5C" w:rsidRDefault="00ED192D">
            <w:pPr>
              <w:spacing w:after="271" w:line="259" w:lineRule="auto"/>
              <w:ind w:left="0" w:firstLine="0"/>
            </w:pPr>
            <w:r>
              <w:rPr>
                <w:rFonts w:ascii="Arial" w:eastAsia="Arial" w:hAnsi="Arial" w:cs="Arial"/>
                <w:sz w:val="20"/>
              </w:rPr>
              <w:t xml:space="preserve">          If ≤1/6 participant  </w:t>
            </w:r>
          </w:p>
          <w:p w14:paraId="4289D9C8" w14:textId="77777777" w:rsidR="000B3C5C" w:rsidRDefault="00ED192D">
            <w:pPr>
              <w:spacing w:after="0" w:line="259" w:lineRule="auto"/>
              <w:ind w:left="0" w:firstLine="0"/>
            </w:pPr>
            <w:r>
              <w:rPr>
                <w:rFonts w:ascii="Arial" w:eastAsia="Arial" w:hAnsi="Arial" w:cs="Arial"/>
                <w:sz w:val="20"/>
              </w:rPr>
              <w:t xml:space="preserve">          </w:t>
            </w:r>
            <w:r>
              <w:rPr>
                <w:rFonts w:ascii="Arial" w:eastAsia="Arial" w:hAnsi="Arial" w:cs="Arial"/>
                <w:sz w:val="20"/>
              </w:rPr>
              <w:t xml:space="preserve">If 2/6 participants </w:t>
            </w:r>
          </w:p>
        </w:tc>
        <w:tc>
          <w:tcPr>
            <w:tcW w:w="4047" w:type="dxa"/>
            <w:tcBorders>
              <w:top w:val="nil"/>
              <w:left w:val="nil"/>
              <w:bottom w:val="nil"/>
              <w:right w:val="nil"/>
            </w:tcBorders>
            <w:vAlign w:val="bottom"/>
          </w:tcPr>
          <w:p w14:paraId="3D74AE3D" w14:textId="77777777" w:rsidR="000B3C5C" w:rsidRDefault="00ED192D">
            <w:pPr>
              <w:spacing w:after="41" w:line="259" w:lineRule="auto"/>
              <w:ind w:left="951" w:firstLine="0"/>
            </w:pPr>
            <w:r>
              <w:rPr>
                <w:rFonts w:ascii="Arial" w:eastAsia="Arial" w:hAnsi="Arial" w:cs="Arial"/>
                <w:sz w:val="20"/>
              </w:rPr>
              <w:t xml:space="preserve">DL-1 will be the RP2D </w:t>
            </w:r>
          </w:p>
          <w:p w14:paraId="404D392B" w14:textId="77777777" w:rsidR="000B3C5C" w:rsidRDefault="00ED192D">
            <w:pPr>
              <w:spacing w:after="0" w:line="259" w:lineRule="auto"/>
              <w:ind w:left="0" w:right="487" w:firstLine="0"/>
              <w:jc w:val="center"/>
            </w:pPr>
            <w:r>
              <w:rPr>
                <w:rFonts w:ascii="Arial" w:eastAsia="Arial" w:hAnsi="Arial" w:cs="Arial"/>
                <w:sz w:val="20"/>
              </w:rPr>
              <w:t xml:space="preserve"> </w:t>
            </w:r>
          </w:p>
          <w:p w14:paraId="6D970CBF" w14:textId="77777777" w:rsidR="000B3C5C" w:rsidRDefault="00ED192D">
            <w:pPr>
              <w:spacing w:after="0" w:line="259" w:lineRule="auto"/>
              <w:ind w:left="929" w:firstLine="0"/>
            </w:pPr>
            <w:r>
              <w:rPr>
                <w:rFonts w:ascii="Arial" w:eastAsia="Arial" w:hAnsi="Arial" w:cs="Arial"/>
                <w:sz w:val="20"/>
              </w:rPr>
              <w:t xml:space="preserve">+6 participants at DL-1 </w:t>
            </w:r>
          </w:p>
          <w:p w14:paraId="56D0EB54" w14:textId="77777777" w:rsidR="000B3C5C" w:rsidRDefault="00ED192D">
            <w:pPr>
              <w:spacing w:after="0" w:line="259" w:lineRule="auto"/>
              <w:ind w:left="0" w:right="487" w:firstLine="0"/>
              <w:jc w:val="center"/>
            </w:pPr>
            <w:r>
              <w:rPr>
                <w:rFonts w:ascii="Arial" w:eastAsia="Arial" w:hAnsi="Arial" w:cs="Arial"/>
                <w:sz w:val="20"/>
              </w:rPr>
              <w:t xml:space="preserve"> </w:t>
            </w:r>
          </w:p>
        </w:tc>
      </w:tr>
      <w:tr w:rsidR="000B3C5C" w14:paraId="2E8DED0C" w14:textId="77777777">
        <w:trPr>
          <w:trHeight w:val="464"/>
        </w:trPr>
        <w:tc>
          <w:tcPr>
            <w:tcW w:w="2206" w:type="dxa"/>
            <w:tcBorders>
              <w:top w:val="nil"/>
              <w:left w:val="nil"/>
              <w:bottom w:val="nil"/>
              <w:right w:val="nil"/>
            </w:tcBorders>
            <w:vAlign w:val="bottom"/>
          </w:tcPr>
          <w:p w14:paraId="78A1CF28" w14:textId="77777777" w:rsidR="000B3C5C" w:rsidRDefault="00ED192D">
            <w:pPr>
              <w:spacing w:after="0" w:line="259" w:lineRule="auto"/>
              <w:ind w:left="0" w:firstLine="0"/>
              <w:jc w:val="right"/>
            </w:pPr>
            <w:r>
              <w:rPr>
                <w:rFonts w:ascii="Arial" w:eastAsia="Arial" w:hAnsi="Arial" w:cs="Arial"/>
                <w:sz w:val="20"/>
              </w:rPr>
              <w:t xml:space="preserve">                                              </w:t>
            </w:r>
          </w:p>
        </w:tc>
        <w:tc>
          <w:tcPr>
            <w:tcW w:w="3027" w:type="dxa"/>
            <w:tcBorders>
              <w:top w:val="nil"/>
              <w:left w:val="nil"/>
              <w:bottom w:val="nil"/>
              <w:right w:val="nil"/>
            </w:tcBorders>
            <w:vAlign w:val="bottom"/>
          </w:tcPr>
          <w:p w14:paraId="7295218C" w14:textId="77777777" w:rsidR="000B3C5C" w:rsidRDefault="00ED192D">
            <w:pPr>
              <w:spacing w:after="0" w:line="259" w:lineRule="auto"/>
              <w:ind w:left="0" w:firstLine="0"/>
            </w:pPr>
            <w:r>
              <w:rPr>
                <w:rFonts w:ascii="Arial" w:eastAsia="Arial" w:hAnsi="Arial" w:cs="Arial"/>
                <w:sz w:val="20"/>
              </w:rPr>
              <w:t xml:space="preserve">If a total of 2/12 participants </w:t>
            </w:r>
          </w:p>
        </w:tc>
        <w:tc>
          <w:tcPr>
            <w:tcW w:w="4047" w:type="dxa"/>
            <w:tcBorders>
              <w:top w:val="nil"/>
              <w:left w:val="nil"/>
              <w:bottom w:val="nil"/>
              <w:right w:val="nil"/>
            </w:tcBorders>
            <w:vAlign w:val="bottom"/>
          </w:tcPr>
          <w:p w14:paraId="5E34E6FA" w14:textId="77777777" w:rsidR="000B3C5C" w:rsidRDefault="00ED192D">
            <w:pPr>
              <w:spacing w:after="0" w:line="259" w:lineRule="auto"/>
              <w:ind w:left="951" w:firstLine="0"/>
            </w:pPr>
            <w:r>
              <w:rPr>
                <w:rFonts w:ascii="Arial" w:eastAsia="Arial" w:hAnsi="Arial" w:cs="Arial"/>
                <w:sz w:val="20"/>
              </w:rPr>
              <w:t xml:space="preserve">DL-1 will be the RP2D </w:t>
            </w:r>
          </w:p>
        </w:tc>
      </w:tr>
      <w:tr w:rsidR="000B3C5C" w14:paraId="25F71447" w14:textId="77777777">
        <w:trPr>
          <w:trHeight w:val="983"/>
        </w:trPr>
        <w:tc>
          <w:tcPr>
            <w:tcW w:w="2206" w:type="dxa"/>
            <w:tcBorders>
              <w:top w:val="nil"/>
              <w:left w:val="nil"/>
              <w:bottom w:val="single" w:sz="12" w:space="0" w:color="000000"/>
              <w:right w:val="nil"/>
            </w:tcBorders>
          </w:tcPr>
          <w:p w14:paraId="15CBB23D" w14:textId="77777777" w:rsidR="000B3C5C" w:rsidRDefault="00ED192D">
            <w:pPr>
              <w:spacing w:after="43" w:line="259" w:lineRule="auto"/>
              <w:ind w:left="0" w:right="-11" w:firstLine="0"/>
              <w:jc w:val="right"/>
            </w:pPr>
            <w:r>
              <w:rPr>
                <w:rFonts w:ascii="Arial" w:eastAsia="Arial" w:hAnsi="Arial" w:cs="Arial"/>
                <w:sz w:val="20"/>
              </w:rPr>
              <w:t xml:space="preserve">                                          </w:t>
            </w:r>
          </w:p>
          <w:p w14:paraId="42818F93" w14:textId="77777777" w:rsidR="000B3C5C" w:rsidRDefault="00ED192D">
            <w:pPr>
              <w:spacing w:after="0" w:line="259" w:lineRule="auto"/>
              <w:ind w:left="0" w:right="8" w:firstLine="0"/>
              <w:jc w:val="right"/>
            </w:pPr>
            <w:r>
              <w:rPr>
                <w:rFonts w:ascii="Arial" w:eastAsia="Arial" w:hAnsi="Arial" w:cs="Arial"/>
                <w:sz w:val="20"/>
              </w:rPr>
              <w:t xml:space="preserve">                                     </w:t>
            </w:r>
          </w:p>
        </w:tc>
        <w:tc>
          <w:tcPr>
            <w:tcW w:w="3027" w:type="dxa"/>
            <w:tcBorders>
              <w:top w:val="nil"/>
              <w:left w:val="nil"/>
              <w:bottom w:val="single" w:sz="12" w:space="0" w:color="000000"/>
              <w:right w:val="nil"/>
            </w:tcBorders>
          </w:tcPr>
          <w:p w14:paraId="7F6DC3D4" w14:textId="77777777" w:rsidR="000B3C5C" w:rsidRDefault="00ED192D">
            <w:pPr>
              <w:spacing w:after="75" w:line="304" w:lineRule="auto"/>
              <w:ind w:left="-8" w:right="480" w:firstLine="20"/>
            </w:pPr>
            <w:r>
              <w:rPr>
                <w:rFonts w:ascii="Arial" w:eastAsia="Arial" w:hAnsi="Arial" w:cs="Arial"/>
                <w:sz w:val="20"/>
              </w:rPr>
              <w:t xml:space="preserve">If a total ≥3/6 participants or a    total of ≥3/12 participants </w:t>
            </w:r>
          </w:p>
          <w:p w14:paraId="30FE9C85" w14:textId="77777777" w:rsidR="000B3C5C" w:rsidRDefault="00ED192D">
            <w:pPr>
              <w:spacing w:after="0" w:line="259" w:lineRule="auto"/>
              <w:ind w:left="144" w:firstLine="0"/>
            </w:pPr>
            <w:r>
              <w:rPr>
                <w:rFonts w:ascii="Arial" w:eastAsia="Arial" w:hAnsi="Arial" w:cs="Arial"/>
                <w:sz w:val="20"/>
              </w:rPr>
              <w:t xml:space="preserve"> </w:t>
            </w:r>
            <w:r>
              <w:rPr>
                <w:rFonts w:ascii="Arial" w:eastAsia="Arial" w:hAnsi="Arial" w:cs="Arial"/>
                <w:sz w:val="20"/>
              </w:rPr>
              <w:tab/>
              <w:t xml:space="preserve"> </w:t>
            </w:r>
          </w:p>
        </w:tc>
        <w:tc>
          <w:tcPr>
            <w:tcW w:w="4047" w:type="dxa"/>
            <w:tcBorders>
              <w:top w:val="nil"/>
              <w:left w:val="nil"/>
              <w:bottom w:val="single" w:sz="12" w:space="0" w:color="000000"/>
              <w:right w:val="nil"/>
            </w:tcBorders>
          </w:tcPr>
          <w:p w14:paraId="32C76193" w14:textId="77777777" w:rsidR="000B3C5C" w:rsidRDefault="00ED192D">
            <w:pPr>
              <w:spacing w:after="0" w:line="259" w:lineRule="auto"/>
              <w:ind w:left="0" w:firstLine="0"/>
            </w:pPr>
            <w:r>
              <w:rPr>
                <w:rFonts w:ascii="Arial" w:eastAsia="Arial" w:hAnsi="Arial" w:cs="Arial"/>
                <w:sz w:val="20"/>
              </w:rPr>
              <w:t xml:space="preserve">Alternative dose/schedule will need to be sought </w:t>
            </w:r>
          </w:p>
        </w:tc>
      </w:tr>
    </w:tbl>
    <w:p w14:paraId="12D1B366" w14:textId="77777777" w:rsidR="000B3C5C" w:rsidRDefault="00ED192D">
      <w:pPr>
        <w:spacing w:after="0" w:line="259" w:lineRule="auto"/>
        <w:ind w:left="204" w:firstLine="0"/>
      </w:pPr>
      <w:r>
        <w:rPr>
          <w:rFonts w:ascii="Arial" w:eastAsia="Arial" w:hAnsi="Arial" w:cs="Arial"/>
          <w:sz w:val="18"/>
        </w:rPr>
        <w:t xml:space="preserve"> </w:t>
      </w:r>
    </w:p>
    <w:p w14:paraId="11DC0E19" w14:textId="77777777" w:rsidR="000B3C5C" w:rsidRDefault="00ED192D">
      <w:pPr>
        <w:spacing w:after="452" w:line="259" w:lineRule="auto"/>
        <w:ind w:left="96" w:firstLine="0"/>
      </w:pPr>
      <w:r>
        <w:rPr>
          <w:rFonts w:ascii="Arial" w:eastAsia="Arial" w:hAnsi="Arial" w:cs="Arial"/>
          <w:sz w:val="2"/>
        </w:rPr>
        <w:t xml:space="preserve"> </w:t>
      </w:r>
    </w:p>
    <w:p w14:paraId="421597D8" w14:textId="77777777" w:rsidR="000B3C5C" w:rsidRDefault="00ED192D">
      <w:pPr>
        <w:ind w:left="-3" w:right="14"/>
      </w:pPr>
      <w:r>
        <w:t xml:space="preserve">The first administration of the IMP in each participant in Phase 1 is to be staggered by at least a 3-days interval. Following the identification of the RP2D, Phase 2 will be initiated. </w:t>
      </w:r>
    </w:p>
    <w:p w14:paraId="516F0D3D" w14:textId="77777777" w:rsidR="000B3C5C" w:rsidRDefault="00ED192D">
      <w:pPr>
        <w:spacing w:after="11"/>
        <w:ind w:left="-3" w:right="14"/>
      </w:pPr>
      <w:r>
        <w:t xml:space="preserve">The National Cancer Institute (NCI) common terminology criteria for adverse events </w:t>
      </w:r>
    </w:p>
    <w:p w14:paraId="2C5BB9D9" w14:textId="77777777" w:rsidR="000B3C5C" w:rsidRDefault="00ED192D">
      <w:pPr>
        <w:ind w:left="-3" w:right="14"/>
      </w:pPr>
      <w:r>
        <w:t xml:space="preserve">(CTCAEversion 4.03 will be used to assess the severity of the AEs. Causal relationships are to be determined by the Investigator on the basis of the combination regimen actually administered. </w:t>
      </w:r>
    </w:p>
    <w:p w14:paraId="55F587C2" w14:textId="77777777" w:rsidR="000B3C5C" w:rsidRDefault="00ED192D">
      <w:pPr>
        <w:spacing w:line="249" w:lineRule="auto"/>
        <w:ind w:left="-5" w:right="51"/>
      </w:pPr>
      <w:r>
        <w:rPr>
          <w:b/>
        </w:rPr>
        <w:t xml:space="preserve">Phase 2 (efficacy signal search with a 2-stage design): </w:t>
      </w:r>
    </w:p>
    <w:p w14:paraId="4765F3B8" w14:textId="77777777" w:rsidR="000B3C5C" w:rsidRDefault="00ED192D">
      <w:pPr>
        <w:ind w:left="-3" w:right="14"/>
      </w:pPr>
      <w:r>
        <w:t xml:space="preserve">The combination dose for Phase 2 will be determined based on safety data from Phase 1. For the combination cohorts, atezolizumab will be administered first, followed by isatuximab on Day 1 of each cycle. Monotherapy dose for GBM (Cohort D-2) for Phase 2 will be determined based on results from Cohort D-1. </w:t>
      </w:r>
    </w:p>
    <w:p w14:paraId="2D43B64F" w14:textId="77777777" w:rsidR="000B3C5C" w:rsidRDefault="00ED192D">
      <w:pPr>
        <w:spacing w:after="11"/>
        <w:ind w:left="-3" w:right="14"/>
      </w:pPr>
      <w:r>
        <w:t xml:space="preserve">Phase 2 may include up to 6 cohorts conducted with a 2-stage design as shown in below tables. </w:t>
      </w:r>
    </w:p>
    <w:p w14:paraId="19B5ADB9" w14:textId="77777777" w:rsidR="000B3C5C" w:rsidRDefault="00ED192D">
      <w:pPr>
        <w:ind w:left="-3" w:right="152"/>
      </w:pPr>
      <w:r>
        <w:t>Enrollment in Cohort A, B, C, and D-</w:t>
      </w:r>
      <w:r>
        <w:t xml:space="preserve">1 will be performed in parallel. Then enrollment in Cohort D-2and E will be performed sequentially at the end of each respective Stage 2 of previous cohorts depending on results observed. </w:t>
      </w:r>
    </w:p>
    <w:p w14:paraId="69D64E72" w14:textId="77777777" w:rsidR="000B3C5C" w:rsidRDefault="00ED192D">
      <w:pPr>
        <w:spacing w:after="0" w:line="259" w:lineRule="auto"/>
        <w:ind w:left="0" w:firstLine="0"/>
      </w:pPr>
      <w:r>
        <w:t xml:space="preserve"> </w:t>
      </w:r>
    </w:p>
    <w:tbl>
      <w:tblPr>
        <w:tblStyle w:val="TableGrid"/>
        <w:tblW w:w="9501" w:type="dxa"/>
        <w:tblInd w:w="-14" w:type="dxa"/>
        <w:tblCellMar>
          <w:top w:w="73" w:type="dxa"/>
          <w:left w:w="0" w:type="dxa"/>
          <w:bottom w:w="25" w:type="dxa"/>
          <w:right w:w="0" w:type="dxa"/>
        </w:tblCellMar>
        <w:tblLook w:val="04A0" w:firstRow="1" w:lastRow="0" w:firstColumn="1" w:lastColumn="0" w:noHBand="0" w:noVBand="1"/>
      </w:tblPr>
      <w:tblGrid>
        <w:gridCol w:w="1286"/>
        <w:gridCol w:w="733"/>
        <w:gridCol w:w="1892"/>
        <w:gridCol w:w="1790"/>
        <w:gridCol w:w="1541"/>
        <w:gridCol w:w="2259"/>
      </w:tblGrid>
      <w:tr w:rsidR="000B3C5C" w14:paraId="710E222A" w14:textId="77777777">
        <w:trPr>
          <w:trHeight w:val="360"/>
        </w:trPr>
        <w:tc>
          <w:tcPr>
            <w:tcW w:w="2019" w:type="dxa"/>
            <w:gridSpan w:val="2"/>
            <w:tcBorders>
              <w:top w:val="single" w:sz="4" w:space="0" w:color="000000"/>
              <w:left w:val="nil"/>
              <w:bottom w:val="single" w:sz="4" w:space="0" w:color="000000"/>
              <w:right w:val="nil"/>
            </w:tcBorders>
          </w:tcPr>
          <w:p w14:paraId="5D8C6D1D" w14:textId="77777777" w:rsidR="000B3C5C" w:rsidRDefault="00ED192D">
            <w:pPr>
              <w:spacing w:after="0" w:line="259" w:lineRule="auto"/>
              <w:ind w:left="317" w:firstLine="0"/>
            </w:pPr>
            <w:r>
              <w:rPr>
                <w:rFonts w:ascii="Arial" w:eastAsia="Arial" w:hAnsi="Arial" w:cs="Arial"/>
                <w:b/>
                <w:sz w:val="20"/>
              </w:rPr>
              <w:t xml:space="preserve"> Cohort A </w:t>
            </w:r>
          </w:p>
        </w:tc>
        <w:tc>
          <w:tcPr>
            <w:tcW w:w="1892" w:type="dxa"/>
            <w:tcBorders>
              <w:top w:val="single" w:sz="4" w:space="0" w:color="000000"/>
              <w:left w:val="nil"/>
              <w:bottom w:val="single" w:sz="4" w:space="0" w:color="000000"/>
              <w:right w:val="nil"/>
            </w:tcBorders>
          </w:tcPr>
          <w:p w14:paraId="6F42DB7B" w14:textId="77777777" w:rsidR="000B3C5C" w:rsidRDefault="00ED192D">
            <w:pPr>
              <w:spacing w:after="0" w:line="259" w:lineRule="auto"/>
              <w:ind w:left="36" w:firstLine="0"/>
            </w:pPr>
            <w:r>
              <w:rPr>
                <w:rFonts w:ascii="Arial" w:eastAsia="Arial" w:hAnsi="Arial" w:cs="Arial"/>
                <w:b/>
                <w:sz w:val="20"/>
              </w:rPr>
              <w:t xml:space="preserve">Cohort B </w:t>
            </w:r>
          </w:p>
        </w:tc>
        <w:tc>
          <w:tcPr>
            <w:tcW w:w="1790" w:type="dxa"/>
            <w:tcBorders>
              <w:top w:val="single" w:sz="4" w:space="0" w:color="000000"/>
              <w:left w:val="nil"/>
              <w:bottom w:val="single" w:sz="4" w:space="0" w:color="000000"/>
              <w:right w:val="nil"/>
            </w:tcBorders>
          </w:tcPr>
          <w:p w14:paraId="72EAF7BD" w14:textId="77777777" w:rsidR="000B3C5C" w:rsidRDefault="00ED192D">
            <w:pPr>
              <w:spacing w:after="0" w:line="259" w:lineRule="auto"/>
              <w:ind w:left="36" w:firstLine="0"/>
            </w:pPr>
            <w:r>
              <w:rPr>
                <w:rFonts w:ascii="Arial" w:eastAsia="Arial" w:hAnsi="Arial" w:cs="Arial"/>
                <w:b/>
                <w:sz w:val="20"/>
              </w:rPr>
              <w:t xml:space="preserve">Cohort C </w:t>
            </w:r>
          </w:p>
        </w:tc>
        <w:tc>
          <w:tcPr>
            <w:tcW w:w="1541" w:type="dxa"/>
            <w:tcBorders>
              <w:top w:val="single" w:sz="4" w:space="0" w:color="000000"/>
              <w:left w:val="nil"/>
              <w:bottom w:val="single" w:sz="4" w:space="0" w:color="000000"/>
              <w:right w:val="nil"/>
            </w:tcBorders>
          </w:tcPr>
          <w:p w14:paraId="3B2F09D1" w14:textId="77777777" w:rsidR="000B3C5C" w:rsidRDefault="00ED192D">
            <w:pPr>
              <w:spacing w:after="0" w:line="259" w:lineRule="auto"/>
              <w:ind w:left="0" w:firstLine="0"/>
            </w:pPr>
            <w:r>
              <w:rPr>
                <w:rFonts w:ascii="Arial" w:eastAsia="Arial" w:hAnsi="Arial" w:cs="Arial"/>
                <w:b/>
                <w:sz w:val="20"/>
              </w:rPr>
              <w:t xml:space="preserve">Cohort D-1 </w:t>
            </w:r>
          </w:p>
        </w:tc>
        <w:tc>
          <w:tcPr>
            <w:tcW w:w="2259" w:type="dxa"/>
            <w:tcBorders>
              <w:top w:val="single" w:sz="4" w:space="0" w:color="000000"/>
              <w:left w:val="nil"/>
              <w:bottom w:val="single" w:sz="4" w:space="0" w:color="000000"/>
              <w:right w:val="nil"/>
            </w:tcBorders>
          </w:tcPr>
          <w:p w14:paraId="16987005" w14:textId="77777777" w:rsidR="000B3C5C" w:rsidRDefault="00ED192D">
            <w:pPr>
              <w:spacing w:after="0" w:line="259" w:lineRule="auto"/>
              <w:ind w:left="0" w:right="132" w:firstLine="0"/>
              <w:jc w:val="center"/>
            </w:pPr>
            <w:r>
              <w:rPr>
                <w:rFonts w:ascii="Arial" w:eastAsia="Arial" w:hAnsi="Arial" w:cs="Arial"/>
                <w:b/>
                <w:sz w:val="20"/>
              </w:rPr>
              <w:t xml:space="preserve">Cohort D-2 </w:t>
            </w:r>
          </w:p>
        </w:tc>
      </w:tr>
      <w:tr w:rsidR="000B3C5C" w14:paraId="0E69C039" w14:textId="77777777">
        <w:trPr>
          <w:trHeight w:val="953"/>
        </w:trPr>
        <w:tc>
          <w:tcPr>
            <w:tcW w:w="2019" w:type="dxa"/>
            <w:gridSpan w:val="2"/>
            <w:tcBorders>
              <w:top w:val="single" w:sz="4" w:space="0" w:color="000000"/>
              <w:left w:val="nil"/>
              <w:bottom w:val="nil"/>
              <w:right w:val="nil"/>
            </w:tcBorders>
          </w:tcPr>
          <w:p w14:paraId="4641A7DC" w14:textId="77777777" w:rsidR="000B3C5C" w:rsidRDefault="00ED192D">
            <w:pPr>
              <w:tabs>
                <w:tab w:val="center" w:pos="773"/>
                <w:tab w:val="center" w:pos="1647"/>
              </w:tabs>
              <w:spacing w:after="50" w:line="259" w:lineRule="auto"/>
              <w:ind w:left="0" w:firstLine="0"/>
            </w:pPr>
            <w:r>
              <w:rPr>
                <w:rFonts w:ascii="Calibri" w:eastAsia="Calibri" w:hAnsi="Calibri" w:cs="Calibri"/>
                <w:sz w:val="22"/>
              </w:rPr>
              <w:tab/>
            </w:r>
            <w:r>
              <w:rPr>
                <w:rFonts w:ascii="Arial" w:eastAsia="Arial" w:hAnsi="Arial" w:cs="Arial"/>
                <w:sz w:val="20"/>
              </w:rPr>
              <w:t xml:space="preserve"> HCC</w:t>
            </w:r>
            <w:r>
              <w:rPr>
                <w:rFonts w:ascii="Arial" w:eastAsia="Arial" w:hAnsi="Arial" w:cs="Arial"/>
                <w:sz w:val="20"/>
              </w:rPr>
              <w:t xml:space="preserve"> </w:t>
            </w:r>
            <w:r>
              <w:rPr>
                <w:rFonts w:ascii="Arial" w:eastAsia="Arial" w:hAnsi="Arial" w:cs="Arial"/>
                <w:sz w:val="20"/>
              </w:rPr>
              <w:tab/>
              <w:t xml:space="preserve">        </w:t>
            </w:r>
          </w:p>
          <w:p w14:paraId="5FD16D79" w14:textId="77777777" w:rsidR="000B3C5C" w:rsidRDefault="00ED192D">
            <w:pPr>
              <w:spacing w:after="41" w:line="259" w:lineRule="auto"/>
              <w:ind w:left="216" w:firstLine="0"/>
            </w:pPr>
            <w:r>
              <w:rPr>
                <w:rFonts w:ascii="Arial" w:eastAsia="Arial" w:hAnsi="Arial" w:cs="Arial"/>
                <w:sz w:val="20"/>
              </w:rPr>
              <w:t xml:space="preserve">    Stage 1 then </w:t>
            </w:r>
          </w:p>
          <w:p w14:paraId="0061B0E6" w14:textId="77777777" w:rsidR="000B3C5C" w:rsidRDefault="00ED192D">
            <w:pPr>
              <w:spacing w:after="0" w:line="259" w:lineRule="auto"/>
              <w:ind w:left="422" w:firstLine="0"/>
            </w:pPr>
            <w:r>
              <w:rPr>
                <w:rFonts w:ascii="Arial" w:eastAsia="Arial" w:hAnsi="Arial" w:cs="Arial"/>
                <w:sz w:val="20"/>
              </w:rPr>
              <w:t xml:space="preserve">   Stage 2 </w:t>
            </w:r>
          </w:p>
        </w:tc>
        <w:tc>
          <w:tcPr>
            <w:tcW w:w="1892" w:type="dxa"/>
            <w:tcBorders>
              <w:top w:val="single" w:sz="4" w:space="0" w:color="000000"/>
              <w:left w:val="nil"/>
              <w:bottom w:val="nil"/>
              <w:right w:val="nil"/>
            </w:tcBorders>
            <w:vAlign w:val="center"/>
          </w:tcPr>
          <w:p w14:paraId="3ECC1749" w14:textId="77777777" w:rsidR="000B3C5C" w:rsidRDefault="00ED192D">
            <w:pPr>
              <w:tabs>
                <w:tab w:val="center" w:pos="1519"/>
              </w:tabs>
              <w:spacing w:after="48" w:line="259" w:lineRule="auto"/>
              <w:ind w:left="-7" w:firstLine="0"/>
            </w:pPr>
            <w:r>
              <w:rPr>
                <w:rFonts w:ascii="Arial" w:eastAsia="Arial" w:hAnsi="Arial" w:cs="Arial"/>
                <w:sz w:val="20"/>
              </w:rPr>
              <w:t xml:space="preserve">   SCCHN </w:t>
            </w:r>
            <w:r>
              <w:rPr>
                <w:rFonts w:ascii="Arial" w:eastAsia="Arial" w:hAnsi="Arial" w:cs="Arial"/>
                <w:sz w:val="20"/>
              </w:rPr>
              <w:tab/>
              <w:t xml:space="preserve">        </w:t>
            </w:r>
          </w:p>
          <w:p w14:paraId="36A61A0C" w14:textId="77777777" w:rsidR="000B3C5C" w:rsidRDefault="00ED192D">
            <w:pPr>
              <w:spacing w:after="0" w:line="259" w:lineRule="auto"/>
              <w:ind w:left="180" w:right="171" w:hanging="180"/>
            </w:pPr>
            <w:r>
              <w:rPr>
                <w:rFonts w:ascii="Arial" w:eastAsia="Arial" w:hAnsi="Arial" w:cs="Arial"/>
                <w:sz w:val="20"/>
              </w:rPr>
              <w:t xml:space="preserve">Stage 1 then        Stage 2 </w:t>
            </w:r>
          </w:p>
        </w:tc>
        <w:tc>
          <w:tcPr>
            <w:tcW w:w="1790" w:type="dxa"/>
            <w:tcBorders>
              <w:top w:val="single" w:sz="4" w:space="0" w:color="000000"/>
              <w:left w:val="nil"/>
              <w:bottom w:val="nil"/>
              <w:right w:val="nil"/>
            </w:tcBorders>
            <w:vAlign w:val="center"/>
          </w:tcPr>
          <w:p w14:paraId="1D420E03" w14:textId="77777777" w:rsidR="000B3C5C" w:rsidRDefault="00ED192D">
            <w:pPr>
              <w:tabs>
                <w:tab w:val="center" w:pos="1517"/>
              </w:tabs>
              <w:spacing w:after="48" w:line="259" w:lineRule="auto"/>
              <w:ind w:left="-8" w:firstLine="0"/>
            </w:pPr>
            <w:r>
              <w:rPr>
                <w:rFonts w:ascii="Arial" w:eastAsia="Arial" w:hAnsi="Arial" w:cs="Arial"/>
                <w:sz w:val="20"/>
              </w:rPr>
              <w:t xml:space="preserve">      EOC </w:t>
            </w:r>
            <w:r>
              <w:rPr>
                <w:rFonts w:ascii="Arial" w:eastAsia="Arial" w:hAnsi="Arial" w:cs="Arial"/>
                <w:sz w:val="20"/>
              </w:rPr>
              <w:tab/>
              <w:t xml:space="preserve">      </w:t>
            </w:r>
          </w:p>
          <w:p w14:paraId="0A203FCB" w14:textId="77777777" w:rsidR="000B3C5C" w:rsidRDefault="00ED192D">
            <w:pPr>
              <w:spacing w:after="0" w:line="259" w:lineRule="auto"/>
              <w:ind w:left="180" w:right="70" w:hanging="180"/>
            </w:pPr>
            <w:r>
              <w:rPr>
                <w:rFonts w:ascii="Arial" w:eastAsia="Arial" w:hAnsi="Arial" w:cs="Arial"/>
                <w:sz w:val="20"/>
              </w:rPr>
              <w:t xml:space="preserve">Stage 1 then        Stage 2 </w:t>
            </w:r>
          </w:p>
        </w:tc>
        <w:tc>
          <w:tcPr>
            <w:tcW w:w="1541" w:type="dxa"/>
            <w:tcBorders>
              <w:top w:val="single" w:sz="4" w:space="0" w:color="000000"/>
              <w:left w:val="nil"/>
              <w:bottom w:val="nil"/>
              <w:right w:val="nil"/>
            </w:tcBorders>
            <w:vAlign w:val="center"/>
          </w:tcPr>
          <w:p w14:paraId="123BF2CA" w14:textId="77777777" w:rsidR="000B3C5C" w:rsidRDefault="00ED192D">
            <w:pPr>
              <w:spacing w:after="41" w:line="259" w:lineRule="auto"/>
              <w:ind w:left="0" w:firstLine="0"/>
            </w:pPr>
            <w:r>
              <w:rPr>
                <w:rFonts w:ascii="Arial" w:eastAsia="Arial" w:hAnsi="Arial" w:cs="Arial"/>
                <w:sz w:val="20"/>
              </w:rPr>
              <w:t xml:space="preserve">      GBM </w:t>
            </w:r>
          </w:p>
          <w:p w14:paraId="20DDF106" w14:textId="77777777" w:rsidR="000B3C5C" w:rsidRDefault="00ED192D">
            <w:pPr>
              <w:spacing w:after="0" w:line="259" w:lineRule="auto"/>
              <w:ind w:left="236" w:hanging="183"/>
            </w:pPr>
            <w:r>
              <w:rPr>
                <w:rFonts w:ascii="Arial" w:eastAsia="Arial" w:hAnsi="Arial" w:cs="Arial"/>
                <w:sz w:val="20"/>
              </w:rPr>
              <w:t xml:space="preserve">Stage 1 then        Stage 2 </w:t>
            </w:r>
          </w:p>
        </w:tc>
        <w:tc>
          <w:tcPr>
            <w:tcW w:w="2259" w:type="dxa"/>
            <w:tcBorders>
              <w:top w:val="single" w:sz="4" w:space="0" w:color="000000"/>
              <w:left w:val="nil"/>
              <w:bottom w:val="nil"/>
              <w:right w:val="nil"/>
            </w:tcBorders>
            <w:vAlign w:val="center"/>
          </w:tcPr>
          <w:p w14:paraId="7D742B26" w14:textId="77777777" w:rsidR="000B3C5C" w:rsidRDefault="00ED192D">
            <w:pPr>
              <w:spacing w:after="57" w:line="242" w:lineRule="auto"/>
              <w:ind w:left="305" w:hanging="305"/>
            </w:pPr>
            <w:r>
              <w:rPr>
                <w:rFonts w:ascii="Arial" w:eastAsia="Arial" w:hAnsi="Arial" w:cs="Arial"/>
                <w:sz w:val="20"/>
              </w:rPr>
              <w:t xml:space="preserve">if positive benefit from Cohort D-1 Phase 2 Stage 2 </w:t>
            </w:r>
          </w:p>
          <w:p w14:paraId="6CA844F1" w14:textId="77777777" w:rsidR="000B3C5C" w:rsidRDefault="00ED192D">
            <w:pPr>
              <w:spacing w:after="0" w:line="259" w:lineRule="auto"/>
              <w:ind w:left="62" w:firstLine="0"/>
            </w:pPr>
            <w:r>
              <w:rPr>
                <w:rFonts w:ascii="Arial" w:eastAsia="Arial" w:hAnsi="Arial" w:cs="Arial"/>
                <w:sz w:val="20"/>
              </w:rPr>
              <w:t xml:space="preserve"> GBM Stage 1 </w:t>
            </w:r>
            <w:r>
              <w:rPr>
                <w:rFonts w:ascii="Arial" w:eastAsia="Arial" w:hAnsi="Arial" w:cs="Arial"/>
                <w:sz w:val="20"/>
              </w:rPr>
              <w:t xml:space="preserve">then Stage 2 </w:t>
            </w:r>
          </w:p>
        </w:tc>
      </w:tr>
      <w:tr w:rsidR="000B3C5C" w14:paraId="1B48F2DC" w14:textId="77777777">
        <w:trPr>
          <w:trHeight w:val="804"/>
        </w:trPr>
        <w:tc>
          <w:tcPr>
            <w:tcW w:w="1286" w:type="dxa"/>
            <w:tcBorders>
              <w:top w:val="nil"/>
              <w:left w:val="nil"/>
              <w:bottom w:val="single" w:sz="12" w:space="0" w:color="000000"/>
              <w:right w:val="nil"/>
            </w:tcBorders>
            <w:vAlign w:val="bottom"/>
          </w:tcPr>
          <w:p w14:paraId="0A000920" w14:textId="77777777" w:rsidR="000B3C5C" w:rsidRDefault="00ED192D">
            <w:pPr>
              <w:spacing w:after="0" w:line="259" w:lineRule="auto"/>
              <w:ind w:left="0" w:firstLine="0"/>
              <w:jc w:val="right"/>
            </w:pPr>
            <w:r>
              <w:rPr>
                <w:rFonts w:ascii="Arial" w:eastAsia="Arial" w:hAnsi="Arial" w:cs="Arial"/>
                <w:sz w:val="20"/>
              </w:rPr>
              <w:t xml:space="preserve">                     </w:t>
            </w:r>
          </w:p>
        </w:tc>
        <w:tc>
          <w:tcPr>
            <w:tcW w:w="5956" w:type="dxa"/>
            <w:gridSpan w:val="4"/>
            <w:tcBorders>
              <w:top w:val="nil"/>
              <w:left w:val="nil"/>
              <w:bottom w:val="single" w:sz="12" w:space="0" w:color="000000"/>
              <w:right w:val="nil"/>
            </w:tcBorders>
          </w:tcPr>
          <w:p w14:paraId="3E6ACFDD" w14:textId="77777777" w:rsidR="000B3C5C" w:rsidRDefault="00ED192D">
            <w:pPr>
              <w:spacing w:after="41" w:line="259" w:lineRule="auto"/>
              <w:ind w:left="2276" w:firstLine="0"/>
            </w:pPr>
            <w:r>
              <w:rPr>
                <w:rFonts w:ascii="Arial" w:eastAsia="Arial" w:hAnsi="Arial" w:cs="Arial"/>
                <w:sz w:val="20"/>
              </w:rPr>
              <w:t xml:space="preserve"> </w:t>
            </w:r>
          </w:p>
          <w:p w14:paraId="22B536D1" w14:textId="77777777" w:rsidR="000B3C5C" w:rsidRDefault="00ED192D">
            <w:pPr>
              <w:spacing w:after="0" w:line="259" w:lineRule="auto"/>
              <w:ind w:left="0" w:firstLine="0"/>
            </w:pPr>
            <w:r>
              <w:rPr>
                <w:rFonts w:ascii="Arial" w:eastAsia="Arial" w:hAnsi="Arial" w:cs="Arial"/>
                <w:sz w:val="20"/>
              </w:rPr>
              <w:t xml:space="preserve">Isatuximab weekly for 3 weeks then Q3W + atezolizumab Q3W combination  </w:t>
            </w:r>
          </w:p>
        </w:tc>
        <w:tc>
          <w:tcPr>
            <w:tcW w:w="2259" w:type="dxa"/>
            <w:tcBorders>
              <w:top w:val="nil"/>
              <w:left w:val="nil"/>
              <w:bottom w:val="single" w:sz="12" w:space="0" w:color="000000"/>
              <w:right w:val="nil"/>
            </w:tcBorders>
          </w:tcPr>
          <w:p w14:paraId="1D04A820" w14:textId="77777777" w:rsidR="000B3C5C" w:rsidRDefault="00ED192D">
            <w:pPr>
              <w:spacing w:after="0" w:line="241" w:lineRule="auto"/>
              <w:ind w:left="192" w:hanging="24"/>
            </w:pPr>
            <w:r>
              <w:rPr>
                <w:rFonts w:ascii="Arial" w:eastAsia="Arial" w:hAnsi="Arial" w:cs="Arial"/>
                <w:sz w:val="20"/>
              </w:rPr>
              <w:t xml:space="preserve">Isatuximab monotherapy weekly for 3 weeks then </w:t>
            </w:r>
          </w:p>
          <w:p w14:paraId="56B28FF1" w14:textId="77777777" w:rsidR="000B3C5C" w:rsidRDefault="00ED192D">
            <w:pPr>
              <w:spacing w:after="0" w:line="259" w:lineRule="auto"/>
              <w:ind w:left="0" w:right="129" w:firstLine="0"/>
              <w:jc w:val="center"/>
            </w:pPr>
            <w:r>
              <w:rPr>
                <w:rFonts w:ascii="Arial" w:eastAsia="Arial" w:hAnsi="Arial" w:cs="Arial"/>
                <w:sz w:val="20"/>
              </w:rPr>
              <w:t xml:space="preserve">Q3W </w:t>
            </w:r>
          </w:p>
        </w:tc>
      </w:tr>
      <w:tr w:rsidR="000B3C5C" w14:paraId="08A8F70A" w14:textId="77777777">
        <w:trPr>
          <w:trHeight w:val="266"/>
        </w:trPr>
        <w:tc>
          <w:tcPr>
            <w:tcW w:w="1286" w:type="dxa"/>
            <w:tcBorders>
              <w:top w:val="single" w:sz="12" w:space="0" w:color="000000"/>
              <w:left w:val="nil"/>
              <w:bottom w:val="single" w:sz="4" w:space="0" w:color="000000"/>
              <w:right w:val="nil"/>
            </w:tcBorders>
          </w:tcPr>
          <w:p w14:paraId="5899A163" w14:textId="77777777" w:rsidR="000B3C5C" w:rsidRDefault="00ED192D">
            <w:pPr>
              <w:spacing w:after="0" w:line="259" w:lineRule="auto"/>
              <w:ind w:left="115" w:firstLine="0"/>
            </w:pPr>
            <w:r>
              <w:rPr>
                <w:rFonts w:ascii="Arial" w:eastAsia="Arial" w:hAnsi="Arial" w:cs="Arial"/>
                <w:sz w:val="18"/>
              </w:rPr>
              <w:t xml:space="preserve"> </w:t>
            </w:r>
          </w:p>
        </w:tc>
        <w:tc>
          <w:tcPr>
            <w:tcW w:w="5956" w:type="dxa"/>
            <w:gridSpan w:val="4"/>
            <w:tcBorders>
              <w:top w:val="single" w:sz="12" w:space="0" w:color="000000"/>
              <w:left w:val="nil"/>
              <w:bottom w:val="single" w:sz="4" w:space="0" w:color="000000"/>
              <w:right w:val="nil"/>
            </w:tcBorders>
          </w:tcPr>
          <w:p w14:paraId="18D12709" w14:textId="77777777" w:rsidR="000B3C5C" w:rsidRDefault="000B3C5C">
            <w:pPr>
              <w:spacing w:after="160" w:line="259" w:lineRule="auto"/>
              <w:ind w:left="0" w:firstLine="0"/>
            </w:pPr>
          </w:p>
        </w:tc>
        <w:tc>
          <w:tcPr>
            <w:tcW w:w="2259" w:type="dxa"/>
            <w:tcBorders>
              <w:top w:val="single" w:sz="12" w:space="0" w:color="000000"/>
              <w:left w:val="nil"/>
              <w:bottom w:val="single" w:sz="4" w:space="0" w:color="000000"/>
              <w:right w:val="nil"/>
            </w:tcBorders>
          </w:tcPr>
          <w:p w14:paraId="2AD35678" w14:textId="77777777" w:rsidR="000B3C5C" w:rsidRDefault="000B3C5C">
            <w:pPr>
              <w:spacing w:after="160" w:line="259" w:lineRule="auto"/>
              <w:ind w:left="0" w:firstLine="0"/>
            </w:pPr>
          </w:p>
        </w:tc>
      </w:tr>
      <w:tr w:rsidR="000B3C5C" w14:paraId="766FFC77" w14:textId="77777777">
        <w:trPr>
          <w:trHeight w:val="360"/>
        </w:trPr>
        <w:tc>
          <w:tcPr>
            <w:tcW w:w="1286" w:type="dxa"/>
            <w:tcBorders>
              <w:top w:val="single" w:sz="4" w:space="0" w:color="000000"/>
              <w:left w:val="nil"/>
              <w:bottom w:val="single" w:sz="4" w:space="0" w:color="000000"/>
              <w:right w:val="nil"/>
            </w:tcBorders>
          </w:tcPr>
          <w:p w14:paraId="5519EC02" w14:textId="77777777" w:rsidR="000B3C5C" w:rsidRDefault="000B3C5C">
            <w:pPr>
              <w:spacing w:after="160" w:line="259" w:lineRule="auto"/>
              <w:ind w:left="0" w:firstLine="0"/>
            </w:pPr>
          </w:p>
        </w:tc>
        <w:tc>
          <w:tcPr>
            <w:tcW w:w="5956" w:type="dxa"/>
            <w:gridSpan w:val="4"/>
            <w:tcBorders>
              <w:top w:val="single" w:sz="4" w:space="0" w:color="000000"/>
              <w:left w:val="nil"/>
              <w:bottom w:val="single" w:sz="4" w:space="0" w:color="000000"/>
              <w:right w:val="nil"/>
            </w:tcBorders>
          </w:tcPr>
          <w:p w14:paraId="5E7FFD77" w14:textId="77777777" w:rsidR="000B3C5C" w:rsidRDefault="00ED192D">
            <w:pPr>
              <w:spacing w:after="0" w:line="259" w:lineRule="auto"/>
              <w:ind w:left="970" w:firstLine="0"/>
              <w:jc w:val="center"/>
            </w:pPr>
            <w:r>
              <w:rPr>
                <w:rFonts w:ascii="Arial" w:eastAsia="Arial" w:hAnsi="Arial" w:cs="Arial"/>
                <w:b/>
                <w:sz w:val="20"/>
              </w:rPr>
              <w:t xml:space="preserve">Cohort E  </w:t>
            </w:r>
          </w:p>
        </w:tc>
        <w:tc>
          <w:tcPr>
            <w:tcW w:w="2259" w:type="dxa"/>
            <w:tcBorders>
              <w:top w:val="single" w:sz="4" w:space="0" w:color="000000"/>
              <w:left w:val="nil"/>
              <w:bottom w:val="single" w:sz="4" w:space="0" w:color="000000"/>
              <w:right w:val="nil"/>
            </w:tcBorders>
          </w:tcPr>
          <w:p w14:paraId="6F2B97EB" w14:textId="77777777" w:rsidR="000B3C5C" w:rsidRDefault="000B3C5C">
            <w:pPr>
              <w:spacing w:after="160" w:line="259" w:lineRule="auto"/>
              <w:ind w:left="0" w:firstLine="0"/>
            </w:pPr>
          </w:p>
        </w:tc>
      </w:tr>
      <w:tr w:rsidR="000B3C5C" w14:paraId="181AD9C0" w14:textId="77777777">
        <w:trPr>
          <w:trHeight w:val="648"/>
        </w:trPr>
        <w:tc>
          <w:tcPr>
            <w:tcW w:w="1286" w:type="dxa"/>
            <w:tcBorders>
              <w:top w:val="single" w:sz="4" w:space="0" w:color="000000"/>
              <w:left w:val="nil"/>
              <w:bottom w:val="single" w:sz="4" w:space="0" w:color="000000"/>
              <w:right w:val="nil"/>
            </w:tcBorders>
          </w:tcPr>
          <w:p w14:paraId="4135693A" w14:textId="77777777" w:rsidR="000B3C5C" w:rsidRDefault="000B3C5C">
            <w:pPr>
              <w:spacing w:after="160" w:line="259" w:lineRule="auto"/>
              <w:ind w:left="0" w:firstLine="0"/>
            </w:pPr>
          </w:p>
        </w:tc>
        <w:tc>
          <w:tcPr>
            <w:tcW w:w="5956" w:type="dxa"/>
            <w:gridSpan w:val="4"/>
            <w:tcBorders>
              <w:top w:val="single" w:sz="4" w:space="0" w:color="000000"/>
              <w:left w:val="nil"/>
              <w:bottom w:val="single" w:sz="4" w:space="0" w:color="000000"/>
              <w:right w:val="nil"/>
            </w:tcBorders>
          </w:tcPr>
          <w:p w14:paraId="3912A39F" w14:textId="77777777" w:rsidR="000B3C5C" w:rsidRDefault="00ED192D">
            <w:pPr>
              <w:spacing w:after="0" w:line="259" w:lineRule="auto"/>
              <w:ind w:left="2000" w:right="982" w:firstLine="0"/>
              <w:jc w:val="center"/>
            </w:pPr>
            <w:r>
              <w:rPr>
                <w:rFonts w:ascii="Arial" w:eastAsia="Arial" w:hAnsi="Arial" w:cs="Arial"/>
                <w:sz w:val="20"/>
              </w:rPr>
              <w:t xml:space="preserve">If positive results in Phase 2 Stage 2 one of the above cohorts  </w:t>
            </w:r>
          </w:p>
        </w:tc>
        <w:tc>
          <w:tcPr>
            <w:tcW w:w="2259" w:type="dxa"/>
            <w:tcBorders>
              <w:top w:val="single" w:sz="4" w:space="0" w:color="000000"/>
              <w:left w:val="nil"/>
              <w:bottom w:val="single" w:sz="4" w:space="0" w:color="000000"/>
              <w:right w:val="nil"/>
            </w:tcBorders>
          </w:tcPr>
          <w:p w14:paraId="1B1BE487" w14:textId="77777777" w:rsidR="000B3C5C" w:rsidRDefault="000B3C5C">
            <w:pPr>
              <w:spacing w:after="160" w:line="259" w:lineRule="auto"/>
              <w:ind w:left="0" w:firstLine="0"/>
            </w:pPr>
          </w:p>
        </w:tc>
      </w:tr>
    </w:tbl>
    <w:p w14:paraId="592051E5" w14:textId="77777777" w:rsidR="000B3C5C" w:rsidRDefault="00ED192D">
      <w:pPr>
        <w:spacing w:after="3" w:line="266" w:lineRule="auto"/>
        <w:ind w:left="20" w:right="60"/>
        <w:jc w:val="center"/>
      </w:pPr>
      <w:r>
        <w:rPr>
          <w:rFonts w:ascii="Arial" w:eastAsia="Arial" w:hAnsi="Arial" w:cs="Arial"/>
          <w:sz w:val="20"/>
        </w:rPr>
        <w:t xml:space="preserve">Isatuximab and atezolizumab Q3W combination, without initial isatuximab weekly dosing </w:t>
      </w:r>
    </w:p>
    <w:p w14:paraId="47F2B268" w14:textId="77777777" w:rsidR="000B3C5C" w:rsidRDefault="00ED192D">
      <w:pPr>
        <w:spacing w:after="59" w:line="259" w:lineRule="auto"/>
        <w:ind w:left="-14" w:firstLine="0"/>
      </w:pPr>
      <w:r>
        <w:rPr>
          <w:rFonts w:ascii="Calibri" w:eastAsia="Calibri" w:hAnsi="Calibri" w:cs="Calibri"/>
          <w:noProof/>
          <w:sz w:val="22"/>
        </w:rPr>
        <mc:AlternateContent>
          <mc:Choice Requires="wpg">
            <w:drawing>
              <wp:inline distT="0" distB="0" distL="0" distR="0" wp14:anchorId="30D892A4" wp14:editId="7F7E60C9">
                <wp:extent cx="6033263" cy="18288"/>
                <wp:effectExtent l="0" t="0" r="0" b="0"/>
                <wp:docPr id="243131" name="Group 243131"/>
                <wp:cNvGraphicFramePr/>
                <a:graphic xmlns:a="http://schemas.openxmlformats.org/drawingml/2006/main">
                  <a:graphicData uri="http://schemas.microsoft.com/office/word/2010/wordprocessingGroup">
                    <wpg:wgp>
                      <wpg:cNvGrpSpPr/>
                      <wpg:grpSpPr>
                        <a:xfrm>
                          <a:off x="0" y="0"/>
                          <a:ext cx="6033263" cy="18288"/>
                          <a:chOff x="0" y="0"/>
                          <a:chExt cx="6033263" cy="18288"/>
                        </a:xfrm>
                      </wpg:grpSpPr>
                      <wps:wsp>
                        <wps:cNvPr id="315716" name="Shape 315716"/>
                        <wps:cNvSpPr/>
                        <wps:spPr>
                          <a:xfrm>
                            <a:off x="0" y="0"/>
                            <a:ext cx="6033263" cy="18288"/>
                          </a:xfrm>
                          <a:custGeom>
                            <a:avLst/>
                            <a:gdLst/>
                            <a:ahLst/>
                            <a:cxnLst/>
                            <a:rect l="0" t="0" r="0" b="0"/>
                            <a:pathLst>
                              <a:path w="6033263" h="18288">
                                <a:moveTo>
                                  <a:pt x="0" y="0"/>
                                </a:moveTo>
                                <a:lnTo>
                                  <a:pt x="6033263" y="0"/>
                                </a:lnTo>
                                <a:lnTo>
                                  <a:pt x="603326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3131" style="width:475.06pt;height:1.44pt;mso-position-horizontal-relative:char;mso-position-vertical-relative:line" coordsize="60332,182">
                <v:shape id="Shape 315717" style="position:absolute;width:60332;height:182;left:0;top:0;" coordsize="6033263,18288" path="m0,0l6033263,0l6033263,18288l0,18288l0,0">
                  <v:stroke weight="0pt" endcap="flat" joinstyle="miter" miterlimit="10" on="false" color="#000000" opacity="0"/>
                  <v:fill on="true" color="#000000"/>
                </v:shape>
              </v:group>
            </w:pict>
          </mc:Fallback>
        </mc:AlternateContent>
      </w:r>
    </w:p>
    <w:p w14:paraId="44B30F0E" w14:textId="77777777" w:rsidR="000B3C5C" w:rsidRDefault="00ED192D">
      <w:pPr>
        <w:spacing w:after="298" w:line="259" w:lineRule="auto"/>
        <w:ind w:left="94" w:firstLine="0"/>
      </w:pPr>
      <w:r>
        <w:rPr>
          <w:rFonts w:ascii="Arial" w:eastAsia="Arial" w:hAnsi="Arial" w:cs="Arial"/>
          <w:sz w:val="18"/>
        </w:rPr>
        <w:t xml:space="preserve"> </w:t>
      </w:r>
    </w:p>
    <w:p w14:paraId="24556CAC" w14:textId="77777777" w:rsidR="000B3C5C" w:rsidRDefault="00ED192D">
      <w:pPr>
        <w:spacing w:line="249" w:lineRule="auto"/>
        <w:ind w:left="-5" w:right="51"/>
      </w:pPr>
      <w:r>
        <w:rPr>
          <w:b/>
        </w:rPr>
        <w:t xml:space="preserve">Number of participants: </w:t>
      </w:r>
    </w:p>
    <w:p w14:paraId="7C36BB20" w14:textId="77777777" w:rsidR="000B3C5C" w:rsidRDefault="00ED192D">
      <w:pPr>
        <w:ind w:left="-3" w:right="14"/>
      </w:pPr>
      <w:r>
        <w:t xml:space="preserve">In Phase 1, approximately 6 </w:t>
      </w:r>
      <w:r>
        <w:t xml:space="preserve">to 24 DLT evaluable participants are expected to be enrolled. </w:t>
      </w:r>
    </w:p>
    <w:p w14:paraId="5AB5C71D" w14:textId="77777777" w:rsidR="000B3C5C" w:rsidRDefault="00ED192D">
      <w:pPr>
        <w:ind w:left="-3" w:right="14"/>
      </w:pPr>
      <w:r>
        <w:t xml:space="preserve">In Phase 2, sufficient participants will be screened to achieve 285 treated participants with study intervention in cohorts A, B, C, D-1, and D-2. All treated participants will be included in the primary efficacy population. </w:t>
      </w:r>
      <w:r>
        <w:rPr>
          <w:color w:val="0000FF"/>
        </w:rPr>
        <w:t>Section</w:t>
      </w:r>
      <w:r>
        <w:t xml:space="preserve"> </w:t>
      </w:r>
      <w:r>
        <w:rPr>
          <w:color w:val="0000FF"/>
        </w:rPr>
        <w:t>9.2</w:t>
      </w:r>
      <w:r>
        <w:t xml:space="preserve"> gives details of the sample size determination.  </w:t>
      </w:r>
    </w:p>
    <w:p w14:paraId="0AA4938E" w14:textId="77777777" w:rsidR="000B3C5C" w:rsidRDefault="00ED192D">
      <w:pPr>
        <w:ind w:left="-3" w:right="14"/>
      </w:pPr>
      <w:r>
        <w:t xml:space="preserve">Additional participants may be enrolled up to a total of 350 participants. </w:t>
      </w:r>
    </w:p>
    <w:p w14:paraId="66BD7744" w14:textId="77777777" w:rsidR="000B3C5C" w:rsidRDefault="00ED192D">
      <w:pPr>
        <w:spacing w:line="249" w:lineRule="auto"/>
        <w:ind w:left="-5" w:right="51"/>
      </w:pPr>
      <w:r>
        <w:rPr>
          <w:b/>
        </w:rPr>
        <w:t xml:space="preserve">Intervention groups and duration: </w:t>
      </w:r>
    </w:p>
    <w:p w14:paraId="0D954CE3" w14:textId="77777777" w:rsidR="000B3C5C" w:rsidRDefault="00ED192D">
      <w:pPr>
        <w:ind w:left="-3" w:right="440"/>
      </w:pPr>
      <w:r>
        <w:t>The duration of the study for a participant will include a screening period (up to 28 days), a treatment period (up to 2 years), a safety follow-up period up to 90 days and every 90 days follow-up visits or phone calls (until death or study cut-off). The study cut-off is planned at 12 months after the last participant enters the study, or when all participants have had the opportunity to complete the end of treatment (EOT) visit 30 days after the last study treatment administration, whichever is the latest.</w:t>
      </w:r>
      <w:r>
        <w:t xml:space="preserve"> </w:t>
      </w:r>
    </w:p>
    <w:p w14:paraId="33B36A7F" w14:textId="77777777" w:rsidR="000B3C5C" w:rsidRDefault="00ED192D">
      <w:pPr>
        <w:ind w:left="-3" w:right="14"/>
      </w:pPr>
      <w:r>
        <w:rPr>
          <w:b/>
        </w:rPr>
        <w:t>Treatment period:</w:t>
      </w:r>
      <w:r>
        <w:t xml:space="preserve"> The cycle duration is 21 days. Participants will continue treatment until disease progression confirmed by imaging performed no less than 4 weeks after initial evidence of progression, unacceptable AE, participant’s decision to stop the treatment, 2 years of uninterrupted delivery of IMP(s) without documented progressive disease (PD). </w:t>
      </w:r>
    </w:p>
    <w:p w14:paraId="05094F4D" w14:textId="77777777" w:rsidR="000B3C5C" w:rsidRDefault="00ED192D">
      <w:pPr>
        <w:spacing w:after="11"/>
        <w:ind w:left="-3" w:right="14"/>
      </w:pPr>
      <w:r>
        <w:rPr>
          <w:b/>
        </w:rPr>
        <w:t>Safety follow-up period:</w:t>
      </w:r>
      <w:r>
        <w:t xml:space="preserve"> After treatment discontinuation, participants will return to the study site </w:t>
      </w:r>
    </w:p>
    <w:p w14:paraId="5133E32F" w14:textId="77777777" w:rsidR="000B3C5C" w:rsidRDefault="00ED192D">
      <w:pPr>
        <w:spacing w:after="0"/>
        <w:ind w:left="-3" w:right="14"/>
      </w:pPr>
      <w:r>
        <w:t xml:space="preserve">30 days (±7 days) after the last dose of IMP(s), or when the participant receives another anti-cancer therapy, whichever is earlier, for EOT assessments. In addition, there will be an extended safety follow-up period for 90 days after the last dose of IMPs for ADA assessment and for safety assessment.  </w:t>
      </w:r>
    </w:p>
    <w:p w14:paraId="4E9F7457" w14:textId="77777777" w:rsidR="000B3C5C" w:rsidRDefault="00ED192D">
      <w:pPr>
        <w:ind w:left="-3" w:right="622"/>
      </w:pPr>
      <w:r>
        <w:t xml:space="preserve">Participants who discontinue the study treatment without PD will be followed at 90 days (±7 days) for disease assessment. </w:t>
      </w:r>
    </w:p>
    <w:p w14:paraId="563F0785" w14:textId="77777777" w:rsidR="000B3C5C" w:rsidRDefault="00ED192D">
      <w:pPr>
        <w:spacing w:after="135"/>
        <w:ind w:left="-3" w:right="14"/>
      </w:pPr>
      <w:r>
        <w:rPr>
          <w:b/>
        </w:rPr>
        <w:t>Survival follow-up period</w:t>
      </w:r>
      <w:r>
        <w:t xml:space="preserve">: The further follow-up schedule beyond 90 days after last dose of IMP(s) is according to the disease progression status: </w:t>
      </w:r>
    </w:p>
    <w:p w14:paraId="4B1051F5" w14:textId="77777777" w:rsidR="000B3C5C" w:rsidRDefault="00ED192D">
      <w:pPr>
        <w:numPr>
          <w:ilvl w:val="0"/>
          <w:numId w:val="13"/>
        </w:numPr>
        <w:spacing w:after="135"/>
        <w:ind w:right="14" w:hanging="358"/>
      </w:pPr>
      <w:r>
        <w:rPr>
          <w:u w:val="single" w:color="000000"/>
        </w:rPr>
        <w:t>Participants who discontinue study treatment due to PD</w:t>
      </w:r>
      <w:r>
        <w:t xml:space="preserve">: phone call follow-up will be done every 90 days from the date of last IMP(s) administration until death or study cut-off date. </w:t>
      </w:r>
    </w:p>
    <w:p w14:paraId="4C24F946" w14:textId="77777777" w:rsidR="000B3C5C" w:rsidRDefault="00ED192D">
      <w:pPr>
        <w:numPr>
          <w:ilvl w:val="0"/>
          <w:numId w:val="13"/>
        </w:numPr>
        <w:spacing w:after="135"/>
        <w:ind w:right="14" w:hanging="358"/>
      </w:pPr>
      <w:r>
        <w:rPr>
          <w:u w:val="single" w:color="000000"/>
        </w:rPr>
        <w:t>Participants who discontinue the study treatment without PD</w:t>
      </w:r>
      <w:r>
        <w:t xml:space="preserve">: will be followed every 90 days for disease assessment until confirmation of PD or start treatment with another anti-cancer therapy, or until study cut-off date whichever comes first. After PD, participant will be followed by phone call until death or study cut-off date. </w:t>
      </w:r>
    </w:p>
    <w:p w14:paraId="417BC108" w14:textId="77777777" w:rsidR="000B3C5C" w:rsidRDefault="00ED192D">
      <w:pPr>
        <w:numPr>
          <w:ilvl w:val="0"/>
          <w:numId w:val="13"/>
        </w:numPr>
        <w:ind w:right="14" w:hanging="358"/>
      </w:pPr>
      <w:r>
        <w:rPr>
          <w:u w:val="single" w:color="000000"/>
        </w:rPr>
        <w:t>Participants who are still on study treatment after study cut-off date:</w:t>
      </w:r>
      <w:r>
        <w:t xml:space="preserve"> will continue to receive study treatment if they benefit, and will undergo planned study procedures (except PK and ADA) until confirmation of PD, or start with another anti-cancer therapy, or treatment period ended, whichever comes first.  </w:t>
      </w:r>
    </w:p>
    <w:p w14:paraId="43A91823" w14:textId="77777777" w:rsidR="000B3C5C" w:rsidRDefault="00ED192D">
      <w:pPr>
        <w:ind w:left="-3" w:right="14"/>
      </w:pPr>
      <w:r>
        <w:t xml:space="preserve">All SAEs still ongoing at the end of the study treatment, and all AEs considered related to study treatment still ongoing or occurring after the end of study treatment, which will be followed until resolution/stabilization. </w:t>
      </w:r>
    </w:p>
    <w:p w14:paraId="490FD473" w14:textId="77777777" w:rsidR="000B3C5C" w:rsidRDefault="00ED192D">
      <w:pPr>
        <w:pStyle w:val="Heading2"/>
        <w:spacing w:after="216" w:line="259" w:lineRule="auto"/>
        <w:ind w:left="-5"/>
      </w:pPr>
      <w:r>
        <w:rPr>
          <w:u w:val="single" w:color="000000"/>
        </w:rPr>
        <w:t>Study interventions</w:t>
      </w:r>
      <w:r>
        <w:t xml:space="preserve"> </w:t>
      </w:r>
    </w:p>
    <w:p w14:paraId="7F562287" w14:textId="77777777" w:rsidR="000B3C5C" w:rsidRDefault="00ED192D">
      <w:pPr>
        <w:spacing w:after="120" w:line="259" w:lineRule="auto"/>
        <w:ind w:left="-5"/>
      </w:pPr>
      <w:r>
        <w:rPr>
          <w:b/>
          <w:i/>
        </w:rPr>
        <w:t xml:space="preserve">Investigational medicinal products: </w:t>
      </w:r>
    </w:p>
    <w:p w14:paraId="2677A4AF" w14:textId="77777777" w:rsidR="000B3C5C" w:rsidRDefault="00ED192D">
      <w:pPr>
        <w:numPr>
          <w:ilvl w:val="0"/>
          <w:numId w:val="14"/>
        </w:numPr>
        <w:spacing w:after="92"/>
        <w:ind w:right="14" w:hanging="358"/>
      </w:pPr>
      <w:r>
        <w:t xml:space="preserve">Isatuximab: </w:t>
      </w:r>
    </w:p>
    <w:p w14:paraId="56F588FE" w14:textId="77777777" w:rsidR="000B3C5C" w:rsidRDefault="00ED192D">
      <w:pPr>
        <w:numPr>
          <w:ilvl w:val="1"/>
          <w:numId w:val="14"/>
        </w:numPr>
        <w:spacing w:after="139"/>
        <w:ind w:right="1160" w:hanging="362"/>
      </w:pPr>
      <w:r>
        <w:t xml:space="preserve">Formulation: </w:t>
      </w:r>
      <w:r>
        <w:t xml:space="preserve">drug product concentrated solution in vials containing 20 mg/mL (500 mg/25 mL) isatuximab in 20 mM histidine, 10% (w/v) sucrose, 0.02% (w/v) polysorbate 80, pH 6.0, </w:t>
      </w:r>
    </w:p>
    <w:p w14:paraId="249553B0" w14:textId="77777777" w:rsidR="000B3C5C" w:rsidRDefault="00ED192D">
      <w:pPr>
        <w:numPr>
          <w:ilvl w:val="1"/>
          <w:numId w:val="14"/>
        </w:numPr>
        <w:spacing w:after="0" w:line="373" w:lineRule="auto"/>
        <w:ind w:right="1160" w:hanging="362"/>
      </w:pPr>
      <w:r>
        <w:t>Route(s) of administration: solution for intravenous (IV) infusion, -</w:t>
      </w:r>
      <w:r>
        <w:rPr>
          <w:rFonts w:ascii="Arial" w:eastAsia="Arial" w:hAnsi="Arial" w:cs="Arial"/>
        </w:rPr>
        <w:t xml:space="preserve"> </w:t>
      </w:r>
      <w:r>
        <w:rPr>
          <w:rFonts w:ascii="Arial" w:eastAsia="Arial" w:hAnsi="Arial" w:cs="Arial"/>
        </w:rPr>
        <w:tab/>
      </w:r>
      <w:r>
        <w:t xml:space="preserve">Dose regimen: the starting dose is 10 mg/kg. </w:t>
      </w:r>
    </w:p>
    <w:p w14:paraId="0FB8517F" w14:textId="77777777" w:rsidR="000B3C5C" w:rsidRDefault="00ED192D">
      <w:pPr>
        <w:numPr>
          <w:ilvl w:val="0"/>
          <w:numId w:val="14"/>
        </w:numPr>
        <w:spacing w:after="32"/>
        <w:ind w:right="14" w:hanging="358"/>
      </w:pPr>
      <w:r>
        <w:t xml:space="preserve">Atezolizumab: </w:t>
      </w:r>
    </w:p>
    <w:p w14:paraId="2D1B1E59" w14:textId="77777777" w:rsidR="000B3C5C" w:rsidRDefault="00ED192D">
      <w:pPr>
        <w:numPr>
          <w:ilvl w:val="1"/>
          <w:numId w:val="14"/>
        </w:numPr>
        <w:spacing w:after="78"/>
        <w:ind w:right="1160" w:hanging="362"/>
      </w:pPr>
      <w:r>
        <w:t xml:space="preserve">Formulation: drug product concentrated solution in a single-dose vial containing 1200 mg/20 mL (60 mg/mL), </w:t>
      </w:r>
    </w:p>
    <w:p w14:paraId="0468126E" w14:textId="77777777" w:rsidR="000B3C5C" w:rsidRDefault="00ED192D">
      <w:pPr>
        <w:numPr>
          <w:ilvl w:val="1"/>
          <w:numId w:val="14"/>
        </w:numPr>
        <w:spacing w:line="321" w:lineRule="auto"/>
        <w:ind w:right="1160" w:hanging="362"/>
      </w:pPr>
      <w:r>
        <w:t>Route(s) of administration: solution for IV infusion, -</w:t>
      </w:r>
      <w:r>
        <w:rPr>
          <w:rFonts w:ascii="Arial" w:eastAsia="Arial" w:hAnsi="Arial" w:cs="Arial"/>
        </w:rPr>
        <w:t xml:space="preserve"> </w:t>
      </w:r>
      <w:r>
        <w:rPr>
          <w:rFonts w:ascii="Arial" w:eastAsia="Arial" w:hAnsi="Arial" w:cs="Arial"/>
        </w:rPr>
        <w:tab/>
      </w:r>
      <w:r>
        <w:t xml:space="preserve">Dose regimen: 1200 mg per administration. </w:t>
      </w:r>
    </w:p>
    <w:p w14:paraId="2797AE20" w14:textId="77777777" w:rsidR="000B3C5C" w:rsidRDefault="00ED192D">
      <w:pPr>
        <w:ind w:left="-3" w:right="14"/>
      </w:pPr>
      <w:r>
        <w:rPr>
          <w:b/>
          <w:i/>
        </w:rPr>
        <w:t xml:space="preserve">Non investigational medicinal products: </w:t>
      </w:r>
      <w:r>
        <w:t>will be locally sourced and formulations may vary.</w:t>
      </w:r>
      <w:r>
        <w:rPr>
          <w:b/>
          <w:i/>
        </w:rPr>
        <w:t xml:space="preserve"> </w:t>
      </w:r>
    </w:p>
    <w:p w14:paraId="00FFC2E4" w14:textId="77777777" w:rsidR="000B3C5C" w:rsidRDefault="00ED192D">
      <w:pPr>
        <w:spacing w:after="135"/>
        <w:ind w:left="-3" w:right="83"/>
      </w:pPr>
      <w:r>
        <w:t xml:space="preserve">All participants will receive the following premedications to prevent or reduce incidence or severity of infusion-associated reactions (IARs), 30 to 60 minutes prior to isatuximab infusion (no longer than 60 minutes). The standard premedication regimen will include: </w:t>
      </w:r>
    </w:p>
    <w:p w14:paraId="6EE46052" w14:textId="77777777" w:rsidR="000B3C5C" w:rsidRDefault="00ED192D">
      <w:pPr>
        <w:numPr>
          <w:ilvl w:val="0"/>
          <w:numId w:val="14"/>
        </w:numPr>
        <w:spacing w:after="88"/>
        <w:ind w:right="14" w:hanging="358"/>
      </w:pPr>
      <w:r>
        <w:t xml:space="preserve">Acetaminophen 650 to 1000 mg oral route (PO) (or equivalent). </w:t>
      </w:r>
    </w:p>
    <w:p w14:paraId="4A500C2C" w14:textId="77777777" w:rsidR="000B3C5C" w:rsidRDefault="00ED192D">
      <w:pPr>
        <w:numPr>
          <w:ilvl w:val="0"/>
          <w:numId w:val="14"/>
        </w:numPr>
        <w:spacing w:after="88"/>
        <w:ind w:right="14" w:hanging="358"/>
      </w:pPr>
      <w:r>
        <w:t xml:space="preserve">Ranitidine 50 mg IV (or equivalent). </w:t>
      </w:r>
    </w:p>
    <w:p w14:paraId="7BEFC5E1" w14:textId="77777777" w:rsidR="000B3C5C" w:rsidRDefault="00ED192D">
      <w:pPr>
        <w:numPr>
          <w:ilvl w:val="0"/>
          <w:numId w:val="14"/>
        </w:numPr>
        <w:spacing w:after="88"/>
        <w:ind w:right="14" w:hanging="358"/>
      </w:pPr>
      <w:r>
        <w:t xml:space="preserve">Diphenhydramine 25 </w:t>
      </w:r>
      <w:r>
        <w:t xml:space="preserve">to 50 mg IV (or equivalent). </w:t>
      </w:r>
    </w:p>
    <w:p w14:paraId="38873709" w14:textId="77777777" w:rsidR="000B3C5C" w:rsidRDefault="00ED192D">
      <w:pPr>
        <w:numPr>
          <w:ilvl w:val="0"/>
          <w:numId w:val="14"/>
        </w:numPr>
        <w:spacing w:after="88"/>
        <w:ind w:right="14" w:hanging="358"/>
      </w:pPr>
      <w:r>
        <w:t xml:space="preserve">Methylprednisolone 100 mg IV (or equivalent). </w:t>
      </w:r>
    </w:p>
    <w:p w14:paraId="36571622" w14:textId="77777777" w:rsidR="000B3C5C" w:rsidRDefault="00ED192D">
      <w:pPr>
        <w:numPr>
          <w:ilvl w:val="0"/>
          <w:numId w:val="14"/>
        </w:numPr>
        <w:spacing w:after="185"/>
        <w:ind w:right="14" w:hanging="358"/>
      </w:pPr>
      <w:r>
        <w:t xml:space="preserve">Montelukast 10 mg oral route (PO) (or equivalent). </w:t>
      </w:r>
    </w:p>
    <w:p w14:paraId="45F8E33A" w14:textId="77777777" w:rsidR="000B3C5C" w:rsidRDefault="00ED192D">
      <w:pPr>
        <w:spacing w:after="121" w:line="259" w:lineRule="auto"/>
        <w:ind w:left="-5"/>
      </w:pPr>
      <w:r>
        <w:rPr>
          <w:u w:val="single" w:color="000000"/>
        </w:rPr>
        <w:t>Criteria for optional premedication for IARs:</w:t>
      </w:r>
      <w:r>
        <w:t xml:space="preserve"> </w:t>
      </w:r>
    </w:p>
    <w:p w14:paraId="78320FD8" w14:textId="77777777" w:rsidR="000B3C5C" w:rsidRDefault="00ED192D">
      <w:pPr>
        <w:numPr>
          <w:ilvl w:val="0"/>
          <w:numId w:val="14"/>
        </w:numPr>
        <w:spacing w:after="135"/>
        <w:ind w:right="14" w:hanging="358"/>
      </w:pPr>
      <w:r>
        <w:t xml:space="preserve">For a patient who has no IAR for the first 4 infusions: Premedication for the subsequent infusions is optional at the Investigator’s discretion. However, if during the subsequent infusions without premedication the patient experiences an IAR (any grade), premedication must be restarted for all subsequent infusions. </w:t>
      </w:r>
    </w:p>
    <w:p w14:paraId="3396C143" w14:textId="77777777" w:rsidR="000B3C5C" w:rsidRDefault="00ED192D">
      <w:pPr>
        <w:numPr>
          <w:ilvl w:val="0"/>
          <w:numId w:val="14"/>
        </w:numPr>
        <w:spacing w:after="0" w:line="249" w:lineRule="auto"/>
        <w:ind w:right="14" w:hanging="358"/>
      </w:pPr>
      <w:r>
        <w:t xml:space="preserve">If a patient develops an IAR Grade ≤2 during their first infusion only and then experiences no further IARs during their next 3 infusions:  The Investigator should discuss with the </w:t>
      </w:r>
    </w:p>
    <w:p w14:paraId="3981017B" w14:textId="77777777" w:rsidR="000B3C5C" w:rsidRDefault="00ED192D">
      <w:pPr>
        <w:ind w:left="730" w:right="14"/>
      </w:pPr>
      <w:r>
        <w:t xml:space="preserve">Sponsor Medical Monitor when considering omitting premedication for the next infusion.  If no IAR is observed for the next infusion without premedication, premedication is optional for the subsequent infusions at the Investigator’s discretion. However, if during the next infusion without premedication the patient experiences an IAR (any grade), premedication must be restarted for all subsequent infusions. </w:t>
      </w:r>
    </w:p>
    <w:p w14:paraId="252292DE" w14:textId="77777777" w:rsidR="000B3C5C" w:rsidRDefault="00ED192D">
      <w:pPr>
        <w:ind w:left="-3" w:right="14"/>
      </w:pPr>
      <w:r>
        <w:t xml:space="preserve">When isatuximab and atezolizumab are to be administrated on the same day, the administration sequence is: atezolizumab, followed by premedications, followed by isatuximab. </w:t>
      </w:r>
    </w:p>
    <w:p w14:paraId="3A69178E" w14:textId="77777777" w:rsidR="000B3C5C" w:rsidRDefault="00ED192D">
      <w:pPr>
        <w:ind w:left="-3" w:right="14"/>
      </w:pPr>
      <w:r>
        <w:t xml:space="preserve">When only isatuximab is to be administrated on a day, the administration sequence is: premedications, followed by isatuximab. </w:t>
      </w:r>
    </w:p>
    <w:p w14:paraId="6CB9724F" w14:textId="77777777" w:rsidR="000B3C5C" w:rsidRDefault="00ED192D">
      <w:pPr>
        <w:spacing w:line="249" w:lineRule="auto"/>
        <w:ind w:left="-5" w:right="51"/>
      </w:pPr>
      <w:r>
        <w:rPr>
          <w:b/>
        </w:rPr>
        <w:t xml:space="preserve">Statistical considerations: </w:t>
      </w:r>
    </w:p>
    <w:p w14:paraId="216324BB" w14:textId="77777777" w:rsidR="000B3C5C" w:rsidRDefault="00ED192D">
      <w:pPr>
        <w:spacing w:after="139"/>
        <w:ind w:left="370" w:right="14"/>
      </w:pPr>
      <w:r>
        <w:t xml:space="preserve">Data from HCC, SCCHN, EOC and GBM cohorts in Phase 2 will be analyzed and reported separately by cohort. </w:t>
      </w:r>
    </w:p>
    <w:p w14:paraId="7384E04A" w14:textId="77777777" w:rsidR="000B3C5C" w:rsidRDefault="00ED192D">
      <w:pPr>
        <w:numPr>
          <w:ilvl w:val="0"/>
          <w:numId w:val="15"/>
        </w:numPr>
        <w:spacing w:after="92" w:line="249" w:lineRule="auto"/>
        <w:ind w:right="51" w:hanging="538"/>
      </w:pPr>
      <w:r>
        <w:rPr>
          <w:b/>
        </w:rPr>
        <w:t>Analysis of primary efficacy endpoints:</w:t>
      </w:r>
      <w:r>
        <w:rPr>
          <w:b/>
          <w:sz w:val="22"/>
        </w:rPr>
        <w:t xml:space="preserve"> </w:t>
      </w:r>
    </w:p>
    <w:p w14:paraId="4B9D663A" w14:textId="77777777" w:rsidR="000B3C5C" w:rsidRDefault="00ED192D">
      <w:pPr>
        <w:numPr>
          <w:ilvl w:val="1"/>
          <w:numId w:val="15"/>
        </w:numPr>
        <w:spacing w:after="0"/>
        <w:ind w:right="14" w:hanging="362"/>
      </w:pPr>
      <w:r>
        <w:t xml:space="preserve">For HCC, SCCHN and EOC Phase 2: RR will be summarized with descriptive statistics.  A 90% two-sided confidence interval will be computed using </w:t>
      </w:r>
    </w:p>
    <w:p w14:paraId="706795C2" w14:textId="77777777" w:rsidR="000B3C5C" w:rsidRDefault="00ED192D">
      <w:pPr>
        <w:spacing w:after="139"/>
        <w:ind w:left="1092" w:right="14"/>
      </w:pPr>
      <w:r>
        <w:t>Clopper-</w:t>
      </w:r>
      <w:r>
        <w:t xml:space="preserve">Pearson method. The statistical inference will be based on the hypothesis and alpha level defined in the sample size calculation section, </w:t>
      </w:r>
    </w:p>
    <w:p w14:paraId="50E939BF" w14:textId="77777777" w:rsidR="000B3C5C" w:rsidRDefault="00ED192D">
      <w:pPr>
        <w:numPr>
          <w:ilvl w:val="1"/>
          <w:numId w:val="15"/>
        </w:numPr>
        <w:ind w:right="14" w:hanging="362"/>
      </w:pPr>
      <w:r>
        <w:t xml:space="preserve">For GBM: PFS-6 will be summarized using Kaplan-Meier method. </w:t>
      </w:r>
    </w:p>
    <w:p w14:paraId="1E594169" w14:textId="77777777" w:rsidR="000B3C5C" w:rsidRDefault="00ED192D">
      <w:pPr>
        <w:numPr>
          <w:ilvl w:val="0"/>
          <w:numId w:val="15"/>
        </w:numPr>
        <w:spacing w:after="92" w:line="249" w:lineRule="auto"/>
        <w:ind w:right="51" w:hanging="538"/>
      </w:pPr>
      <w:r>
        <w:rPr>
          <w:b/>
        </w:rPr>
        <w:t xml:space="preserve">Analysis of secondary efficacy endpoints: </w:t>
      </w:r>
    </w:p>
    <w:p w14:paraId="612F17A2" w14:textId="77777777" w:rsidR="000B3C5C" w:rsidRDefault="00ED192D">
      <w:pPr>
        <w:numPr>
          <w:ilvl w:val="1"/>
          <w:numId w:val="15"/>
        </w:numPr>
        <w:spacing w:after="139"/>
        <w:ind w:right="14" w:hanging="362"/>
      </w:pPr>
      <w:r>
        <w:t xml:space="preserve">Tumor burden change: the best percent-change from baseline in tumor burden will be summarized and presented graphically. In addition, a summary of the area under the curve (AUC) and the time adjusted AUC of percent-change from baseline in tumor burden will also be provided as an exploratory analysis, </w:t>
      </w:r>
    </w:p>
    <w:p w14:paraId="66AA8E6C" w14:textId="77777777" w:rsidR="000B3C5C" w:rsidRDefault="00ED192D">
      <w:pPr>
        <w:numPr>
          <w:ilvl w:val="1"/>
          <w:numId w:val="15"/>
        </w:numPr>
        <w:spacing w:after="142"/>
        <w:ind w:right="14" w:hanging="362"/>
      </w:pPr>
      <w:r>
        <w:t xml:space="preserve">DOR and PFS will be summarized using Kaplan-Meier method, </w:t>
      </w:r>
    </w:p>
    <w:p w14:paraId="3826A6A4" w14:textId="77777777" w:rsidR="000B3C5C" w:rsidRDefault="00ED192D">
      <w:pPr>
        <w:numPr>
          <w:ilvl w:val="1"/>
          <w:numId w:val="15"/>
        </w:numPr>
        <w:spacing w:after="78"/>
        <w:ind w:right="14" w:hanging="362"/>
      </w:pPr>
      <w:r>
        <w:t xml:space="preserve">RR for GBM and DCR (complete response + partial response + stable disease) will be summarized with descriptive statistics. </w:t>
      </w:r>
    </w:p>
    <w:p w14:paraId="3DD3C083" w14:textId="77777777" w:rsidR="000B3C5C" w:rsidRDefault="00ED192D">
      <w:pPr>
        <w:numPr>
          <w:ilvl w:val="0"/>
          <w:numId w:val="15"/>
        </w:numPr>
        <w:spacing w:after="183" w:line="249" w:lineRule="auto"/>
        <w:ind w:right="51" w:hanging="538"/>
      </w:pPr>
      <w:r>
        <w:rPr>
          <w:b/>
        </w:rPr>
        <w:t xml:space="preserve">Analysis of safety endpoints: </w:t>
      </w:r>
    </w:p>
    <w:p w14:paraId="7F8D40BF" w14:textId="77777777" w:rsidR="000B3C5C" w:rsidRDefault="00ED192D">
      <w:pPr>
        <w:ind w:left="-3" w:right="14"/>
      </w:pPr>
      <w:r>
        <w:t xml:space="preserve">In Phase 1, the DLTs will be listed by participant using the DLT evaluable population. </w:t>
      </w:r>
    </w:p>
    <w:p w14:paraId="68F9D373" w14:textId="77777777" w:rsidR="000B3C5C" w:rsidRDefault="00ED192D">
      <w:pPr>
        <w:spacing w:after="79"/>
        <w:ind w:left="-3" w:right="14"/>
      </w:pPr>
      <w:r>
        <w:t xml:space="preserve">In Phase 1 and 2, the AEs will be coded according to Medical Dictionary for Regulatory Activities (MedDRA). AEs and laboratory abnormalities will be graded according to the NCI-CTCAE version 4.03. </w:t>
      </w:r>
    </w:p>
    <w:p w14:paraId="5331CA8D" w14:textId="77777777" w:rsidR="000B3C5C" w:rsidRDefault="00ED192D">
      <w:pPr>
        <w:numPr>
          <w:ilvl w:val="1"/>
          <w:numId w:val="15"/>
        </w:numPr>
        <w:spacing w:after="79"/>
        <w:ind w:right="14" w:hanging="362"/>
      </w:pPr>
      <w:r>
        <w:t xml:space="preserve">The number (%) of participants experiencing treatment-emergent AEs (TEAEs) by primary system organ class (SOC) and preferred term (PT) will be summarized by CTCAE grade (all grades and Grade ≥3) for the all-treated population. Same table will be prepared for treatment-related TEAEs, AEs of special interest (AESIs), TEAEs leading to treatment discontinuation, serious TEAEs and TEAEs with fatal outcome. The post-treatment AEs will be analyzed separately, </w:t>
      </w:r>
    </w:p>
    <w:p w14:paraId="38347304" w14:textId="77777777" w:rsidR="000B3C5C" w:rsidRDefault="00ED192D">
      <w:pPr>
        <w:numPr>
          <w:ilvl w:val="1"/>
          <w:numId w:val="15"/>
        </w:numPr>
        <w:spacing w:after="138"/>
        <w:ind w:right="14" w:hanging="362"/>
      </w:pPr>
      <w:r>
        <w:t xml:space="preserve">The number (%) of participants with laboratory abnormalities (ie, all grades and Grade ≥3) using the worst grade during the on-treatment period will be provided for the all-treated population. </w:t>
      </w:r>
    </w:p>
    <w:p w14:paraId="4F2D3A97" w14:textId="77777777" w:rsidR="000B3C5C" w:rsidRDefault="00ED192D">
      <w:pPr>
        <w:numPr>
          <w:ilvl w:val="0"/>
          <w:numId w:val="15"/>
        </w:numPr>
        <w:spacing w:after="32" w:line="249" w:lineRule="auto"/>
        <w:ind w:right="51" w:hanging="538"/>
      </w:pPr>
      <w:r>
        <w:rPr>
          <w:b/>
        </w:rPr>
        <w:t xml:space="preserve">Pharmacokinetics: </w:t>
      </w:r>
    </w:p>
    <w:p w14:paraId="152DA067" w14:textId="77777777" w:rsidR="000B3C5C" w:rsidRDefault="00ED192D">
      <w:pPr>
        <w:numPr>
          <w:ilvl w:val="1"/>
          <w:numId w:val="15"/>
        </w:numPr>
        <w:spacing w:after="79"/>
        <w:ind w:right="14" w:hanging="362"/>
      </w:pPr>
      <w:r>
        <w:t xml:space="preserve">Concentrations of both atezolizumab and isatuximab and PK parameters of isatuximab at Cycle 1 Week 1 will be descriptively summarized (mean, geometric mean, median, standard deviation, standard error of the mean, coefficient of variation, and minimum and maximum), </w:t>
      </w:r>
    </w:p>
    <w:p w14:paraId="126F5854" w14:textId="77777777" w:rsidR="000B3C5C" w:rsidRDefault="00ED192D">
      <w:pPr>
        <w:numPr>
          <w:ilvl w:val="1"/>
          <w:numId w:val="15"/>
        </w:numPr>
        <w:spacing w:after="142"/>
        <w:ind w:right="14" w:hanging="362"/>
      </w:pPr>
      <w:r>
        <w:t xml:space="preserve">Immune response and pharmacodynamic endpoints: </w:t>
      </w:r>
    </w:p>
    <w:p w14:paraId="549C37E0" w14:textId="77777777" w:rsidR="000B3C5C" w:rsidRDefault="00ED192D">
      <w:pPr>
        <w:numPr>
          <w:ilvl w:val="1"/>
          <w:numId w:val="15"/>
        </w:numPr>
        <w:spacing w:after="170"/>
        <w:ind w:right="14" w:hanging="362"/>
      </w:pPr>
      <w:r>
        <w:t xml:space="preserve">Findings from immune markers and pharmacodynamics markers will be descriptively summarized and tabulated. </w:t>
      </w:r>
    </w:p>
    <w:p w14:paraId="08187068" w14:textId="77777777" w:rsidR="000B3C5C" w:rsidRDefault="00ED192D">
      <w:pPr>
        <w:spacing w:after="166"/>
        <w:ind w:left="-3" w:right="14"/>
      </w:pPr>
      <w:r>
        <w:t xml:space="preserve">Planned date for analysis cut-off: </w:t>
      </w:r>
    </w:p>
    <w:p w14:paraId="2C9D0C11" w14:textId="77777777" w:rsidR="000B3C5C" w:rsidRDefault="00ED192D">
      <w:pPr>
        <w:spacing w:after="170"/>
        <w:ind w:left="-3" w:right="14"/>
      </w:pPr>
      <w:r>
        <w:t xml:space="preserve">For each cohort, the analysis cut-off date for the primary analysis (RR for HCC, SCCHN, and EOC, PFS-6 for GBM) will be 6 months after the last participant’s first treatment in the cohort.  </w:t>
      </w:r>
    </w:p>
    <w:p w14:paraId="1FE4AA31" w14:textId="77777777" w:rsidR="000B3C5C" w:rsidRDefault="00ED192D">
      <w:pPr>
        <w:ind w:left="-3" w:right="216"/>
      </w:pPr>
      <w:r>
        <w:t xml:space="preserve">The analysis cut-off date for the secondary efficacy endpoints including DoR and PFS will be 12 months after the last participant’s first treatment in the cohort. The primary analysis of RR in the cohort for HCC, SCCHN, and EOC, and of PFS-6 in the cohort for GMB will be updated. In the case of inadequate efficacy for a cohort at interim analyses, the Sponsor may decide not to update primary nor perform secondary analyses for that cohort.  </w:t>
      </w:r>
    </w:p>
    <w:p w14:paraId="2261CE41" w14:textId="77777777" w:rsidR="000B3C5C" w:rsidRDefault="00ED192D">
      <w:pPr>
        <w:pStyle w:val="Heading3"/>
        <w:spacing w:after="167"/>
        <w:ind w:left="-5" w:right="51"/>
      </w:pPr>
      <w:r>
        <w:rPr>
          <w:rFonts w:ascii="Times New Roman" w:eastAsia="Times New Roman" w:hAnsi="Times New Roman" w:cs="Times New Roman"/>
          <w:sz w:val="24"/>
        </w:rPr>
        <w:t>Data Monitoring Committee</w:t>
      </w:r>
      <w:r>
        <w:rPr>
          <w:rFonts w:ascii="Times New Roman" w:eastAsia="Times New Roman" w:hAnsi="Times New Roman" w:cs="Times New Roman"/>
          <w:b w:val="0"/>
          <w:sz w:val="24"/>
        </w:rPr>
        <w:t xml:space="preserve">: Yes </w:t>
      </w:r>
    </w:p>
    <w:p w14:paraId="1D324CC9" w14:textId="77777777" w:rsidR="000B3C5C" w:rsidRDefault="00ED192D">
      <w:pPr>
        <w:spacing w:after="167" w:line="249" w:lineRule="auto"/>
        <w:ind w:left="-5" w:right="51"/>
      </w:pPr>
      <w:r>
        <w:rPr>
          <w:b/>
        </w:rPr>
        <w:t>Study Committee</w:t>
      </w:r>
      <w:r>
        <w:rPr>
          <w:rFonts w:ascii="Arial" w:eastAsia="Arial" w:hAnsi="Arial" w:cs="Arial"/>
          <w:b/>
          <w:sz w:val="20"/>
        </w:rPr>
        <w:t xml:space="preserve">: </w:t>
      </w:r>
    </w:p>
    <w:p w14:paraId="2DB88533" w14:textId="77777777" w:rsidR="000B3C5C" w:rsidRDefault="00ED192D">
      <w:pPr>
        <w:spacing w:after="473"/>
        <w:ind w:left="-3" w:right="14"/>
      </w:pPr>
      <w:r>
        <w:t>Composition of the Study Committee will vary based on the matter discussed, but it will generally include Sponsor representatives and at least two investigators responsible for the indication in matter. Sponsor representatives and Investigators who have enrolled at least 1 patient will review clinical data approximately every 2 weeks during the course of the Phase 1 part. Then Study Committee will convene regularly or ad hoc when required, to review data and provide strategic recommendations on study medica</w:t>
      </w:r>
      <w:r>
        <w:t xml:space="preserve">l decisions such as at the end of the Stage 1 of each cohort and Stage 2 of Cohorts A to D-2. </w:t>
      </w:r>
    </w:p>
    <w:p w14:paraId="1ADAC8A0" w14:textId="77777777" w:rsidR="000B3C5C" w:rsidRDefault="00ED192D">
      <w:pPr>
        <w:pStyle w:val="Heading4"/>
        <w:tabs>
          <w:tab w:val="center" w:pos="1157"/>
        </w:tabs>
        <w:spacing w:after="335"/>
        <w:ind w:left="-15" w:firstLine="0"/>
      </w:pPr>
      <w:r>
        <w:t xml:space="preserve">1.2 </w:t>
      </w:r>
      <w:r>
        <w:tab/>
        <w:t xml:space="preserve">SCHEMA  </w:t>
      </w:r>
    </w:p>
    <w:p w14:paraId="564F6675" w14:textId="77777777" w:rsidR="000B3C5C" w:rsidRDefault="00ED192D">
      <w:pPr>
        <w:spacing w:after="209" w:line="250" w:lineRule="auto"/>
        <w:ind w:left="15" w:right="45"/>
        <w:jc w:val="center"/>
      </w:pPr>
      <w:r>
        <w:rPr>
          <w:rFonts w:ascii="Arial" w:eastAsia="Arial" w:hAnsi="Arial" w:cs="Arial"/>
          <w:b/>
          <w:sz w:val="20"/>
        </w:rPr>
        <w:t xml:space="preserve">Figure 1 - Graphical Study Design  </w:t>
      </w:r>
    </w:p>
    <w:p w14:paraId="3F1A8985" w14:textId="77777777" w:rsidR="000B3C5C" w:rsidRDefault="00ED192D">
      <w:pPr>
        <w:spacing w:after="89" w:line="259" w:lineRule="auto"/>
        <w:ind w:left="0" w:firstLine="0"/>
        <w:jc w:val="right"/>
      </w:pPr>
      <w:r>
        <w:rPr>
          <w:noProof/>
        </w:rPr>
        <w:drawing>
          <wp:inline distT="0" distB="0" distL="0" distR="0" wp14:anchorId="2E53FC9A" wp14:editId="670E63E7">
            <wp:extent cx="5995035" cy="3283585"/>
            <wp:effectExtent l="0" t="0" r="0" b="0"/>
            <wp:docPr id="4920" name="Picture 4920"/>
            <wp:cNvGraphicFramePr/>
            <a:graphic xmlns:a="http://schemas.openxmlformats.org/drawingml/2006/main">
              <a:graphicData uri="http://schemas.openxmlformats.org/drawingml/2006/picture">
                <pic:pic xmlns:pic="http://schemas.openxmlformats.org/drawingml/2006/picture">
                  <pic:nvPicPr>
                    <pic:cNvPr id="4920" name="Picture 4920"/>
                    <pic:cNvPicPr/>
                  </pic:nvPicPr>
                  <pic:blipFill>
                    <a:blip r:embed="rId20"/>
                    <a:stretch>
                      <a:fillRect/>
                    </a:stretch>
                  </pic:blipFill>
                  <pic:spPr>
                    <a:xfrm>
                      <a:off x="0" y="0"/>
                      <a:ext cx="5995035" cy="3283585"/>
                    </a:xfrm>
                    <a:prstGeom prst="rect">
                      <a:avLst/>
                    </a:prstGeom>
                  </pic:spPr>
                </pic:pic>
              </a:graphicData>
            </a:graphic>
          </wp:inline>
        </w:drawing>
      </w:r>
      <w:r>
        <w:t xml:space="preserve"> </w:t>
      </w:r>
    </w:p>
    <w:p w14:paraId="781A862F" w14:textId="77777777" w:rsidR="000B3C5C" w:rsidRDefault="00ED192D">
      <w:pPr>
        <w:pBdr>
          <w:top w:val="single" w:sz="6" w:space="0" w:color="000000"/>
          <w:left w:val="single" w:sz="6" w:space="0" w:color="000000"/>
          <w:bottom w:val="single" w:sz="6" w:space="0" w:color="000000"/>
          <w:right w:val="single" w:sz="6" w:space="0" w:color="000000"/>
        </w:pBdr>
        <w:spacing w:after="25" w:line="222" w:lineRule="auto"/>
        <w:ind w:left="79" w:right="6532"/>
      </w:pPr>
      <w:r>
        <w:rPr>
          <w:sz w:val="16"/>
        </w:rPr>
        <w:t>.</w:t>
      </w:r>
    </w:p>
    <w:p w14:paraId="2C9AB53B" w14:textId="77777777" w:rsidR="000B3C5C" w:rsidRDefault="00ED192D">
      <w:pPr>
        <w:pBdr>
          <w:top w:val="single" w:sz="6" w:space="0" w:color="000000"/>
          <w:left w:val="single" w:sz="6" w:space="0" w:color="000000"/>
          <w:bottom w:val="single" w:sz="6" w:space="0" w:color="000000"/>
          <w:right w:val="single" w:sz="6" w:space="0" w:color="000000"/>
        </w:pBdr>
        <w:spacing w:after="25" w:line="222" w:lineRule="auto"/>
        <w:ind w:left="79" w:right="6532"/>
      </w:pPr>
      <w:r>
        <w:rPr>
          <w:sz w:val="16"/>
        </w:rPr>
        <w:t>At starting dose, approximately 8 patients will be treated and DLTs will be assessed in the first 6 DLT-evaluable participants</w:t>
      </w:r>
      <w:r>
        <w:t xml:space="preserve"> </w:t>
      </w:r>
    </w:p>
    <w:p w14:paraId="46277186" w14:textId="77777777" w:rsidR="000B3C5C" w:rsidRDefault="000B3C5C">
      <w:pPr>
        <w:sectPr w:rsidR="000B3C5C">
          <w:type w:val="continuous"/>
          <w:pgSz w:w="11906" w:h="16841"/>
          <w:pgMar w:top="1820" w:right="809" w:bottom="2156" w:left="1587" w:header="720" w:footer="720" w:gutter="0"/>
          <w:cols w:space="720"/>
        </w:sectPr>
      </w:pPr>
    </w:p>
    <w:p w14:paraId="723AFA64" w14:textId="77777777" w:rsidR="000B3C5C" w:rsidRDefault="00ED192D">
      <w:pPr>
        <w:pStyle w:val="Heading4"/>
        <w:tabs>
          <w:tab w:val="center" w:pos="2443"/>
        </w:tabs>
        <w:spacing w:after="11"/>
        <w:ind w:left="-15" w:firstLine="0"/>
      </w:pPr>
      <w:r>
        <w:t xml:space="preserve">1.3 </w:t>
      </w:r>
      <w:r>
        <w:tab/>
        <w:t xml:space="preserve">SCHEDULE OF ACTIVITIES (SOA)  </w:t>
      </w:r>
    </w:p>
    <w:p w14:paraId="5BA4D0ED" w14:textId="77777777" w:rsidR="000B3C5C" w:rsidRDefault="00ED192D">
      <w:pPr>
        <w:spacing w:after="0" w:line="259" w:lineRule="auto"/>
        <w:ind w:left="0" w:firstLine="0"/>
      </w:pPr>
      <w:r>
        <w:t xml:space="preserve"> </w:t>
      </w:r>
    </w:p>
    <w:tbl>
      <w:tblPr>
        <w:tblStyle w:val="TableGrid"/>
        <w:tblW w:w="14338" w:type="dxa"/>
        <w:tblInd w:w="-108" w:type="dxa"/>
        <w:tblCellMar>
          <w:top w:w="97" w:type="dxa"/>
          <w:left w:w="0" w:type="dxa"/>
          <w:bottom w:w="67" w:type="dxa"/>
          <w:right w:w="68" w:type="dxa"/>
        </w:tblCellMar>
        <w:tblLook w:val="04A0" w:firstRow="1" w:lastRow="0" w:firstColumn="1" w:lastColumn="0" w:noHBand="0" w:noVBand="1"/>
      </w:tblPr>
      <w:tblGrid>
        <w:gridCol w:w="1634"/>
        <w:gridCol w:w="599"/>
        <w:gridCol w:w="729"/>
        <w:gridCol w:w="678"/>
        <w:gridCol w:w="594"/>
        <w:gridCol w:w="588"/>
        <w:gridCol w:w="3143"/>
        <w:gridCol w:w="1303"/>
        <w:gridCol w:w="1343"/>
        <w:gridCol w:w="1150"/>
        <w:gridCol w:w="1403"/>
        <w:gridCol w:w="1174"/>
      </w:tblGrid>
      <w:tr w:rsidR="000B3C5C" w14:paraId="21C1C28F" w14:textId="77777777">
        <w:trPr>
          <w:trHeight w:val="416"/>
        </w:trPr>
        <w:tc>
          <w:tcPr>
            <w:tcW w:w="1575" w:type="dxa"/>
            <w:vMerge w:val="restart"/>
            <w:tcBorders>
              <w:top w:val="single" w:sz="4" w:space="0" w:color="000000"/>
              <w:left w:val="single" w:sz="4" w:space="0" w:color="000000"/>
              <w:bottom w:val="single" w:sz="6" w:space="0" w:color="000000"/>
              <w:right w:val="single" w:sz="6" w:space="0" w:color="000000"/>
            </w:tcBorders>
            <w:vAlign w:val="center"/>
          </w:tcPr>
          <w:p w14:paraId="5CF00503" w14:textId="77777777" w:rsidR="000B3C5C" w:rsidRDefault="00ED192D">
            <w:pPr>
              <w:spacing w:after="0" w:line="259" w:lineRule="auto"/>
              <w:ind w:left="67" w:firstLine="0"/>
              <w:jc w:val="center"/>
            </w:pPr>
            <w:r>
              <w:rPr>
                <w:rFonts w:ascii="Arial" w:eastAsia="Arial" w:hAnsi="Arial" w:cs="Arial"/>
                <w:b/>
                <w:sz w:val="18"/>
              </w:rPr>
              <w:t xml:space="preserve">Evaluation </w:t>
            </w:r>
          </w:p>
        </w:tc>
        <w:tc>
          <w:tcPr>
            <w:tcW w:w="1329" w:type="dxa"/>
            <w:gridSpan w:val="2"/>
            <w:vMerge w:val="restart"/>
            <w:tcBorders>
              <w:top w:val="single" w:sz="4" w:space="0" w:color="000000"/>
              <w:left w:val="single" w:sz="6" w:space="0" w:color="000000"/>
              <w:bottom w:val="single" w:sz="4" w:space="0" w:color="000000"/>
              <w:right w:val="single" w:sz="6" w:space="0" w:color="000000"/>
            </w:tcBorders>
          </w:tcPr>
          <w:p w14:paraId="7EFD3A06" w14:textId="77777777" w:rsidR="000B3C5C" w:rsidRDefault="00ED192D">
            <w:pPr>
              <w:spacing w:after="0" w:line="259" w:lineRule="auto"/>
              <w:ind w:left="72" w:firstLine="0"/>
              <w:jc w:val="center"/>
            </w:pPr>
            <w:r>
              <w:rPr>
                <w:rFonts w:ascii="Arial" w:eastAsia="Arial" w:hAnsi="Arial" w:cs="Arial"/>
                <w:b/>
                <w:sz w:val="18"/>
              </w:rPr>
              <w:t xml:space="preserve">Screening  </w:t>
            </w:r>
          </w:p>
          <w:p w14:paraId="53A7F4A2" w14:textId="77777777" w:rsidR="000B3C5C" w:rsidRDefault="00ED192D">
            <w:pPr>
              <w:spacing w:after="132" w:line="239" w:lineRule="auto"/>
              <w:ind w:left="161" w:right="92" w:firstLine="130"/>
              <w:jc w:val="both"/>
            </w:pPr>
            <w:r>
              <w:rPr>
                <w:rFonts w:ascii="Arial" w:eastAsia="Arial" w:hAnsi="Arial" w:cs="Arial"/>
                <w:b/>
                <w:sz w:val="18"/>
              </w:rPr>
              <w:t xml:space="preserve">(up to 28 days before Day 1) </w:t>
            </w:r>
          </w:p>
          <w:p w14:paraId="6D60DFD0" w14:textId="77777777" w:rsidR="000B3C5C" w:rsidRDefault="00ED192D">
            <w:pPr>
              <w:spacing w:after="0" w:line="259" w:lineRule="auto"/>
              <w:ind w:left="118" w:firstLine="0"/>
              <w:jc w:val="center"/>
            </w:pPr>
            <w:r>
              <w:rPr>
                <w:rFonts w:ascii="Arial" w:eastAsia="Arial" w:hAnsi="Arial" w:cs="Arial"/>
                <w:b/>
                <w:sz w:val="18"/>
              </w:rPr>
              <w:t xml:space="preserve"> </w:t>
            </w:r>
          </w:p>
        </w:tc>
        <w:tc>
          <w:tcPr>
            <w:tcW w:w="680" w:type="dxa"/>
            <w:vMerge w:val="restart"/>
            <w:tcBorders>
              <w:top w:val="single" w:sz="4" w:space="0" w:color="000000"/>
              <w:left w:val="single" w:sz="6" w:space="0" w:color="000000"/>
              <w:bottom w:val="single" w:sz="4" w:space="0" w:color="000000"/>
              <w:right w:val="nil"/>
            </w:tcBorders>
          </w:tcPr>
          <w:p w14:paraId="38771D28" w14:textId="77777777" w:rsidR="000B3C5C" w:rsidRDefault="000B3C5C">
            <w:pPr>
              <w:spacing w:after="160" w:line="259" w:lineRule="auto"/>
              <w:ind w:left="0" w:firstLine="0"/>
            </w:pPr>
          </w:p>
        </w:tc>
        <w:tc>
          <w:tcPr>
            <w:tcW w:w="4352" w:type="dxa"/>
            <w:gridSpan w:val="3"/>
            <w:vMerge w:val="restart"/>
            <w:tcBorders>
              <w:top w:val="single" w:sz="4" w:space="0" w:color="000000"/>
              <w:left w:val="nil"/>
              <w:bottom w:val="single" w:sz="4" w:space="0" w:color="000000"/>
              <w:right w:val="single" w:sz="6" w:space="0" w:color="000000"/>
            </w:tcBorders>
          </w:tcPr>
          <w:p w14:paraId="4CA66544" w14:textId="77777777" w:rsidR="000B3C5C" w:rsidRDefault="00ED192D">
            <w:pPr>
              <w:spacing w:after="0" w:line="259" w:lineRule="auto"/>
              <w:ind w:left="1068" w:firstLine="0"/>
            </w:pPr>
            <w:r>
              <w:rPr>
                <w:rFonts w:ascii="Arial" w:eastAsia="Arial" w:hAnsi="Arial" w:cs="Arial"/>
                <w:b/>
                <w:sz w:val="18"/>
              </w:rPr>
              <w:t>Treatment Phase</w:t>
            </w:r>
            <w:r>
              <w:rPr>
                <w:rFonts w:ascii="Arial" w:eastAsia="Arial" w:hAnsi="Arial" w:cs="Arial"/>
                <w:b/>
                <w:i/>
                <w:color w:val="0000FF"/>
                <w:sz w:val="28"/>
                <w:vertAlign w:val="superscript"/>
              </w:rPr>
              <w:t>a</w:t>
            </w:r>
            <w:r>
              <w:rPr>
                <w:rFonts w:ascii="Arial" w:eastAsia="Arial" w:hAnsi="Arial" w:cs="Arial"/>
                <w:b/>
                <w:sz w:val="20"/>
              </w:rPr>
              <w:t xml:space="preserve"> </w:t>
            </w:r>
          </w:p>
        </w:tc>
        <w:tc>
          <w:tcPr>
            <w:tcW w:w="1307" w:type="dxa"/>
            <w:vMerge w:val="restart"/>
            <w:tcBorders>
              <w:top w:val="single" w:sz="4" w:space="0" w:color="000000"/>
              <w:left w:val="single" w:sz="6" w:space="0" w:color="000000"/>
              <w:bottom w:val="single" w:sz="4" w:space="0" w:color="000000"/>
              <w:right w:val="single" w:sz="6" w:space="0" w:color="000000"/>
            </w:tcBorders>
          </w:tcPr>
          <w:p w14:paraId="2687C476" w14:textId="77777777" w:rsidR="000B3C5C" w:rsidRDefault="00ED192D">
            <w:pPr>
              <w:spacing w:after="0" w:line="259" w:lineRule="auto"/>
              <w:ind w:left="66" w:firstLine="0"/>
              <w:jc w:val="center"/>
            </w:pPr>
            <w:r>
              <w:rPr>
                <w:rFonts w:ascii="Arial" w:eastAsia="Arial" w:hAnsi="Arial" w:cs="Arial"/>
                <w:b/>
                <w:sz w:val="18"/>
              </w:rPr>
              <w:t xml:space="preserve">End of </w:t>
            </w:r>
          </w:p>
          <w:p w14:paraId="4188A5C7" w14:textId="77777777" w:rsidR="000B3C5C" w:rsidRDefault="00ED192D">
            <w:pPr>
              <w:spacing w:after="0" w:line="259" w:lineRule="auto"/>
              <w:ind w:left="65" w:firstLine="0"/>
              <w:jc w:val="center"/>
            </w:pPr>
            <w:r>
              <w:rPr>
                <w:rFonts w:ascii="Arial" w:eastAsia="Arial" w:hAnsi="Arial" w:cs="Arial"/>
                <w:b/>
                <w:sz w:val="18"/>
              </w:rPr>
              <w:t xml:space="preserve">Treatment  </w:t>
            </w:r>
          </w:p>
          <w:p w14:paraId="324CA500" w14:textId="77777777" w:rsidR="000B3C5C" w:rsidRDefault="00ED192D">
            <w:pPr>
              <w:spacing w:after="0" w:line="259" w:lineRule="auto"/>
              <w:ind w:left="66" w:firstLine="0"/>
              <w:jc w:val="center"/>
            </w:pPr>
            <w:r>
              <w:rPr>
                <w:rFonts w:ascii="Arial" w:eastAsia="Arial" w:hAnsi="Arial" w:cs="Arial"/>
                <w:b/>
                <w:sz w:val="18"/>
              </w:rPr>
              <w:t xml:space="preserve">(EOT) </w:t>
            </w:r>
          </w:p>
        </w:tc>
        <w:tc>
          <w:tcPr>
            <w:tcW w:w="3918" w:type="dxa"/>
            <w:gridSpan w:val="3"/>
            <w:vMerge w:val="restart"/>
            <w:tcBorders>
              <w:top w:val="single" w:sz="4" w:space="0" w:color="000000"/>
              <w:left w:val="single" w:sz="6" w:space="0" w:color="000000"/>
              <w:bottom w:val="single" w:sz="4" w:space="0" w:color="000000"/>
              <w:right w:val="single" w:sz="6" w:space="0" w:color="000000"/>
            </w:tcBorders>
            <w:vAlign w:val="center"/>
          </w:tcPr>
          <w:p w14:paraId="4162C572" w14:textId="77777777" w:rsidR="000B3C5C" w:rsidRDefault="00ED192D">
            <w:pPr>
              <w:spacing w:after="0" w:line="259" w:lineRule="auto"/>
              <w:ind w:left="68" w:firstLine="0"/>
              <w:jc w:val="center"/>
            </w:pPr>
            <w:r>
              <w:rPr>
                <w:rFonts w:ascii="Arial" w:eastAsia="Arial" w:hAnsi="Arial" w:cs="Arial"/>
                <w:b/>
                <w:sz w:val="18"/>
              </w:rPr>
              <w:t xml:space="preserve">Post Treatment Follow-up Phase </w:t>
            </w:r>
          </w:p>
        </w:tc>
        <w:tc>
          <w:tcPr>
            <w:tcW w:w="1177" w:type="dxa"/>
            <w:tcBorders>
              <w:top w:val="single" w:sz="4" w:space="0" w:color="000000"/>
              <w:left w:val="single" w:sz="6" w:space="0" w:color="000000"/>
              <w:bottom w:val="single" w:sz="4" w:space="0" w:color="000000"/>
              <w:right w:val="single" w:sz="4" w:space="0" w:color="000000"/>
            </w:tcBorders>
          </w:tcPr>
          <w:p w14:paraId="053D7518" w14:textId="77777777" w:rsidR="000B3C5C" w:rsidRDefault="00ED192D">
            <w:pPr>
              <w:spacing w:after="0" w:line="259" w:lineRule="auto"/>
              <w:ind w:left="66" w:firstLine="0"/>
              <w:jc w:val="center"/>
            </w:pPr>
            <w:r>
              <w:rPr>
                <w:rFonts w:ascii="Arial" w:eastAsia="Arial" w:hAnsi="Arial" w:cs="Arial"/>
                <w:b/>
                <w:sz w:val="20"/>
              </w:rPr>
              <w:t xml:space="preserve">Notes </w:t>
            </w:r>
          </w:p>
        </w:tc>
      </w:tr>
      <w:tr w:rsidR="000B3C5C" w14:paraId="1E96347A" w14:textId="77777777">
        <w:trPr>
          <w:trHeight w:val="545"/>
        </w:trPr>
        <w:tc>
          <w:tcPr>
            <w:tcW w:w="0" w:type="auto"/>
            <w:vMerge/>
            <w:tcBorders>
              <w:top w:val="nil"/>
              <w:left w:val="single" w:sz="4" w:space="0" w:color="000000"/>
              <w:bottom w:val="nil"/>
              <w:right w:val="single" w:sz="6" w:space="0" w:color="000000"/>
            </w:tcBorders>
          </w:tcPr>
          <w:p w14:paraId="21519B34" w14:textId="77777777" w:rsidR="000B3C5C" w:rsidRDefault="000B3C5C">
            <w:pPr>
              <w:spacing w:after="160" w:line="259" w:lineRule="auto"/>
              <w:ind w:left="0" w:firstLine="0"/>
            </w:pPr>
          </w:p>
        </w:tc>
        <w:tc>
          <w:tcPr>
            <w:tcW w:w="0" w:type="auto"/>
            <w:gridSpan w:val="2"/>
            <w:vMerge/>
            <w:tcBorders>
              <w:top w:val="nil"/>
              <w:left w:val="single" w:sz="6" w:space="0" w:color="000000"/>
              <w:bottom w:val="nil"/>
              <w:right w:val="single" w:sz="6" w:space="0" w:color="000000"/>
            </w:tcBorders>
          </w:tcPr>
          <w:p w14:paraId="52BBD6A8" w14:textId="77777777" w:rsidR="000B3C5C" w:rsidRDefault="000B3C5C">
            <w:pPr>
              <w:spacing w:after="160" w:line="259" w:lineRule="auto"/>
              <w:ind w:left="0" w:firstLine="0"/>
            </w:pPr>
          </w:p>
        </w:tc>
        <w:tc>
          <w:tcPr>
            <w:tcW w:w="0" w:type="auto"/>
            <w:vMerge/>
            <w:tcBorders>
              <w:top w:val="nil"/>
              <w:left w:val="single" w:sz="6" w:space="0" w:color="000000"/>
              <w:bottom w:val="single" w:sz="4" w:space="0" w:color="000000"/>
              <w:right w:val="nil"/>
            </w:tcBorders>
          </w:tcPr>
          <w:p w14:paraId="0B26D0CA" w14:textId="77777777" w:rsidR="000B3C5C" w:rsidRDefault="000B3C5C">
            <w:pPr>
              <w:spacing w:after="160" w:line="259" w:lineRule="auto"/>
              <w:ind w:left="0" w:firstLine="0"/>
            </w:pPr>
          </w:p>
        </w:tc>
        <w:tc>
          <w:tcPr>
            <w:tcW w:w="0" w:type="auto"/>
            <w:gridSpan w:val="3"/>
            <w:vMerge/>
            <w:tcBorders>
              <w:top w:val="nil"/>
              <w:left w:val="nil"/>
              <w:bottom w:val="single" w:sz="4" w:space="0" w:color="000000"/>
              <w:right w:val="single" w:sz="6" w:space="0" w:color="000000"/>
            </w:tcBorders>
          </w:tcPr>
          <w:p w14:paraId="6B247C1E" w14:textId="77777777" w:rsidR="000B3C5C" w:rsidRDefault="000B3C5C">
            <w:pPr>
              <w:spacing w:after="160" w:line="259" w:lineRule="auto"/>
              <w:ind w:left="0" w:firstLine="0"/>
            </w:pPr>
          </w:p>
        </w:tc>
        <w:tc>
          <w:tcPr>
            <w:tcW w:w="0" w:type="auto"/>
            <w:vMerge/>
            <w:tcBorders>
              <w:top w:val="nil"/>
              <w:left w:val="single" w:sz="6" w:space="0" w:color="000000"/>
              <w:bottom w:val="single" w:sz="4" w:space="0" w:color="000000"/>
              <w:right w:val="single" w:sz="6" w:space="0" w:color="000000"/>
            </w:tcBorders>
          </w:tcPr>
          <w:p w14:paraId="71BA8794" w14:textId="77777777" w:rsidR="000B3C5C" w:rsidRDefault="000B3C5C">
            <w:pPr>
              <w:spacing w:after="160" w:line="259" w:lineRule="auto"/>
              <w:ind w:left="0" w:firstLine="0"/>
            </w:pPr>
          </w:p>
        </w:tc>
        <w:tc>
          <w:tcPr>
            <w:tcW w:w="0" w:type="auto"/>
            <w:gridSpan w:val="3"/>
            <w:vMerge/>
            <w:tcBorders>
              <w:top w:val="nil"/>
              <w:left w:val="single" w:sz="6" w:space="0" w:color="000000"/>
              <w:bottom w:val="single" w:sz="4" w:space="0" w:color="000000"/>
              <w:right w:val="single" w:sz="6" w:space="0" w:color="000000"/>
            </w:tcBorders>
          </w:tcPr>
          <w:p w14:paraId="1BF01C33" w14:textId="77777777" w:rsidR="000B3C5C" w:rsidRDefault="000B3C5C">
            <w:pPr>
              <w:spacing w:after="160" w:line="259" w:lineRule="auto"/>
              <w:ind w:left="0" w:firstLine="0"/>
            </w:pPr>
          </w:p>
        </w:tc>
        <w:tc>
          <w:tcPr>
            <w:tcW w:w="1177" w:type="dxa"/>
            <w:vMerge w:val="restart"/>
            <w:tcBorders>
              <w:top w:val="single" w:sz="4" w:space="0" w:color="000000"/>
              <w:left w:val="single" w:sz="6" w:space="0" w:color="000000"/>
              <w:bottom w:val="single" w:sz="6" w:space="0" w:color="000000"/>
              <w:right w:val="single" w:sz="4" w:space="0" w:color="000000"/>
            </w:tcBorders>
          </w:tcPr>
          <w:p w14:paraId="65768580" w14:textId="77777777" w:rsidR="000B3C5C" w:rsidRDefault="00ED192D">
            <w:pPr>
              <w:spacing w:after="108" w:line="242" w:lineRule="auto"/>
              <w:ind w:left="354" w:hanging="245"/>
            </w:pPr>
            <w:r>
              <w:rPr>
                <w:rFonts w:ascii="Arial" w:eastAsia="Arial" w:hAnsi="Arial" w:cs="Arial"/>
                <w:i/>
                <w:sz w:val="18"/>
              </w:rPr>
              <w:t xml:space="preserve">a </w:t>
            </w:r>
            <w:r>
              <w:rPr>
                <w:rFonts w:ascii="Arial" w:eastAsia="Arial" w:hAnsi="Arial" w:cs="Arial"/>
                <w:sz w:val="18"/>
              </w:rPr>
              <w:t xml:space="preserve"> A cycle is 21 days </w:t>
            </w:r>
          </w:p>
          <w:p w14:paraId="0EEC6974" w14:textId="77777777" w:rsidR="000B3C5C" w:rsidRDefault="00ED192D">
            <w:pPr>
              <w:spacing w:after="0" w:line="259" w:lineRule="auto"/>
              <w:ind w:left="109" w:firstLine="0"/>
            </w:pPr>
            <w:r>
              <w:rPr>
                <w:rFonts w:ascii="Arial" w:eastAsia="Arial" w:hAnsi="Arial" w:cs="Arial"/>
                <w:sz w:val="16"/>
              </w:rPr>
              <w:t xml:space="preserve"> </w:t>
            </w:r>
          </w:p>
        </w:tc>
      </w:tr>
      <w:tr w:rsidR="000B3C5C" w14:paraId="7BA9100A" w14:textId="77777777">
        <w:trPr>
          <w:trHeight w:val="544"/>
        </w:trPr>
        <w:tc>
          <w:tcPr>
            <w:tcW w:w="0" w:type="auto"/>
            <w:vMerge/>
            <w:tcBorders>
              <w:top w:val="nil"/>
              <w:left w:val="single" w:sz="4" w:space="0" w:color="000000"/>
              <w:bottom w:val="nil"/>
              <w:right w:val="single" w:sz="6" w:space="0" w:color="000000"/>
            </w:tcBorders>
          </w:tcPr>
          <w:p w14:paraId="0367DBAE" w14:textId="77777777" w:rsidR="000B3C5C" w:rsidRDefault="000B3C5C">
            <w:pPr>
              <w:spacing w:after="160" w:line="259" w:lineRule="auto"/>
              <w:ind w:left="0" w:firstLine="0"/>
            </w:pPr>
          </w:p>
        </w:tc>
        <w:tc>
          <w:tcPr>
            <w:tcW w:w="0" w:type="auto"/>
            <w:gridSpan w:val="2"/>
            <w:vMerge/>
            <w:tcBorders>
              <w:top w:val="nil"/>
              <w:left w:val="single" w:sz="6" w:space="0" w:color="000000"/>
              <w:bottom w:val="single" w:sz="4" w:space="0" w:color="000000"/>
              <w:right w:val="single" w:sz="6" w:space="0" w:color="000000"/>
            </w:tcBorders>
          </w:tcPr>
          <w:p w14:paraId="42634DE5" w14:textId="77777777" w:rsidR="000B3C5C" w:rsidRDefault="000B3C5C">
            <w:pPr>
              <w:spacing w:after="160" w:line="259" w:lineRule="auto"/>
              <w:ind w:left="0" w:firstLine="0"/>
            </w:pPr>
          </w:p>
        </w:tc>
        <w:tc>
          <w:tcPr>
            <w:tcW w:w="680" w:type="dxa"/>
            <w:tcBorders>
              <w:top w:val="single" w:sz="4" w:space="0" w:color="000000"/>
              <w:left w:val="single" w:sz="6" w:space="0" w:color="000000"/>
              <w:bottom w:val="single" w:sz="6" w:space="0" w:color="000000"/>
              <w:right w:val="nil"/>
            </w:tcBorders>
          </w:tcPr>
          <w:p w14:paraId="76B0200E" w14:textId="77777777" w:rsidR="000B3C5C" w:rsidRDefault="000B3C5C">
            <w:pPr>
              <w:spacing w:after="160" w:line="259" w:lineRule="auto"/>
              <w:ind w:left="0" w:firstLine="0"/>
            </w:pPr>
          </w:p>
        </w:tc>
        <w:tc>
          <w:tcPr>
            <w:tcW w:w="1183" w:type="dxa"/>
            <w:gridSpan w:val="2"/>
            <w:tcBorders>
              <w:top w:val="single" w:sz="4" w:space="0" w:color="000000"/>
              <w:left w:val="nil"/>
              <w:bottom w:val="single" w:sz="6" w:space="0" w:color="000000"/>
              <w:right w:val="single" w:sz="6" w:space="0" w:color="000000"/>
            </w:tcBorders>
          </w:tcPr>
          <w:p w14:paraId="5DCABF6E" w14:textId="77777777" w:rsidR="000B3C5C" w:rsidRDefault="00ED192D">
            <w:pPr>
              <w:spacing w:after="0" w:line="259" w:lineRule="auto"/>
              <w:ind w:left="-65" w:firstLine="0"/>
            </w:pPr>
            <w:r>
              <w:rPr>
                <w:rFonts w:ascii="Arial" w:eastAsia="Arial" w:hAnsi="Arial" w:cs="Arial"/>
                <w:b/>
                <w:sz w:val="18"/>
              </w:rPr>
              <w:t xml:space="preserve">Cycle 1 </w:t>
            </w:r>
          </w:p>
        </w:tc>
        <w:tc>
          <w:tcPr>
            <w:tcW w:w="3168" w:type="dxa"/>
            <w:tcBorders>
              <w:top w:val="single" w:sz="4" w:space="0" w:color="000000"/>
              <w:left w:val="single" w:sz="6" w:space="0" w:color="000000"/>
              <w:bottom w:val="single" w:sz="4" w:space="0" w:color="000000"/>
              <w:right w:val="single" w:sz="6" w:space="0" w:color="000000"/>
            </w:tcBorders>
          </w:tcPr>
          <w:p w14:paraId="461ED306" w14:textId="77777777" w:rsidR="000B3C5C" w:rsidRDefault="00ED192D">
            <w:pPr>
              <w:spacing w:after="0" w:line="259" w:lineRule="auto"/>
              <w:ind w:left="61" w:firstLine="0"/>
              <w:jc w:val="center"/>
            </w:pPr>
            <w:r>
              <w:rPr>
                <w:rFonts w:ascii="Arial" w:eastAsia="Arial" w:hAnsi="Arial" w:cs="Arial"/>
                <w:b/>
                <w:sz w:val="18"/>
              </w:rPr>
              <w:t xml:space="preserve">Cycle 2 and Beyond </w:t>
            </w:r>
          </w:p>
        </w:tc>
        <w:tc>
          <w:tcPr>
            <w:tcW w:w="1307" w:type="dxa"/>
            <w:tcBorders>
              <w:top w:val="single" w:sz="4" w:space="0" w:color="000000"/>
              <w:left w:val="single" w:sz="6" w:space="0" w:color="000000"/>
              <w:bottom w:val="single" w:sz="4" w:space="0" w:color="000000"/>
              <w:right w:val="single" w:sz="6" w:space="0" w:color="000000"/>
            </w:tcBorders>
          </w:tcPr>
          <w:p w14:paraId="279274E2" w14:textId="77777777" w:rsidR="000B3C5C" w:rsidRDefault="00ED192D">
            <w:pPr>
              <w:spacing w:after="0" w:line="259" w:lineRule="auto"/>
              <w:ind w:left="116" w:firstLine="0"/>
              <w:jc w:val="center"/>
            </w:pPr>
            <w:r>
              <w:rPr>
                <w:rFonts w:ascii="Arial" w:eastAsia="Arial" w:hAnsi="Arial" w:cs="Arial"/>
                <w:b/>
                <w:sz w:val="18"/>
              </w:rPr>
              <w:t xml:space="preserve"> </w:t>
            </w:r>
          </w:p>
        </w:tc>
        <w:tc>
          <w:tcPr>
            <w:tcW w:w="2509" w:type="dxa"/>
            <w:gridSpan w:val="2"/>
            <w:tcBorders>
              <w:top w:val="single" w:sz="4" w:space="0" w:color="000000"/>
              <w:left w:val="single" w:sz="6" w:space="0" w:color="000000"/>
              <w:bottom w:val="single" w:sz="4" w:space="0" w:color="000000"/>
              <w:right w:val="single" w:sz="6" w:space="0" w:color="000000"/>
            </w:tcBorders>
          </w:tcPr>
          <w:p w14:paraId="389AC490" w14:textId="77777777" w:rsidR="000B3C5C" w:rsidRDefault="00ED192D">
            <w:pPr>
              <w:spacing w:after="0" w:line="259" w:lineRule="auto"/>
              <w:ind w:left="67" w:firstLine="0"/>
              <w:jc w:val="center"/>
            </w:pPr>
            <w:r>
              <w:rPr>
                <w:rFonts w:ascii="Arial" w:eastAsia="Arial" w:hAnsi="Arial" w:cs="Arial"/>
                <w:b/>
                <w:sz w:val="18"/>
              </w:rPr>
              <w:t xml:space="preserve">Safety follow-up Period </w:t>
            </w:r>
          </w:p>
        </w:tc>
        <w:tc>
          <w:tcPr>
            <w:tcW w:w="1409" w:type="dxa"/>
            <w:tcBorders>
              <w:top w:val="single" w:sz="4" w:space="0" w:color="000000"/>
              <w:left w:val="single" w:sz="6" w:space="0" w:color="000000"/>
              <w:bottom w:val="single" w:sz="4" w:space="0" w:color="000000"/>
              <w:right w:val="single" w:sz="6" w:space="0" w:color="000000"/>
            </w:tcBorders>
          </w:tcPr>
          <w:p w14:paraId="2473A693" w14:textId="77777777" w:rsidR="000B3C5C" w:rsidRDefault="00ED192D">
            <w:pPr>
              <w:spacing w:after="0" w:line="259" w:lineRule="auto"/>
              <w:ind w:left="0" w:firstLine="0"/>
              <w:jc w:val="center"/>
            </w:pPr>
            <w:r>
              <w:rPr>
                <w:rFonts w:ascii="Arial" w:eastAsia="Arial" w:hAnsi="Arial" w:cs="Arial"/>
                <w:b/>
                <w:sz w:val="18"/>
              </w:rPr>
              <w:t xml:space="preserve">Survival follow-up </w:t>
            </w:r>
          </w:p>
        </w:tc>
        <w:tc>
          <w:tcPr>
            <w:tcW w:w="0" w:type="auto"/>
            <w:vMerge/>
            <w:tcBorders>
              <w:top w:val="nil"/>
              <w:left w:val="single" w:sz="6" w:space="0" w:color="000000"/>
              <w:bottom w:val="nil"/>
              <w:right w:val="single" w:sz="4" w:space="0" w:color="000000"/>
            </w:tcBorders>
          </w:tcPr>
          <w:p w14:paraId="03CA1C37" w14:textId="77777777" w:rsidR="000B3C5C" w:rsidRDefault="000B3C5C">
            <w:pPr>
              <w:spacing w:after="160" w:line="259" w:lineRule="auto"/>
              <w:ind w:left="0" w:firstLine="0"/>
            </w:pPr>
          </w:p>
        </w:tc>
      </w:tr>
      <w:tr w:rsidR="000B3C5C" w14:paraId="74A215CB" w14:textId="77777777">
        <w:trPr>
          <w:trHeight w:val="1234"/>
        </w:trPr>
        <w:tc>
          <w:tcPr>
            <w:tcW w:w="0" w:type="auto"/>
            <w:vMerge/>
            <w:tcBorders>
              <w:top w:val="nil"/>
              <w:left w:val="single" w:sz="4" w:space="0" w:color="000000"/>
              <w:bottom w:val="single" w:sz="6" w:space="0" w:color="000000"/>
              <w:right w:val="single" w:sz="6" w:space="0" w:color="000000"/>
            </w:tcBorders>
          </w:tcPr>
          <w:p w14:paraId="1FD95A54" w14:textId="77777777" w:rsidR="000B3C5C" w:rsidRDefault="000B3C5C">
            <w:pPr>
              <w:spacing w:after="160" w:line="259" w:lineRule="auto"/>
              <w:ind w:left="0" w:firstLine="0"/>
            </w:pPr>
          </w:p>
        </w:tc>
        <w:tc>
          <w:tcPr>
            <w:tcW w:w="600" w:type="dxa"/>
            <w:tcBorders>
              <w:top w:val="single" w:sz="4" w:space="0" w:color="000000"/>
              <w:left w:val="single" w:sz="6" w:space="0" w:color="000000"/>
              <w:bottom w:val="single" w:sz="6" w:space="0" w:color="000000"/>
              <w:right w:val="single" w:sz="6" w:space="0" w:color="000000"/>
            </w:tcBorders>
          </w:tcPr>
          <w:p w14:paraId="706B0461" w14:textId="77777777" w:rsidR="000B3C5C" w:rsidRDefault="00ED192D">
            <w:pPr>
              <w:spacing w:after="59" w:line="241" w:lineRule="auto"/>
              <w:ind w:left="110" w:right="32" w:firstLine="0"/>
            </w:pPr>
            <w:r>
              <w:rPr>
                <w:rFonts w:ascii="Arial" w:eastAsia="Arial" w:hAnsi="Arial" w:cs="Arial"/>
                <w:b/>
                <w:sz w:val="18"/>
              </w:rPr>
              <w:t xml:space="preserve">D28 to </w:t>
            </w:r>
          </w:p>
          <w:p w14:paraId="54940276" w14:textId="77777777" w:rsidR="000B3C5C" w:rsidRDefault="00ED192D">
            <w:pPr>
              <w:spacing w:after="0" w:line="259" w:lineRule="auto"/>
              <w:ind w:left="110" w:right="32" w:firstLine="0"/>
            </w:pPr>
            <w:r>
              <w:rPr>
                <w:rFonts w:ascii="Arial" w:eastAsia="Arial" w:hAnsi="Arial" w:cs="Arial"/>
                <w:b/>
                <w:sz w:val="18"/>
              </w:rPr>
              <w:t xml:space="preserve">D15 </w:t>
            </w:r>
          </w:p>
        </w:tc>
        <w:tc>
          <w:tcPr>
            <w:tcW w:w="729" w:type="dxa"/>
            <w:tcBorders>
              <w:top w:val="single" w:sz="4" w:space="0" w:color="000000"/>
              <w:left w:val="single" w:sz="6" w:space="0" w:color="000000"/>
              <w:bottom w:val="single" w:sz="6" w:space="0" w:color="000000"/>
              <w:right w:val="single" w:sz="6" w:space="0" w:color="000000"/>
            </w:tcBorders>
          </w:tcPr>
          <w:p w14:paraId="4D2F410F" w14:textId="77777777" w:rsidR="000B3C5C" w:rsidRDefault="00ED192D">
            <w:pPr>
              <w:spacing w:after="0" w:line="259" w:lineRule="auto"/>
              <w:ind w:left="108" w:right="43" w:firstLine="0"/>
            </w:pPr>
            <w:r>
              <w:rPr>
                <w:rFonts w:ascii="Arial" w:eastAsia="Arial" w:hAnsi="Arial" w:cs="Arial"/>
                <w:b/>
                <w:sz w:val="18"/>
              </w:rPr>
              <w:t xml:space="preserve">D-14 to D-1 </w:t>
            </w:r>
          </w:p>
        </w:tc>
        <w:tc>
          <w:tcPr>
            <w:tcW w:w="680" w:type="dxa"/>
            <w:tcBorders>
              <w:top w:val="single" w:sz="6" w:space="0" w:color="000000"/>
              <w:left w:val="single" w:sz="6" w:space="0" w:color="000000"/>
              <w:bottom w:val="single" w:sz="6" w:space="0" w:color="000000"/>
              <w:right w:val="single" w:sz="6" w:space="0" w:color="000000"/>
            </w:tcBorders>
          </w:tcPr>
          <w:p w14:paraId="28DFAE46" w14:textId="77777777" w:rsidR="000B3C5C" w:rsidRDefault="00ED192D">
            <w:pPr>
              <w:spacing w:after="0" w:line="259" w:lineRule="auto"/>
              <w:ind w:left="106" w:firstLine="0"/>
            </w:pPr>
            <w:r>
              <w:rPr>
                <w:rFonts w:ascii="Arial" w:eastAsia="Arial" w:hAnsi="Arial" w:cs="Arial"/>
                <w:b/>
                <w:sz w:val="18"/>
              </w:rPr>
              <w:t>D1</w:t>
            </w:r>
            <w:r>
              <w:rPr>
                <w:rFonts w:ascii="Arial" w:eastAsia="Arial" w:hAnsi="Arial" w:cs="Arial"/>
                <w:b/>
                <w:sz w:val="20"/>
              </w:rPr>
              <w:t xml:space="preserve"> </w:t>
            </w:r>
          </w:p>
          <w:p w14:paraId="282D7465" w14:textId="77777777" w:rsidR="000B3C5C" w:rsidRDefault="00ED192D">
            <w:pPr>
              <w:spacing w:after="0" w:line="259" w:lineRule="auto"/>
              <w:ind w:left="106" w:firstLine="0"/>
            </w:pPr>
            <w:r>
              <w:rPr>
                <w:rFonts w:ascii="Arial" w:eastAsia="Arial" w:hAnsi="Arial" w:cs="Arial"/>
                <w:b/>
                <w:sz w:val="20"/>
              </w:rPr>
              <w:t>(</w:t>
            </w:r>
            <w:r>
              <w:rPr>
                <w:rFonts w:ascii="Arial" w:eastAsia="Arial" w:hAnsi="Arial" w:cs="Arial"/>
                <w:b/>
                <w:sz w:val="18"/>
              </w:rPr>
              <w:t xml:space="preserve">±1) </w:t>
            </w:r>
          </w:p>
        </w:tc>
        <w:tc>
          <w:tcPr>
            <w:tcW w:w="595" w:type="dxa"/>
            <w:tcBorders>
              <w:top w:val="single" w:sz="6" w:space="0" w:color="000000"/>
              <w:left w:val="single" w:sz="6" w:space="0" w:color="000000"/>
              <w:bottom w:val="single" w:sz="6" w:space="0" w:color="000000"/>
              <w:right w:val="single" w:sz="6" w:space="0" w:color="000000"/>
            </w:tcBorders>
          </w:tcPr>
          <w:p w14:paraId="72D70CAC" w14:textId="77777777" w:rsidR="000B3C5C" w:rsidRDefault="00ED192D">
            <w:pPr>
              <w:spacing w:after="0" w:line="259" w:lineRule="auto"/>
              <w:ind w:left="108" w:firstLine="0"/>
            </w:pPr>
            <w:r>
              <w:rPr>
                <w:rFonts w:ascii="Arial" w:eastAsia="Arial" w:hAnsi="Arial" w:cs="Arial"/>
                <w:b/>
                <w:sz w:val="18"/>
              </w:rPr>
              <w:t xml:space="preserve">D8 </w:t>
            </w:r>
          </w:p>
          <w:p w14:paraId="3F0E155A" w14:textId="77777777" w:rsidR="000B3C5C" w:rsidRDefault="00ED192D">
            <w:pPr>
              <w:spacing w:after="0" w:line="259" w:lineRule="auto"/>
              <w:ind w:left="108" w:firstLine="0"/>
            </w:pPr>
            <w:r>
              <w:rPr>
                <w:rFonts w:ascii="Arial" w:eastAsia="Arial" w:hAnsi="Arial" w:cs="Arial"/>
                <w:b/>
                <w:sz w:val="18"/>
              </w:rPr>
              <w:t xml:space="preserve">(± 1) </w:t>
            </w:r>
          </w:p>
        </w:tc>
        <w:tc>
          <w:tcPr>
            <w:tcW w:w="588" w:type="dxa"/>
            <w:tcBorders>
              <w:top w:val="single" w:sz="6" w:space="0" w:color="000000"/>
              <w:left w:val="single" w:sz="6" w:space="0" w:color="000000"/>
              <w:bottom w:val="single" w:sz="6" w:space="0" w:color="000000"/>
              <w:right w:val="single" w:sz="6" w:space="0" w:color="000000"/>
            </w:tcBorders>
          </w:tcPr>
          <w:p w14:paraId="1A55E2B5" w14:textId="77777777" w:rsidR="000B3C5C" w:rsidRDefault="00ED192D">
            <w:pPr>
              <w:spacing w:after="45" w:line="259" w:lineRule="auto"/>
              <w:ind w:left="108" w:firstLine="0"/>
            </w:pPr>
            <w:r>
              <w:rPr>
                <w:rFonts w:ascii="Arial" w:eastAsia="Arial" w:hAnsi="Arial" w:cs="Arial"/>
                <w:b/>
                <w:sz w:val="18"/>
              </w:rPr>
              <w:t xml:space="preserve">D15 </w:t>
            </w:r>
          </w:p>
          <w:p w14:paraId="6BE6F864" w14:textId="77777777" w:rsidR="000B3C5C" w:rsidRDefault="00ED192D">
            <w:pPr>
              <w:spacing w:after="0" w:line="259" w:lineRule="auto"/>
              <w:ind w:left="108" w:firstLine="0"/>
            </w:pPr>
            <w:r>
              <w:rPr>
                <w:rFonts w:ascii="Arial" w:eastAsia="Arial" w:hAnsi="Arial" w:cs="Arial"/>
                <w:b/>
                <w:sz w:val="18"/>
              </w:rPr>
              <w:t>(±1</w:t>
            </w:r>
            <w:r>
              <w:rPr>
                <w:rFonts w:ascii="Arial" w:eastAsia="Arial" w:hAnsi="Arial" w:cs="Arial"/>
                <w:b/>
                <w:sz w:val="18"/>
              </w:rPr>
              <w:t xml:space="preserve">) </w:t>
            </w:r>
          </w:p>
        </w:tc>
        <w:tc>
          <w:tcPr>
            <w:tcW w:w="3168" w:type="dxa"/>
            <w:tcBorders>
              <w:top w:val="single" w:sz="4" w:space="0" w:color="000000"/>
              <w:left w:val="single" w:sz="6" w:space="0" w:color="000000"/>
              <w:bottom w:val="single" w:sz="6" w:space="0" w:color="000000"/>
              <w:right w:val="single" w:sz="6" w:space="0" w:color="000000"/>
            </w:tcBorders>
          </w:tcPr>
          <w:p w14:paraId="16D40ED7" w14:textId="77777777" w:rsidR="000B3C5C" w:rsidRDefault="00ED192D">
            <w:pPr>
              <w:spacing w:after="0" w:line="259" w:lineRule="auto"/>
              <w:ind w:left="70" w:firstLine="0"/>
              <w:jc w:val="center"/>
            </w:pPr>
            <w:r>
              <w:rPr>
                <w:rFonts w:ascii="Arial" w:eastAsia="Arial" w:hAnsi="Arial" w:cs="Arial"/>
                <w:b/>
                <w:sz w:val="18"/>
              </w:rPr>
              <w:t xml:space="preserve">D1 (± 2) </w:t>
            </w:r>
          </w:p>
        </w:tc>
        <w:tc>
          <w:tcPr>
            <w:tcW w:w="1307" w:type="dxa"/>
            <w:tcBorders>
              <w:top w:val="single" w:sz="4" w:space="0" w:color="000000"/>
              <w:left w:val="single" w:sz="6" w:space="0" w:color="000000"/>
              <w:bottom w:val="single" w:sz="6" w:space="0" w:color="000000"/>
              <w:right w:val="single" w:sz="6" w:space="0" w:color="000000"/>
            </w:tcBorders>
          </w:tcPr>
          <w:p w14:paraId="604A00FB" w14:textId="77777777" w:rsidR="000B3C5C" w:rsidRDefault="00ED192D">
            <w:pPr>
              <w:spacing w:after="0" w:line="242" w:lineRule="auto"/>
              <w:ind w:left="0" w:firstLine="0"/>
              <w:jc w:val="center"/>
            </w:pPr>
            <w:r>
              <w:rPr>
                <w:rFonts w:ascii="Arial" w:eastAsia="Arial" w:hAnsi="Arial" w:cs="Arial"/>
                <w:b/>
                <w:sz w:val="18"/>
              </w:rPr>
              <w:t xml:space="preserve">30 (±7) days after last </w:t>
            </w:r>
          </w:p>
          <w:p w14:paraId="121483D7" w14:textId="77777777" w:rsidR="000B3C5C" w:rsidRDefault="00ED192D">
            <w:pPr>
              <w:spacing w:after="0" w:line="259" w:lineRule="auto"/>
              <w:ind w:left="151" w:firstLine="0"/>
            </w:pPr>
            <w:r>
              <w:rPr>
                <w:rFonts w:ascii="Arial" w:eastAsia="Arial" w:hAnsi="Arial" w:cs="Arial"/>
                <w:b/>
                <w:sz w:val="18"/>
              </w:rPr>
              <w:t xml:space="preserve">IMPs admin </w:t>
            </w:r>
          </w:p>
        </w:tc>
        <w:tc>
          <w:tcPr>
            <w:tcW w:w="1352" w:type="dxa"/>
            <w:tcBorders>
              <w:top w:val="single" w:sz="4" w:space="0" w:color="000000"/>
              <w:left w:val="single" w:sz="6" w:space="0" w:color="000000"/>
              <w:bottom w:val="single" w:sz="6" w:space="0" w:color="000000"/>
              <w:right w:val="single" w:sz="6" w:space="0" w:color="000000"/>
            </w:tcBorders>
          </w:tcPr>
          <w:p w14:paraId="38127CBD" w14:textId="77777777" w:rsidR="000B3C5C" w:rsidRDefault="00ED192D">
            <w:pPr>
              <w:spacing w:after="0" w:line="242" w:lineRule="auto"/>
              <w:ind w:left="66" w:firstLine="0"/>
              <w:jc w:val="center"/>
            </w:pPr>
            <w:r>
              <w:rPr>
                <w:rFonts w:ascii="Arial" w:eastAsia="Arial" w:hAnsi="Arial" w:cs="Arial"/>
                <w:b/>
                <w:sz w:val="18"/>
              </w:rPr>
              <w:t xml:space="preserve">At 60 (±7) days after </w:t>
            </w:r>
          </w:p>
          <w:p w14:paraId="384829E4" w14:textId="77777777" w:rsidR="000B3C5C" w:rsidRDefault="00ED192D">
            <w:pPr>
              <w:spacing w:after="0" w:line="259" w:lineRule="auto"/>
              <w:ind w:left="16" w:firstLine="0"/>
              <w:jc w:val="center"/>
            </w:pPr>
            <w:r>
              <w:rPr>
                <w:rFonts w:ascii="Arial" w:eastAsia="Arial" w:hAnsi="Arial" w:cs="Arial"/>
                <w:b/>
                <w:sz w:val="18"/>
              </w:rPr>
              <w:t xml:space="preserve">last IMPs admin </w:t>
            </w:r>
          </w:p>
        </w:tc>
        <w:tc>
          <w:tcPr>
            <w:tcW w:w="1157" w:type="dxa"/>
            <w:tcBorders>
              <w:top w:val="single" w:sz="4" w:space="0" w:color="000000"/>
              <w:left w:val="single" w:sz="6" w:space="0" w:color="000000"/>
              <w:bottom w:val="single" w:sz="6" w:space="0" w:color="000000"/>
              <w:right w:val="single" w:sz="6" w:space="0" w:color="000000"/>
            </w:tcBorders>
          </w:tcPr>
          <w:p w14:paraId="437BD164" w14:textId="77777777" w:rsidR="000B3C5C" w:rsidRDefault="00ED192D">
            <w:pPr>
              <w:spacing w:after="0" w:line="242" w:lineRule="auto"/>
              <w:ind w:left="0" w:firstLine="0"/>
              <w:jc w:val="center"/>
            </w:pPr>
            <w:r>
              <w:rPr>
                <w:rFonts w:ascii="Arial" w:eastAsia="Arial" w:hAnsi="Arial" w:cs="Arial"/>
                <w:b/>
                <w:sz w:val="18"/>
              </w:rPr>
              <w:t xml:space="preserve">At 90 (±7) days after </w:t>
            </w:r>
          </w:p>
          <w:p w14:paraId="001CC0B3" w14:textId="77777777" w:rsidR="000B3C5C" w:rsidRDefault="00ED192D">
            <w:pPr>
              <w:spacing w:after="0" w:line="259" w:lineRule="auto"/>
              <w:ind w:left="0" w:firstLine="0"/>
              <w:jc w:val="center"/>
            </w:pPr>
            <w:r>
              <w:rPr>
                <w:rFonts w:ascii="Arial" w:eastAsia="Arial" w:hAnsi="Arial" w:cs="Arial"/>
                <w:b/>
                <w:sz w:val="18"/>
              </w:rPr>
              <w:t xml:space="preserve">last IMPs admin </w:t>
            </w:r>
          </w:p>
        </w:tc>
        <w:tc>
          <w:tcPr>
            <w:tcW w:w="1409" w:type="dxa"/>
            <w:tcBorders>
              <w:top w:val="single" w:sz="4" w:space="0" w:color="000000"/>
              <w:left w:val="single" w:sz="6" w:space="0" w:color="000000"/>
              <w:bottom w:val="single" w:sz="6" w:space="0" w:color="000000"/>
              <w:right w:val="single" w:sz="6" w:space="0" w:color="000000"/>
            </w:tcBorders>
            <w:vAlign w:val="center"/>
          </w:tcPr>
          <w:p w14:paraId="6A193E8F" w14:textId="77777777" w:rsidR="000B3C5C" w:rsidRDefault="00ED192D">
            <w:pPr>
              <w:spacing w:after="0" w:line="242" w:lineRule="auto"/>
              <w:ind w:left="289" w:firstLine="46"/>
              <w:jc w:val="both"/>
            </w:pPr>
            <w:r>
              <w:rPr>
                <w:rFonts w:ascii="Arial" w:eastAsia="Arial" w:hAnsi="Arial" w:cs="Arial"/>
                <w:b/>
                <w:sz w:val="18"/>
              </w:rPr>
              <w:t xml:space="preserve">Every 90 days  (±7)  </w:t>
            </w:r>
          </w:p>
          <w:p w14:paraId="6581E23E" w14:textId="77777777" w:rsidR="000B3C5C" w:rsidRDefault="00ED192D">
            <w:pPr>
              <w:spacing w:after="0" w:line="259" w:lineRule="auto"/>
              <w:ind w:left="66" w:firstLine="0"/>
              <w:jc w:val="center"/>
            </w:pPr>
            <w:r>
              <w:rPr>
                <w:rFonts w:ascii="Arial" w:eastAsia="Arial" w:hAnsi="Arial" w:cs="Arial"/>
                <w:b/>
                <w:sz w:val="18"/>
              </w:rPr>
              <w:t xml:space="preserve">after last safety follow-up </w:t>
            </w:r>
          </w:p>
        </w:tc>
        <w:tc>
          <w:tcPr>
            <w:tcW w:w="0" w:type="auto"/>
            <w:vMerge/>
            <w:tcBorders>
              <w:top w:val="nil"/>
              <w:left w:val="single" w:sz="6" w:space="0" w:color="000000"/>
              <w:bottom w:val="single" w:sz="6" w:space="0" w:color="000000"/>
              <w:right w:val="single" w:sz="4" w:space="0" w:color="000000"/>
            </w:tcBorders>
          </w:tcPr>
          <w:p w14:paraId="42D15B23" w14:textId="77777777" w:rsidR="000B3C5C" w:rsidRDefault="000B3C5C">
            <w:pPr>
              <w:spacing w:after="160" w:line="259" w:lineRule="auto"/>
              <w:ind w:left="0" w:firstLine="0"/>
            </w:pPr>
          </w:p>
        </w:tc>
      </w:tr>
      <w:tr w:rsidR="000B3C5C" w14:paraId="4170AB99" w14:textId="77777777">
        <w:trPr>
          <w:trHeight w:val="1234"/>
        </w:trPr>
        <w:tc>
          <w:tcPr>
            <w:tcW w:w="1575" w:type="dxa"/>
            <w:tcBorders>
              <w:top w:val="single" w:sz="6" w:space="0" w:color="000000"/>
              <w:left w:val="single" w:sz="4" w:space="0" w:color="000000"/>
              <w:bottom w:val="single" w:sz="6" w:space="0" w:color="000000"/>
              <w:right w:val="single" w:sz="6" w:space="0" w:color="000000"/>
            </w:tcBorders>
            <w:vAlign w:val="center"/>
          </w:tcPr>
          <w:p w14:paraId="092B02E9" w14:textId="77777777" w:rsidR="000B3C5C" w:rsidRDefault="00ED192D">
            <w:pPr>
              <w:spacing w:after="0" w:line="259" w:lineRule="auto"/>
              <w:ind w:left="108" w:firstLine="0"/>
            </w:pPr>
            <w:r>
              <w:rPr>
                <w:rFonts w:ascii="Arial" w:eastAsia="Arial" w:hAnsi="Arial" w:cs="Arial"/>
                <w:sz w:val="16"/>
              </w:rPr>
              <w:t xml:space="preserve">Informed consent/ Inclusion and exclusion criteria </w:t>
            </w:r>
          </w:p>
        </w:tc>
        <w:tc>
          <w:tcPr>
            <w:tcW w:w="1329" w:type="dxa"/>
            <w:gridSpan w:val="2"/>
            <w:tcBorders>
              <w:top w:val="single" w:sz="6" w:space="0" w:color="000000"/>
              <w:left w:val="single" w:sz="6" w:space="0" w:color="000000"/>
              <w:bottom w:val="single" w:sz="6" w:space="0" w:color="000000"/>
              <w:right w:val="single" w:sz="6" w:space="0" w:color="000000"/>
            </w:tcBorders>
            <w:vAlign w:val="center"/>
          </w:tcPr>
          <w:p w14:paraId="521B695A" w14:textId="77777777" w:rsidR="000B3C5C" w:rsidRDefault="00ED192D">
            <w:pPr>
              <w:spacing w:after="0" w:line="259" w:lineRule="auto"/>
              <w:ind w:left="70" w:firstLine="0"/>
              <w:jc w:val="center"/>
            </w:pPr>
            <w:r>
              <w:rPr>
                <w:rFonts w:ascii="Arial" w:eastAsia="Arial" w:hAnsi="Arial" w:cs="Arial"/>
                <w:sz w:val="16"/>
              </w:rPr>
              <w:t xml:space="preserve">X </w:t>
            </w:r>
          </w:p>
        </w:tc>
        <w:tc>
          <w:tcPr>
            <w:tcW w:w="680"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00A59131" w14:textId="77777777" w:rsidR="000B3C5C" w:rsidRDefault="00ED192D">
            <w:pPr>
              <w:spacing w:after="0" w:line="259" w:lineRule="auto"/>
              <w:ind w:left="102" w:firstLine="0"/>
              <w:jc w:val="center"/>
            </w:pPr>
            <w:r>
              <w:rPr>
                <w:rFonts w:ascii="Arial" w:eastAsia="Arial" w:hAnsi="Arial" w:cs="Arial"/>
                <w:sz w:val="16"/>
              </w:rPr>
              <w:t xml:space="preserve"> </w:t>
            </w:r>
          </w:p>
        </w:tc>
        <w:tc>
          <w:tcPr>
            <w:tcW w:w="59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6ABFC310" w14:textId="77777777" w:rsidR="000B3C5C" w:rsidRDefault="00ED192D">
            <w:pPr>
              <w:spacing w:after="0" w:line="259" w:lineRule="auto"/>
              <w:ind w:left="99"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59AB3AD8" w14:textId="77777777" w:rsidR="000B3C5C" w:rsidRDefault="00ED192D">
            <w:pPr>
              <w:spacing w:after="0" w:line="259" w:lineRule="auto"/>
              <w:ind w:left="102" w:firstLine="0"/>
              <w:jc w:val="center"/>
            </w:pPr>
            <w:r>
              <w:rPr>
                <w:rFonts w:ascii="Arial" w:eastAsia="Arial" w:hAnsi="Arial" w:cs="Arial"/>
                <w:sz w:val="16"/>
              </w:rPr>
              <w:t xml:space="preserve"> </w:t>
            </w:r>
          </w:p>
        </w:tc>
        <w:tc>
          <w:tcPr>
            <w:tcW w:w="316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18FD4358" w14:textId="77777777" w:rsidR="000B3C5C" w:rsidRDefault="00ED192D">
            <w:pPr>
              <w:spacing w:after="0" w:line="259" w:lineRule="auto"/>
              <w:ind w:left="104" w:firstLine="0"/>
              <w:jc w:val="center"/>
            </w:pPr>
            <w:r>
              <w:rPr>
                <w:rFonts w:ascii="Arial" w:eastAsia="Arial" w:hAnsi="Arial" w:cs="Arial"/>
                <w:sz w:val="16"/>
              </w:rPr>
              <w:t xml:space="preserve"> </w:t>
            </w:r>
          </w:p>
        </w:tc>
        <w:tc>
          <w:tcPr>
            <w:tcW w:w="1307"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470D3666" w14:textId="77777777" w:rsidR="000B3C5C" w:rsidRDefault="00ED192D">
            <w:pPr>
              <w:spacing w:after="0" w:line="259" w:lineRule="auto"/>
              <w:ind w:left="103" w:firstLine="0"/>
              <w:jc w:val="center"/>
            </w:pPr>
            <w:r>
              <w:rPr>
                <w:rFonts w:ascii="Arial" w:eastAsia="Arial" w:hAnsi="Arial" w:cs="Arial"/>
                <w:sz w:val="16"/>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A6A6A6"/>
          </w:tcPr>
          <w:p w14:paraId="60ECC011" w14:textId="77777777" w:rsidR="000B3C5C" w:rsidRDefault="00ED192D">
            <w:pPr>
              <w:spacing w:after="0" w:line="259" w:lineRule="auto"/>
              <w:ind w:left="99" w:firstLine="0"/>
              <w:jc w:val="center"/>
            </w:pPr>
            <w:r>
              <w:rPr>
                <w:rFonts w:ascii="Arial" w:eastAsia="Arial" w:hAnsi="Arial" w:cs="Arial"/>
                <w:sz w:val="16"/>
              </w:rPr>
              <w:t xml:space="preserve"> </w:t>
            </w:r>
          </w:p>
        </w:tc>
        <w:tc>
          <w:tcPr>
            <w:tcW w:w="1157" w:type="dxa"/>
            <w:tcBorders>
              <w:top w:val="single" w:sz="6" w:space="0" w:color="000000"/>
              <w:left w:val="single" w:sz="6" w:space="0" w:color="000000"/>
              <w:bottom w:val="single" w:sz="6" w:space="0" w:color="000000"/>
              <w:right w:val="single" w:sz="6" w:space="0" w:color="000000"/>
            </w:tcBorders>
            <w:shd w:val="clear" w:color="auto" w:fill="A6A6A6"/>
          </w:tcPr>
          <w:p w14:paraId="75914448" w14:textId="77777777" w:rsidR="000B3C5C" w:rsidRDefault="00ED192D">
            <w:pPr>
              <w:spacing w:after="0" w:line="259" w:lineRule="auto"/>
              <w:ind w:left="102" w:firstLine="0"/>
              <w:jc w:val="center"/>
            </w:pPr>
            <w:r>
              <w:rPr>
                <w:rFonts w:ascii="Arial" w:eastAsia="Arial" w:hAnsi="Arial" w:cs="Arial"/>
                <w:sz w:val="16"/>
              </w:rPr>
              <w:t xml:space="preserve">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tcPr>
          <w:p w14:paraId="60F584E0" w14:textId="77777777" w:rsidR="000B3C5C" w:rsidRDefault="00ED192D">
            <w:pPr>
              <w:spacing w:after="0" w:line="259" w:lineRule="auto"/>
              <w:ind w:left="104"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45F775D8" w14:textId="77777777" w:rsidR="000B3C5C" w:rsidRDefault="00ED192D">
            <w:pPr>
              <w:spacing w:after="0" w:line="259" w:lineRule="auto"/>
              <w:ind w:left="109" w:right="37" w:firstLine="0"/>
            </w:pPr>
            <w:r>
              <w:rPr>
                <w:rFonts w:ascii="Arial" w:eastAsia="Arial" w:hAnsi="Arial" w:cs="Arial"/>
                <w:b/>
                <w:sz w:val="16"/>
              </w:rPr>
              <w:t>Informed Consent:</w:t>
            </w:r>
            <w:r>
              <w:rPr>
                <w:rFonts w:ascii="Arial" w:eastAsia="Arial" w:hAnsi="Arial" w:cs="Arial"/>
                <w:sz w:val="16"/>
              </w:rPr>
              <w:t xml:space="preserve"> Informed consent may be signed prior to D -28. </w:t>
            </w:r>
          </w:p>
        </w:tc>
      </w:tr>
      <w:tr w:rsidR="000B3C5C" w14:paraId="54FB7CAD" w14:textId="77777777">
        <w:trPr>
          <w:trHeight w:val="927"/>
        </w:trPr>
        <w:tc>
          <w:tcPr>
            <w:tcW w:w="1575" w:type="dxa"/>
            <w:tcBorders>
              <w:top w:val="single" w:sz="6" w:space="0" w:color="000000"/>
              <w:left w:val="single" w:sz="4" w:space="0" w:color="000000"/>
              <w:bottom w:val="single" w:sz="6" w:space="0" w:color="000000"/>
              <w:right w:val="single" w:sz="6" w:space="0" w:color="000000"/>
            </w:tcBorders>
            <w:vAlign w:val="center"/>
          </w:tcPr>
          <w:p w14:paraId="1A73D50A" w14:textId="77777777" w:rsidR="000B3C5C" w:rsidRDefault="00ED192D">
            <w:pPr>
              <w:spacing w:after="0" w:line="259" w:lineRule="auto"/>
              <w:ind w:left="108" w:firstLine="0"/>
            </w:pPr>
            <w:r>
              <w:rPr>
                <w:rFonts w:ascii="Arial" w:eastAsia="Arial" w:hAnsi="Arial" w:cs="Arial"/>
                <w:sz w:val="16"/>
              </w:rPr>
              <w:t xml:space="preserve">Demography, </w:t>
            </w:r>
          </w:p>
          <w:p w14:paraId="68C0ACE8" w14:textId="77777777" w:rsidR="000B3C5C" w:rsidRDefault="00ED192D">
            <w:pPr>
              <w:spacing w:after="0" w:line="259" w:lineRule="auto"/>
              <w:ind w:left="108" w:firstLine="0"/>
            </w:pPr>
            <w:r>
              <w:rPr>
                <w:rFonts w:ascii="Arial" w:eastAsia="Arial" w:hAnsi="Arial" w:cs="Arial"/>
                <w:sz w:val="16"/>
              </w:rPr>
              <w:t xml:space="preserve">Medical/Surgical and </w:t>
            </w:r>
          </w:p>
          <w:p w14:paraId="42B63D09" w14:textId="77777777" w:rsidR="000B3C5C" w:rsidRDefault="00ED192D">
            <w:pPr>
              <w:spacing w:after="0" w:line="259" w:lineRule="auto"/>
              <w:ind w:left="108" w:firstLine="0"/>
            </w:pPr>
            <w:r>
              <w:rPr>
                <w:rFonts w:ascii="Arial" w:eastAsia="Arial" w:hAnsi="Arial" w:cs="Arial"/>
                <w:sz w:val="16"/>
              </w:rPr>
              <w:t xml:space="preserve">Disease History </w:t>
            </w:r>
          </w:p>
        </w:tc>
        <w:tc>
          <w:tcPr>
            <w:tcW w:w="1329" w:type="dxa"/>
            <w:gridSpan w:val="2"/>
            <w:tcBorders>
              <w:top w:val="single" w:sz="6" w:space="0" w:color="000000"/>
              <w:left w:val="single" w:sz="6" w:space="0" w:color="000000"/>
              <w:bottom w:val="single" w:sz="6" w:space="0" w:color="000000"/>
              <w:right w:val="single" w:sz="6" w:space="0" w:color="000000"/>
            </w:tcBorders>
            <w:vAlign w:val="center"/>
          </w:tcPr>
          <w:p w14:paraId="64506CAA" w14:textId="77777777" w:rsidR="000B3C5C" w:rsidRDefault="00ED192D">
            <w:pPr>
              <w:spacing w:after="0" w:line="259" w:lineRule="auto"/>
              <w:ind w:left="70" w:firstLine="0"/>
              <w:jc w:val="center"/>
            </w:pPr>
            <w:r>
              <w:rPr>
                <w:rFonts w:ascii="Arial" w:eastAsia="Arial" w:hAnsi="Arial" w:cs="Arial"/>
                <w:sz w:val="16"/>
              </w:rPr>
              <w:t xml:space="preserve">X </w:t>
            </w:r>
          </w:p>
        </w:tc>
        <w:tc>
          <w:tcPr>
            <w:tcW w:w="680"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C65B342" w14:textId="77777777" w:rsidR="000B3C5C" w:rsidRDefault="00ED192D">
            <w:pPr>
              <w:spacing w:after="0" w:line="259" w:lineRule="auto"/>
              <w:ind w:left="102" w:firstLine="0"/>
              <w:jc w:val="center"/>
            </w:pPr>
            <w:r>
              <w:rPr>
                <w:rFonts w:ascii="Arial" w:eastAsia="Arial" w:hAnsi="Arial" w:cs="Arial"/>
                <w:sz w:val="16"/>
              </w:rPr>
              <w:t xml:space="preserve"> </w:t>
            </w:r>
          </w:p>
        </w:tc>
        <w:tc>
          <w:tcPr>
            <w:tcW w:w="59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649AF4B1" w14:textId="77777777" w:rsidR="000B3C5C" w:rsidRDefault="00ED192D">
            <w:pPr>
              <w:spacing w:after="0" w:line="259" w:lineRule="auto"/>
              <w:ind w:left="99"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27AA24F6" w14:textId="77777777" w:rsidR="000B3C5C" w:rsidRDefault="00ED192D">
            <w:pPr>
              <w:spacing w:after="0" w:line="259" w:lineRule="auto"/>
              <w:ind w:left="102" w:firstLine="0"/>
              <w:jc w:val="center"/>
            </w:pPr>
            <w:r>
              <w:rPr>
                <w:rFonts w:ascii="Arial" w:eastAsia="Arial" w:hAnsi="Arial" w:cs="Arial"/>
                <w:sz w:val="16"/>
              </w:rPr>
              <w:t xml:space="preserve"> </w:t>
            </w:r>
          </w:p>
        </w:tc>
        <w:tc>
          <w:tcPr>
            <w:tcW w:w="316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4558B21B" w14:textId="77777777" w:rsidR="000B3C5C" w:rsidRDefault="00ED192D">
            <w:pPr>
              <w:spacing w:after="0" w:line="259" w:lineRule="auto"/>
              <w:ind w:left="104" w:firstLine="0"/>
              <w:jc w:val="center"/>
            </w:pPr>
            <w:r>
              <w:rPr>
                <w:rFonts w:ascii="Arial" w:eastAsia="Arial" w:hAnsi="Arial" w:cs="Arial"/>
                <w:sz w:val="16"/>
              </w:rPr>
              <w:t xml:space="preserve"> </w:t>
            </w:r>
          </w:p>
        </w:tc>
        <w:tc>
          <w:tcPr>
            <w:tcW w:w="1307"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6B58D3F" w14:textId="77777777" w:rsidR="000B3C5C" w:rsidRDefault="00ED192D">
            <w:pPr>
              <w:spacing w:after="0" w:line="259" w:lineRule="auto"/>
              <w:ind w:left="103" w:firstLine="0"/>
              <w:jc w:val="center"/>
            </w:pPr>
            <w:r>
              <w:rPr>
                <w:rFonts w:ascii="Arial" w:eastAsia="Arial" w:hAnsi="Arial" w:cs="Arial"/>
                <w:sz w:val="16"/>
              </w:rPr>
              <w:t xml:space="preserve"> </w:t>
            </w:r>
          </w:p>
        </w:tc>
        <w:tc>
          <w:tcPr>
            <w:tcW w:w="1352" w:type="dxa"/>
            <w:tcBorders>
              <w:top w:val="single" w:sz="6" w:space="0" w:color="000000"/>
              <w:left w:val="single" w:sz="6" w:space="0" w:color="000000"/>
              <w:bottom w:val="single" w:sz="6" w:space="0" w:color="000000"/>
              <w:right w:val="single" w:sz="6" w:space="0" w:color="000000"/>
            </w:tcBorders>
            <w:shd w:val="clear" w:color="auto" w:fill="A6A6A6"/>
          </w:tcPr>
          <w:p w14:paraId="2DF8A91E" w14:textId="77777777" w:rsidR="000B3C5C" w:rsidRDefault="00ED192D">
            <w:pPr>
              <w:spacing w:after="0" w:line="259" w:lineRule="auto"/>
              <w:ind w:left="99" w:firstLine="0"/>
              <w:jc w:val="center"/>
            </w:pPr>
            <w:r>
              <w:rPr>
                <w:rFonts w:ascii="Arial" w:eastAsia="Arial" w:hAnsi="Arial" w:cs="Arial"/>
                <w:sz w:val="16"/>
              </w:rPr>
              <w:t xml:space="preserve"> </w:t>
            </w:r>
          </w:p>
        </w:tc>
        <w:tc>
          <w:tcPr>
            <w:tcW w:w="1157" w:type="dxa"/>
            <w:tcBorders>
              <w:top w:val="single" w:sz="6" w:space="0" w:color="000000"/>
              <w:left w:val="single" w:sz="6" w:space="0" w:color="000000"/>
              <w:bottom w:val="single" w:sz="6" w:space="0" w:color="000000"/>
              <w:right w:val="single" w:sz="6" w:space="0" w:color="000000"/>
            </w:tcBorders>
            <w:shd w:val="clear" w:color="auto" w:fill="A6A6A6"/>
          </w:tcPr>
          <w:p w14:paraId="377CA7B6" w14:textId="77777777" w:rsidR="000B3C5C" w:rsidRDefault="00ED192D">
            <w:pPr>
              <w:spacing w:after="0" w:line="259" w:lineRule="auto"/>
              <w:ind w:left="102" w:firstLine="0"/>
              <w:jc w:val="center"/>
            </w:pPr>
            <w:r>
              <w:rPr>
                <w:rFonts w:ascii="Arial" w:eastAsia="Arial" w:hAnsi="Arial" w:cs="Arial"/>
                <w:sz w:val="16"/>
              </w:rPr>
              <w:t xml:space="preserve">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tcPr>
          <w:p w14:paraId="443AB35B" w14:textId="77777777" w:rsidR="000B3C5C" w:rsidRDefault="00ED192D">
            <w:pPr>
              <w:spacing w:after="0" w:line="259" w:lineRule="auto"/>
              <w:ind w:left="104"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1AFF736A" w14:textId="77777777" w:rsidR="000B3C5C" w:rsidRDefault="00ED192D">
            <w:pPr>
              <w:spacing w:after="0" w:line="259" w:lineRule="auto"/>
              <w:ind w:left="109" w:firstLine="0"/>
            </w:pPr>
            <w:r>
              <w:rPr>
                <w:rFonts w:ascii="Arial" w:eastAsia="Arial" w:hAnsi="Arial" w:cs="Arial"/>
                <w:sz w:val="16"/>
              </w:rPr>
              <w:t xml:space="preserve"> </w:t>
            </w:r>
          </w:p>
        </w:tc>
      </w:tr>
      <w:tr w:rsidR="000B3C5C" w14:paraId="5F56B8C3" w14:textId="77777777">
        <w:trPr>
          <w:trHeight w:val="1054"/>
        </w:trPr>
        <w:tc>
          <w:tcPr>
            <w:tcW w:w="1575" w:type="dxa"/>
            <w:tcBorders>
              <w:top w:val="single" w:sz="6" w:space="0" w:color="000000"/>
              <w:left w:val="single" w:sz="4" w:space="0" w:color="000000"/>
              <w:bottom w:val="single" w:sz="6" w:space="0" w:color="000000"/>
              <w:right w:val="single" w:sz="6" w:space="0" w:color="000000"/>
            </w:tcBorders>
            <w:vAlign w:val="center"/>
          </w:tcPr>
          <w:p w14:paraId="4EEAEA83" w14:textId="77777777" w:rsidR="000B3C5C" w:rsidRDefault="00ED192D">
            <w:pPr>
              <w:spacing w:after="0" w:line="259" w:lineRule="auto"/>
              <w:ind w:left="108" w:firstLine="0"/>
            </w:pPr>
            <w:r>
              <w:rPr>
                <w:rFonts w:ascii="Arial" w:eastAsia="Arial" w:hAnsi="Arial" w:cs="Arial"/>
                <w:sz w:val="16"/>
              </w:rPr>
              <w:t xml:space="preserve">Physical examination </w:t>
            </w:r>
          </w:p>
        </w:tc>
        <w:tc>
          <w:tcPr>
            <w:tcW w:w="600" w:type="dxa"/>
            <w:tcBorders>
              <w:top w:val="single" w:sz="6" w:space="0" w:color="000000"/>
              <w:left w:val="single" w:sz="6" w:space="0" w:color="000000"/>
              <w:bottom w:val="single" w:sz="6" w:space="0" w:color="000000"/>
              <w:right w:val="single" w:sz="6" w:space="0" w:color="000000"/>
            </w:tcBorders>
          </w:tcPr>
          <w:p w14:paraId="2533927C" w14:textId="77777777" w:rsidR="000B3C5C" w:rsidRDefault="00ED192D">
            <w:pPr>
              <w:spacing w:after="0" w:line="259" w:lineRule="auto"/>
              <w:ind w:left="109" w:firstLine="0"/>
              <w:jc w:val="center"/>
            </w:pPr>
            <w:r>
              <w:rPr>
                <w:rFonts w:ascii="Arial" w:eastAsia="Arial" w:hAnsi="Arial" w:cs="Arial"/>
                <w:sz w:val="16"/>
              </w:rPr>
              <w:t xml:space="preserve"> </w:t>
            </w:r>
          </w:p>
        </w:tc>
        <w:tc>
          <w:tcPr>
            <w:tcW w:w="729" w:type="dxa"/>
            <w:tcBorders>
              <w:top w:val="single" w:sz="6" w:space="0" w:color="000000"/>
              <w:left w:val="single" w:sz="6" w:space="0" w:color="000000"/>
              <w:bottom w:val="single" w:sz="6" w:space="0" w:color="000000"/>
              <w:right w:val="single" w:sz="6" w:space="0" w:color="000000"/>
            </w:tcBorders>
          </w:tcPr>
          <w:p w14:paraId="4687724B" w14:textId="77777777" w:rsidR="000B3C5C" w:rsidRDefault="00ED192D">
            <w:pPr>
              <w:spacing w:after="0" w:line="259" w:lineRule="auto"/>
              <w:ind w:left="65" w:firstLine="0"/>
              <w:jc w:val="center"/>
            </w:pPr>
            <w:r>
              <w:rPr>
                <w:rFonts w:ascii="Arial" w:eastAsia="Arial" w:hAnsi="Arial" w:cs="Arial"/>
                <w:sz w:val="16"/>
              </w:rPr>
              <w:t xml:space="preserve">X </w:t>
            </w:r>
          </w:p>
          <w:p w14:paraId="55387984" w14:textId="77777777" w:rsidR="000B3C5C" w:rsidRDefault="00ED192D">
            <w:pPr>
              <w:spacing w:after="0" w:line="238" w:lineRule="auto"/>
              <w:ind w:left="54" w:firstLine="0"/>
              <w:jc w:val="center"/>
            </w:pPr>
            <w:r>
              <w:rPr>
                <w:rFonts w:ascii="Arial" w:eastAsia="Arial" w:hAnsi="Arial" w:cs="Arial"/>
                <w:sz w:val="16"/>
              </w:rPr>
              <w:t>(&lt;7</w:t>
            </w:r>
            <w:r>
              <w:rPr>
                <w:rFonts w:ascii="Arial" w:eastAsia="Arial" w:hAnsi="Arial" w:cs="Arial"/>
                <w:sz w:val="16"/>
              </w:rPr>
              <w:t xml:space="preserve">days prior to first </w:t>
            </w:r>
          </w:p>
          <w:p w14:paraId="729AA7B9" w14:textId="77777777" w:rsidR="000B3C5C" w:rsidRDefault="00ED192D">
            <w:pPr>
              <w:spacing w:after="0" w:line="259" w:lineRule="auto"/>
              <w:ind w:left="69" w:firstLine="0"/>
              <w:jc w:val="center"/>
            </w:pPr>
            <w:r>
              <w:rPr>
                <w:rFonts w:ascii="Arial" w:eastAsia="Arial" w:hAnsi="Arial" w:cs="Arial"/>
                <w:sz w:val="16"/>
              </w:rPr>
              <w:t xml:space="preserve">dose) </w:t>
            </w:r>
          </w:p>
        </w:tc>
        <w:tc>
          <w:tcPr>
            <w:tcW w:w="680"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32215E31" w14:textId="77777777" w:rsidR="000B3C5C" w:rsidRDefault="00ED192D">
            <w:pPr>
              <w:spacing w:after="0" w:line="259" w:lineRule="auto"/>
              <w:ind w:left="102" w:firstLine="0"/>
              <w:jc w:val="center"/>
            </w:pPr>
            <w:r>
              <w:rPr>
                <w:rFonts w:ascii="Arial" w:eastAsia="Arial" w:hAnsi="Arial" w:cs="Arial"/>
                <w:sz w:val="16"/>
              </w:rPr>
              <w:t xml:space="preserve"> </w:t>
            </w:r>
          </w:p>
        </w:tc>
        <w:tc>
          <w:tcPr>
            <w:tcW w:w="595" w:type="dxa"/>
            <w:tcBorders>
              <w:top w:val="single" w:sz="6" w:space="0" w:color="000000"/>
              <w:left w:val="single" w:sz="6" w:space="0" w:color="000000"/>
              <w:bottom w:val="single" w:sz="6" w:space="0" w:color="000000"/>
              <w:right w:val="single" w:sz="6" w:space="0" w:color="000000"/>
            </w:tcBorders>
            <w:vAlign w:val="center"/>
          </w:tcPr>
          <w:p w14:paraId="45274C8D" w14:textId="77777777" w:rsidR="000B3C5C" w:rsidRDefault="00ED192D">
            <w:pPr>
              <w:spacing w:after="0" w:line="259" w:lineRule="auto"/>
              <w:ind w:left="67" w:firstLine="0"/>
              <w:jc w:val="center"/>
            </w:pPr>
            <w:r>
              <w:rPr>
                <w:rFonts w:ascii="Arial" w:eastAsia="Arial" w:hAnsi="Arial" w:cs="Arial"/>
                <w:sz w:val="16"/>
              </w:rPr>
              <w:t>X</w:t>
            </w:r>
            <w:r>
              <w:rPr>
                <w:rFonts w:ascii="Arial" w:eastAsia="Arial" w:hAnsi="Arial" w:cs="Arial"/>
                <w:i/>
                <w:color w:val="0000FF"/>
                <w:sz w:val="18"/>
              </w:rPr>
              <w:t>c</w:t>
            </w:r>
            <w:r>
              <w:rPr>
                <w:rFonts w:ascii="Arial" w:eastAsia="Arial" w:hAnsi="Arial" w:cs="Arial"/>
                <w:sz w:val="20"/>
              </w:rPr>
              <w:t xml:space="preserve"> </w:t>
            </w:r>
          </w:p>
        </w:tc>
        <w:tc>
          <w:tcPr>
            <w:tcW w:w="588" w:type="dxa"/>
            <w:tcBorders>
              <w:top w:val="single" w:sz="6" w:space="0" w:color="000000"/>
              <w:left w:val="single" w:sz="6" w:space="0" w:color="000000"/>
              <w:bottom w:val="single" w:sz="6" w:space="0" w:color="000000"/>
              <w:right w:val="single" w:sz="6" w:space="0" w:color="000000"/>
            </w:tcBorders>
            <w:vAlign w:val="center"/>
          </w:tcPr>
          <w:p w14:paraId="0FB09365" w14:textId="77777777" w:rsidR="000B3C5C" w:rsidRDefault="00ED192D">
            <w:pPr>
              <w:spacing w:after="0" w:line="259" w:lineRule="auto"/>
              <w:ind w:left="69"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3168" w:type="dxa"/>
            <w:tcBorders>
              <w:top w:val="single" w:sz="6" w:space="0" w:color="000000"/>
              <w:left w:val="single" w:sz="6" w:space="0" w:color="000000"/>
              <w:bottom w:val="single" w:sz="6" w:space="0" w:color="000000"/>
              <w:right w:val="single" w:sz="6" w:space="0" w:color="000000"/>
            </w:tcBorders>
            <w:vAlign w:val="center"/>
          </w:tcPr>
          <w:p w14:paraId="041338D3" w14:textId="77777777" w:rsidR="000B3C5C" w:rsidRDefault="00ED192D">
            <w:pPr>
              <w:spacing w:after="0" w:line="259" w:lineRule="auto"/>
              <w:ind w:left="69" w:firstLine="0"/>
              <w:jc w:val="center"/>
            </w:pPr>
            <w:r>
              <w:rPr>
                <w:rFonts w:ascii="Arial" w:eastAsia="Arial" w:hAnsi="Arial" w:cs="Arial"/>
                <w:sz w:val="16"/>
              </w:rPr>
              <w:t xml:space="preserve">X </w:t>
            </w:r>
          </w:p>
        </w:tc>
        <w:tc>
          <w:tcPr>
            <w:tcW w:w="1307" w:type="dxa"/>
            <w:tcBorders>
              <w:top w:val="single" w:sz="6" w:space="0" w:color="000000"/>
              <w:left w:val="single" w:sz="6" w:space="0" w:color="000000"/>
              <w:bottom w:val="single" w:sz="6" w:space="0" w:color="000000"/>
              <w:right w:val="single" w:sz="6" w:space="0" w:color="000000"/>
            </w:tcBorders>
            <w:vAlign w:val="center"/>
          </w:tcPr>
          <w:p w14:paraId="7077B3CB" w14:textId="77777777" w:rsidR="000B3C5C" w:rsidRDefault="00ED192D">
            <w:pPr>
              <w:spacing w:after="0" w:line="259" w:lineRule="auto"/>
              <w:ind w:left="68" w:firstLine="0"/>
              <w:jc w:val="center"/>
            </w:pPr>
            <w:r>
              <w:rPr>
                <w:rFonts w:ascii="Arial" w:eastAsia="Arial" w:hAnsi="Arial" w:cs="Arial"/>
                <w:sz w:val="16"/>
              </w:rPr>
              <w:t xml:space="preserve">X </w:t>
            </w:r>
          </w:p>
        </w:tc>
        <w:tc>
          <w:tcPr>
            <w:tcW w:w="1352" w:type="dxa"/>
            <w:tcBorders>
              <w:top w:val="single" w:sz="6" w:space="0" w:color="000000"/>
              <w:left w:val="single" w:sz="6" w:space="0" w:color="000000"/>
              <w:bottom w:val="single" w:sz="6" w:space="0" w:color="000000"/>
              <w:right w:val="single" w:sz="6" w:space="0" w:color="000000"/>
            </w:tcBorders>
            <w:vAlign w:val="center"/>
          </w:tcPr>
          <w:p w14:paraId="3B3954FA" w14:textId="77777777" w:rsidR="000B3C5C" w:rsidRDefault="00ED192D">
            <w:pPr>
              <w:spacing w:after="0" w:line="259" w:lineRule="auto"/>
              <w:ind w:left="64" w:firstLine="0"/>
              <w:jc w:val="center"/>
            </w:pPr>
            <w:r>
              <w:rPr>
                <w:rFonts w:ascii="Arial" w:eastAsia="Arial" w:hAnsi="Arial" w:cs="Arial"/>
                <w:sz w:val="16"/>
              </w:rPr>
              <w:t xml:space="preserve">X </w:t>
            </w:r>
          </w:p>
        </w:tc>
        <w:tc>
          <w:tcPr>
            <w:tcW w:w="1157" w:type="dxa"/>
            <w:tcBorders>
              <w:top w:val="single" w:sz="6" w:space="0" w:color="000000"/>
              <w:left w:val="single" w:sz="6" w:space="0" w:color="000000"/>
              <w:bottom w:val="single" w:sz="6" w:space="0" w:color="000000"/>
              <w:right w:val="single" w:sz="6" w:space="0" w:color="000000"/>
            </w:tcBorders>
            <w:vAlign w:val="center"/>
          </w:tcPr>
          <w:p w14:paraId="217DD9C2" w14:textId="77777777" w:rsidR="000B3C5C" w:rsidRDefault="00ED192D">
            <w:pPr>
              <w:spacing w:after="0" w:line="259" w:lineRule="auto"/>
              <w:ind w:left="67" w:firstLine="0"/>
              <w:jc w:val="center"/>
            </w:pPr>
            <w:r>
              <w:rPr>
                <w:rFonts w:ascii="Arial" w:eastAsia="Arial" w:hAnsi="Arial" w:cs="Arial"/>
                <w:sz w:val="16"/>
              </w:rPr>
              <w:t xml:space="preserve">X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417A045" w14:textId="77777777" w:rsidR="000B3C5C" w:rsidRDefault="00ED192D">
            <w:pPr>
              <w:spacing w:after="0" w:line="259" w:lineRule="auto"/>
              <w:ind w:left="104"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496C6B21"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8.2.1</w:t>
            </w:r>
            <w:r>
              <w:rPr>
                <w:rFonts w:ascii="Arial" w:eastAsia="Arial" w:hAnsi="Arial" w:cs="Arial"/>
                <w:sz w:val="16"/>
              </w:rPr>
              <w:t xml:space="preserve"> </w:t>
            </w:r>
          </w:p>
        </w:tc>
      </w:tr>
      <w:tr w:rsidR="000B3C5C" w14:paraId="5662BEC9" w14:textId="77777777">
        <w:trPr>
          <w:trHeight w:val="869"/>
        </w:trPr>
        <w:tc>
          <w:tcPr>
            <w:tcW w:w="1575" w:type="dxa"/>
            <w:tcBorders>
              <w:top w:val="single" w:sz="6" w:space="0" w:color="000000"/>
              <w:left w:val="single" w:sz="4" w:space="0" w:color="000000"/>
              <w:bottom w:val="single" w:sz="6" w:space="0" w:color="000000"/>
              <w:right w:val="single" w:sz="6" w:space="0" w:color="000000"/>
            </w:tcBorders>
          </w:tcPr>
          <w:p w14:paraId="1CFB00A3" w14:textId="77777777" w:rsidR="000B3C5C" w:rsidRDefault="00ED192D">
            <w:pPr>
              <w:spacing w:after="2" w:line="238" w:lineRule="auto"/>
              <w:ind w:left="108" w:firstLine="0"/>
            </w:pPr>
            <w:r>
              <w:rPr>
                <w:rFonts w:ascii="Arial" w:eastAsia="Arial" w:hAnsi="Arial" w:cs="Arial"/>
                <w:b/>
                <w:sz w:val="16"/>
              </w:rPr>
              <w:t>Height (at baseline only)</w:t>
            </w:r>
            <w:r>
              <w:rPr>
                <w:rFonts w:ascii="Arial" w:eastAsia="Arial" w:hAnsi="Arial" w:cs="Arial"/>
                <w:sz w:val="16"/>
              </w:rPr>
              <w:t xml:space="preserve"> /Weight/ ECOG (HCC,SCCHN,EOC) or </w:t>
            </w:r>
          </w:p>
          <w:p w14:paraId="645420FD" w14:textId="77777777" w:rsidR="000B3C5C" w:rsidRDefault="00ED192D">
            <w:pPr>
              <w:spacing w:after="0" w:line="259" w:lineRule="auto"/>
              <w:ind w:left="108" w:firstLine="0"/>
            </w:pPr>
            <w:r>
              <w:rPr>
                <w:rFonts w:ascii="Arial" w:eastAsia="Arial" w:hAnsi="Arial" w:cs="Arial"/>
                <w:sz w:val="16"/>
              </w:rPr>
              <w:t xml:space="preserve">Karnofsky PS (GBM) </w:t>
            </w:r>
          </w:p>
        </w:tc>
        <w:tc>
          <w:tcPr>
            <w:tcW w:w="1329" w:type="dxa"/>
            <w:gridSpan w:val="2"/>
            <w:tcBorders>
              <w:top w:val="single" w:sz="6" w:space="0" w:color="000000"/>
              <w:left w:val="single" w:sz="6" w:space="0" w:color="000000"/>
              <w:bottom w:val="single" w:sz="6" w:space="0" w:color="000000"/>
              <w:right w:val="single" w:sz="6" w:space="0" w:color="000000"/>
            </w:tcBorders>
          </w:tcPr>
          <w:p w14:paraId="0A827775" w14:textId="77777777" w:rsidR="000B3C5C" w:rsidRDefault="00ED192D">
            <w:pPr>
              <w:spacing w:after="45" w:line="259" w:lineRule="auto"/>
              <w:ind w:left="105" w:firstLine="0"/>
              <w:jc w:val="center"/>
            </w:pPr>
            <w:r>
              <w:rPr>
                <w:rFonts w:ascii="Arial" w:eastAsia="Arial" w:hAnsi="Arial" w:cs="Arial"/>
                <w:sz w:val="16"/>
              </w:rPr>
              <w:t xml:space="preserve"> </w:t>
            </w:r>
          </w:p>
          <w:p w14:paraId="4A2D8C69" w14:textId="77777777" w:rsidR="000B3C5C" w:rsidRDefault="00ED192D">
            <w:pPr>
              <w:spacing w:after="43" w:line="259" w:lineRule="auto"/>
              <w:ind w:left="105" w:firstLine="0"/>
              <w:jc w:val="center"/>
            </w:pPr>
            <w:r>
              <w:rPr>
                <w:rFonts w:ascii="Arial" w:eastAsia="Arial" w:hAnsi="Arial" w:cs="Arial"/>
                <w:sz w:val="16"/>
              </w:rPr>
              <w:t xml:space="preserve"> </w:t>
            </w:r>
          </w:p>
          <w:p w14:paraId="507067DE" w14:textId="77777777" w:rsidR="000B3C5C" w:rsidRDefault="00ED192D">
            <w:pPr>
              <w:spacing w:after="0" w:line="259" w:lineRule="auto"/>
              <w:ind w:left="70" w:firstLine="0"/>
              <w:jc w:val="center"/>
            </w:pPr>
            <w:r>
              <w:rPr>
                <w:rFonts w:ascii="Arial" w:eastAsia="Arial" w:hAnsi="Arial" w:cs="Arial"/>
                <w:sz w:val="16"/>
              </w:rPr>
              <w:t xml:space="preserve">X </w:t>
            </w:r>
          </w:p>
        </w:tc>
        <w:tc>
          <w:tcPr>
            <w:tcW w:w="680" w:type="dxa"/>
            <w:tcBorders>
              <w:top w:val="single" w:sz="6" w:space="0" w:color="000000"/>
              <w:left w:val="single" w:sz="6" w:space="0" w:color="000000"/>
              <w:bottom w:val="single" w:sz="6" w:space="0" w:color="000000"/>
              <w:right w:val="single" w:sz="6" w:space="0" w:color="000000"/>
            </w:tcBorders>
            <w:vAlign w:val="center"/>
          </w:tcPr>
          <w:p w14:paraId="034D93AF" w14:textId="77777777" w:rsidR="000B3C5C" w:rsidRDefault="00ED192D">
            <w:pPr>
              <w:spacing w:after="0" w:line="259" w:lineRule="auto"/>
              <w:ind w:left="67" w:firstLine="0"/>
              <w:jc w:val="center"/>
            </w:pPr>
            <w:r>
              <w:rPr>
                <w:rFonts w:ascii="Arial" w:eastAsia="Arial" w:hAnsi="Arial" w:cs="Arial"/>
                <w:sz w:val="16"/>
              </w:rPr>
              <w:t xml:space="preserve">X </w:t>
            </w:r>
          </w:p>
        </w:tc>
        <w:tc>
          <w:tcPr>
            <w:tcW w:w="595" w:type="dxa"/>
            <w:tcBorders>
              <w:top w:val="single" w:sz="6" w:space="0" w:color="000000"/>
              <w:left w:val="single" w:sz="6" w:space="0" w:color="000000"/>
              <w:bottom w:val="single" w:sz="6" w:space="0" w:color="000000"/>
              <w:right w:val="single" w:sz="6" w:space="0" w:color="000000"/>
            </w:tcBorders>
            <w:vAlign w:val="center"/>
          </w:tcPr>
          <w:p w14:paraId="5227407E" w14:textId="77777777" w:rsidR="000B3C5C" w:rsidRDefault="00ED192D">
            <w:pPr>
              <w:spacing w:after="0" w:line="259" w:lineRule="auto"/>
              <w:ind w:left="67"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vAlign w:val="center"/>
          </w:tcPr>
          <w:p w14:paraId="46E20A27" w14:textId="77777777" w:rsidR="000B3C5C" w:rsidRDefault="00ED192D">
            <w:pPr>
              <w:spacing w:after="0" w:line="259" w:lineRule="auto"/>
              <w:ind w:left="69"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3168" w:type="dxa"/>
            <w:tcBorders>
              <w:top w:val="single" w:sz="6" w:space="0" w:color="000000"/>
              <w:left w:val="single" w:sz="6" w:space="0" w:color="000000"/>
              <w:bottom w:val="single" w:sz="6" w:space="0" w:color="000000"/>
              <w:right w:val="single" w:sz="6" w:space="0" w:color="000000"/>
            </w:tcBorders>
            <w:vAlign w:val="center"/>
          </w:tcPr>
          <w:p w14:paraId="68AC459E" w14:textId="77777777" w:rsidR="000B3C5C" w:rsidRDefault="00ED192D">
            <w:pPr>
              <w:spacing w:after="0" w:line="259" w:lineRule="auto"/>
              <w:ind w:left="69" w:firstLine="0"/>
              <w:jc w:val="center"/>
            </w:pPr>
            <w:r>
              <w:rPr>
                <w:rFonts w:ascii="Arial" w:eastAsia="Arial" w:hAnsi="Arial" w:cs="Arial"/>
                <w:sz w:val="16"/>
              </w:rPr>
              <w:t xml:space="preserve">X </w:t>
            </w:r>
          </w:p>
        </w:tc>
        <w:tc>
          <w:tcPr>
            <w:tcW w:w="1307" w:type="dxa"/>
            <w:tcBorders>
              <w:top w:val="single" w:sz="6" w:space="0" w:color="000000"/>
              <w:left w:val="single" w:sz="6" w:space="0" w:color="000000"/>
              <w:bottom w:val="single" w:sz="6" w:space="0" w:color="000000"/>
              <w:right w:val="single" w:sz="6" w:space="0" w:color="000000"/>
            </w:tcBorders>
            <w:vAlign w:val="center"/>
          </w:tcPr>
          <w:p w14:paraId="33F7BB3B" w14:textId="77777777" w:rsidR="000B3C5C" w:rsidRDefault="00ED192D">
            <w:pPr>
              <w:spacing w:after="0" w:line="259" w:lineRule="auto"/>
              <w:ind w:left="68" w:firstLine="0"/>
              <w:jc w:val="center"/>
            </w:pPr>
            <w:r>
              <w:rPr>
                <w:rFonts w:ascii="Arial" w:eastAsia="Arial" w:hAnsi="Arial" w:cs="Arial"/>
                <w:sz w:val="16"/>
              </w:rPr>
              <w:t xml:space="preserve">X </w:t>
            </w:r>
          </w:p>
        </w:tc>
        <w:tc>
          <w:tcPr>
            <w:tcW w:w="1352" w:type="dxa"/>
            <w:tcBorders>
              <w:top w:val="single" w:sz="6" w:space="0" w:color="000000"/>
              <w:left w:val="single" w:sz="6" w:space="0" w:color="000000"/>
              <w:bottom w:val="single" w:sz="6" w:space="0" w:color="000000"/>
              <w:right w:val="single" w:sz="6" w:space="0" w:color="000000"/>
            </w:tcBorders>
            <w:vAlign w:val="center"/>
          </w:tcPr>
          <w:p w14:paraId="41D69170" w14:textId="77777777" w:rsidR="000B3C5C" w:rsidRDefault="00ED192D">
            <w:pPr>
              <w:spacing w:after="0" w:line="259" w:lineRule="auto"/>
              <w:ind w:left="64" w:firstLine="0"/>
              <w:jc w:val="center"/>
            </w:pPr>
            <w:r>
              <w:rPr>
                <w:rFonts w:ascii="Arial" w:eastAsia="Arial" w:hAnsi="Arial" w:cs="Arial"/>
                <w:sz w:val="16"/>
              </w:rPr>
              <w:t xml:space="preserve">X </w:t>
            </w:r>
          </w:p>
        </w:tc>
        <w:tc>
          <w:tcPr>
            <w:tcW w:w="1157" w:type="dxa"/>
            <w:tcBorders>
              <w:top w:val="single" w:sz="6" w:space="0" w:color="000000"/>
              <w:left w:val="single" w:sz="6" w:space="0" w:color="000000"/>
              <w:bottom w:val="single" w:sz="6" w:space="0" w:color="000000"/>
              <w:right w:val="single" w:sz="6" w:space="0" w:color="000000"/>
            </w:tcBorders>
            <w:vAlign w:val="center"/>
          </w:tcPr>
          <w:p w14:paraId="5F9648B5" w14:textId="77777777" w:rsidR="000B3C5C" w:rsidRDefault="00ED192D">
            <w:pPr>
              <w:spacing w:after="0" w:line="259" w:lineRule="auto"/>
              <w:ind w:left="67" w:firstLine="0"/>
              <w:jc w:val="center"/>
            </w:pPr>
            <w:r>
              <w:rPr>
                <w:rFonts w:ascii="Arial" w:eastAsia="Arial" w:hAnsi="Arial" w:cs="Arial"/>
                <w:sz w:val="16"/>
              </w:rPr>
              <w:t xml:space="preserve">X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23702B7C" w14:textId="77777777" w:rsidR="000B3C5C" w:rsidRDefault="00ED192D">
            <w:pPr>
              <w:spacing w:after="0" w:line="259" w:lineRule="auto"/>
              <w:ind w:left="104"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214104D2"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8.2.1</w:t>
            </w:r>
            <w:r>
              <w:rPr>
                <w:rFonts w:ascii="Arial" w:eastAsia="Arial" w:hAnsi="Arial" w:cs="Arial"/>
                <w:sz w:val="16"/>
              </w:rPr>
              <w:t xml:space="preserve"> </w:t>
            </w:r>
          </w:p>
        </w:tc>
      </w:tr>
      <w:tr w:rsidR="000B3C5C" w14:paraId="7E78BDB4" w14:textId="77777777">
        <w:trPr>
          <w:trHeight w:val="503"/>
        </w:trPr>
        <w:tc>
          <w:tcPr>
            <w:tcW w:w="1575" w:type="dxa"/>
            <w:tcBorders>
              <w:top w:val="single" w:sz="6" w:space="0" w:color="000000"/>
              <w:left w:val="single" w:sz="4" w:space="0" w:color="000000"/>
              <w:bottom w:val="single" w:sz="6" w:space="0" w:color="000000"/>
              <w:right w:val="single" w:sz="6" w:space="0" w:color="000000"/>
            </w:tcBorders>
            <w:vAlign w:val="bottom"/>
          </w:tcPr>
          <w:p w14:paraId="253DFE56" w14:textId="77777777" w:rsidR="000B3C5C" w:rsidRDefault="00ED192D">
            <w:pPr>
              <w:spacing w:after="0" w:line="259" w:lineRule="auto"/>
              <w:ind w:left="108" w:firstLine="0"/>
            </w:pPr>
            <w:r>
              <w:rPr>
                <w:rFonts w:ascii="Arial" w:eastAsia="Arial" w:hAnsi="Arial" w:cs="Arial"/>
                <w:sz w:val="16"/>
              </w:rPr>
              <w:t xml:space="preserve">Vital Signs </w:t>
            </w:r>
          </w:p>
        </w:tc>
        <w:tc>
          <w:tcPr>
            <w:tcW w:w="1329" w:type="dxa"/>
            <w:gridSpan w:val="2"/>
            <w:tcBorders>
              <w:top w:val="single" w:sz="6" w:space="0" w:color="000000"/>
              <w:left w:val="single" w:sz="6" w:space="0" w:color="000000"/>
              <w:bottom w:val="single" w:sz="6" w:space="0" w:color="000000"/>
              <w:right w:val="single" w:sz="6" w:space="0" w:color="000000"/>
            </w:tcBorders>
          </w:tcPr>
          <w:p w14:paraId="5652F07F" w14:textId="77777777" w:rsidR="000B3C5C" w:rsidRDefault="00ED192D">
            <w:pPr>
              <w:spacing w:after="0" w:line="259" w:lineRule="auto"/>
              <w:ind w:left="70" w:firstLine="0"/>
              <w:jc w:val="center"/>
            </w:pPr>
            <w:r>
              <w:rPr>
                <w:rFonts w:ascii="Arial" w:eastAsia="Arial" w:hAnsi="Arial" w:cs="Arial"/>
                <w:sz w:val="16"/>
              </w:rPr>
              <w:t xml:space="preserve">X </w:t>
            </w:r>
          </w:p>
        </w:tc>
        <w:tc>
          <w:tcPr>
            <w:tcW w:w="680" w:type="dxa"/>
            <w:tcBorders>
              <w:top w:val="single" w:sz="6" w:space="0" w:color="000000"/>
              <w:left w:val="single" w:sz="6" w:space="0" w:color="000000"/>
              <w:bottom w:val="single" w:sz="6" w:space="0" w:color="000000"/>
              <w:right w:val="single" w:sz="6" w:space="0" w:color="000000"/>
            </w:tcBorders>
            <w:vAlign w:val="center"/>
          </w:tcPr>
          <w:p w14:paraId="46E12E60" w14:textId="77777777" w:rsidR="000B3C5C" w:rsidRDefault="00ED192D">
            <w:pPr>
              <w:spacing w:after="0" w:line="259" w:lineRule="auto"/>
              <w:ind w:left="67" w:firstLine="0"/>
              <w:jc w:val="center"/>
            </w:pPr>
            <w:r>
              <w:rPr>
                <w:rFonts w:ascii="Arial" w:eastAsia="Arial" w:hAnsi="Arial" w:cs="Arial"/>
                <w:sz w:val="16"/>
              </w:rPr>
              <w:t xml:space="preserve">X </w:t>
            </w:r>
          </w:p>
        </w:tc>
        <w:tc>
          <w:tcPr>
            <w:tcW w:w="595" w:type="dxa"/>
            <w:tcBorders>
              <w:top w:val="single" w:sz="6" w:space="0" w:color="000000"/>
              <w:left w:val="single" w:sz="6" w:space="0" w:color="000000"/>
              <w:bottom w:val="single" w:sz="6" w:space="0" w:color="000000"/>
              <w:right w:val="single" w:sz="6" w:space="0" w:color="000000"/>
            </w:tcBorders>
            <w:vAlign w:val="center"/>
          </w:tcPr>
          <w:p w14:paraId="47BCE47A" w14:textId="77777777" w:rsidR="000B3C5C" w:rsidRDefault="00ED192D">
            <w:pPr>
              <w:spacing w:after="0" w:line="259" w:lineRule="auto"/>
              <w:ind w:left="67"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vAlign w:val="center"/>
          </w:tcPr>
          <w:p w14:paraId="349600BA" w14:textId="77777777" w:rsidR="000B3C5C" w:rsidRDefault="00ED192D">
            <w:pPr>
              <w:spacing w:after="0" w:line="259" w:lineRule="auto"/>
              <w:ind w:left="69"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3168" w:type="dxa"/>
            <w:tcBorders>
              <w:top w:val="single" w:sz="6" w:space="0" w:color="000000"/>
              <w:left w:val="single" w:sz="6" w:space="0" w:color="000000"/>
              <w:bottom w:val="single" w:sz="6" w:space="0" w:color="000000"/>
              <w:right w:val="single" w:sz="6" w:space="0" w:color="000000"/>
            </w:tcBorders>
            <w:vAlign w:val="center"/>
          </w:tcPr>
          <w:p w14:paraId="79A6A254" w14:textId="77777777" w:rsidR="000B3C5C" w:rsidRDefault="00ED192D">
            <w:pPr>
              <w:spacing w:after="0" w:line="259" w:lineRule="auto"/>
              <w:ind w:left="69" w:firstLine="0"/>
              <w:jc w:val="center"/>
            </w:pPr>
            <w:r>
              <w:rPr>
                <w:rFonts w:ascii="Arial" w:eastAsia="Arial" w:hAnsi="Arial" w:cs="Arial"/>
                <w:sz w:val="16"/>
              </w:rPr>
              <w:t xml:space="preserve">X </w:t>
            </w:r>
          </w:p>
        </w:tc>
        <w:tc>
          <w:tcPr>
            <w:tcW w:w="1307" w:type="dxa"/>
            <w:tcBorders>
              <w:top w:val="single" w:sz="6" w:space="0" w:color="000000"/>
              <w:left w:val="single" w:sz="6" w:space="0" w:color="000000"/>
              <w:bottom w:val="single" w:sz="6" w:space="0" w:color="000000"/>
              <w:right w:val="single" w:sz="6" w:space="0" w:color="000000"/>
            </w:tcBorders>
            <w:vAlign w:val="center"/>
          </w:tcPr>
          <w:p w14:paraId="08AE6AA7" w14:textId="77777777" w:rsidR="000B3C5C" w:rsidRDefault="00ED192D">
            <w:pPr>
              <w:spacing w:after="0" w:line="259" w:lineRule="auto"/>
              <w:ind w:left="68" w:firstLine="0"/>
              <w:jc w:val="center"/>
            </w:pPr>
            <w:r>
              <w:rPr>
                <w:rFonts w:ascii="Arial" w:eastAsia="Arial" w:hAnsi="Arial" w:cs="Arial"/>
                <w:sz w:val="16"/>
              </w:rPr>
              <w:t xml:space="preserve">X </w:t>
            </w:r>
          </w:p>
        </w:tc>
        <w:tc>
          <w:tcPr>
            <w:tcW w:w="1352" w:type="dxa"/>
            <w:tcBorders>
              <w:top w:val="single" w:sz="6" w:space="0" w:color="000000"/>
              <w:left w:val="single" w:sz="6" w:space="0" w:color="000000"/>
              <w:bottom w:val="single" w:sz="6" w:space="0" w:color="000000"/>
              <w:right w:val="single" w:sz="6" w:space="0" w:color="000000"/>
            </w:tcBorders>
            <w:vAlign w:val="center"/>
          </w:tcPr>
          <w:p w14:paraId="263E3EFE" w14:textId="77777777" w:rsidR="000B3C5C" w:rsidRDefault="00ED192D">
            <w:pPr>
              <w:spacing w:after="0" w:line="259" w:lineRule="auto"/>
              <w:ind w:left="64" w:firstLine="0"/>
              <w:jc w:val="center"/>
            </w:pPr>
            <w:r>
              <w:rPr>
                <w:rFonts w:ascii="Arial" w:eastAsia="Arial" w:hAnsi="Arial" w:cs="Arial"/>
                <w:sz w:val="16"/>
              </w:rPr>
              <w:t xml:space="preserve">X </w:t>
            </w:r>
          </w:p>
        </w:tc>
        <w:tc>
          <w:tcPr>
            <w:tcW w:w="1157" w:type="dxa"/>
            <w:tcBorders>
              <w:top w:val="single" w:sz="6" w:space="0" w:color="000000"/>
              <w:left w:val="single" w:sz="6" w:space="0" w:color="000000"/>
              <w:bottom w:val="single" w:sz="6" w:space="0" w:color="000000"/>
              <w:right w:val="single" w:sz="6" w:space="0" w:color="000000"/>
            </w:tcBorders>
            <w:vAlign w:val="center"/>
          </w:tcPr>
          <w:p w14:paraId="3D036433" w14:textId="77777777" w:rsidR="000B3C5C" w:rsidRDefault="00ED192D">
            <w:pPr>
              <w:spacing w:after="0" w:line="259" w:lineRule="auto"/>
              <w:ind w:left="67" w:firstLine="0"/>
              <w:jc w:val="center"/>
            </w:pPr>
            <w:r>
              <w:rPr>
                <w:rFonts w:ascii="Arial" w:eastAsia="Arial" w:hAnsi="Arial" w:cs="Arial"/>
                <w:sz w:val="16"/>
              </w:rPr>
              <w:t xml:space="preserve">X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tcPr>
          <w:p w14:paraId="4627CEC5" w14:textId="77777777" w:rsidR="000B3C5C" w:rsidRDefault="00ED192D">
            <w:pPr>
              <w:spacing w:after="0" w:line="259" w:lineRule="auto"/>
              <w:ind w:left="104"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00343808" w14:textId="77777777" w:rsidR="000B3C5C" w:rsidRDefault="00ED192D">
            <w:pPr>
              <w:spacing w:after="0" w:line="259" w:lineRule="auto"/>
              <w:ind w:left="109" w:firstLine="0"/>
            </w:pPr>
            <w:r>
              <w:rPr>
                <w:rFonts w:ascii="Arial" w:eastAsia="Arial" w:hAnsi="Arial" w:cs="Arial"/>
                <w:sz w:val="16"/>
              </w:rPr>
              <w:t xml:space="preserve">See </w:t>
            </w:r>
          </w:p>
          <w:p w14:paraId="6E5643ED"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8.2.2</w:t>
            </w:r>
            <w:r>
              <w:rPr>
                <w:rFonts w:ascii="Arial" w:eastAsia="Arial" w:hAnsi="Arial" w:cs="Arial"/>
                <w:sz w:val="16"/>
              </w:rPr>
              <w:t xml:space="preserve"> </w:t>
            </w:r>
          </w:p>
        </w:tc>
      </w:tr>
      <w:tr w:rsidR="000B3C5C" w14:paraId="2D2DBF46" w14:textId="77777777">
        <w:trPr>
          <w:trHeight w:val="501"/>
        </w:trPr>
        <w:tc>
          <w:tcPr>
            <w:tcW w:w="1575" w:type="dxa"/>
            <w:tcBorders>
              <w:top w:val="single" w:sz="6" w:space="0" w:color="000000"/>
              <w:left w:val="single" w:sz="4" w:space="0" w:color="000000"/>
              <w:bottom w:val="single" w:sz="6" w:space="0" w:color="000000"/>
              <w:right w:val="single" w:sz="6" w:space="0" w:color="000000"/>
            </w:tcBorders>
          </w:tcPr>
          <w:p w14:paraId="79128C1C" w14:textId="77777777" w:rsidR="000B3C5C" w:rsidRDefault="00ED192D">
            <w:pPr>
              <w:spacing w:after="0" w:line="259" w:lineRule="auto"/>
              <w:ind w:left="108" w:firstLine="0"/>
              <w:jc w:val="both"/>
            </w:pPr>
            <w:r>
              <w:rPr>
                <w:rFonts w:ascii="Arial" w:eastAsia="Arial" w:hAnsi="Arial" w:cs="Arial"/>
                <w:sz w:val="16"/>
              </w:rPr>
              <w:t xml:space="preserve">Resting O2 saturation for SCCHN </w:t>
            </w:r>
          </w:p>
        </w:tc>
        <w:tc>
          <w:tcPr>
            <w:tcW w:w="1329" w:type="dxa"/>
            <w:gridSpan w:val="2"/>
            <w:tcBorders>
              <w:top w:val="single" w:sz="6" w:space="0" w:color="000000"/>
              <w:left w:val="single" w:sz="6" w:space="0" w:color="000000"/>
              <w:bottom w:val="single" w:sz="6" w:space="0" w:color="000000"/>
              <w:right w:val="single" w:sz="6" w:space="0" w:color="000000"/>
            </w:tcBorders>
          </w:tcPr>
          <w:p w14:paraId="579619C3" w14:textId="77777777" w:rsidR="000B3C5C" w:rsidRDefault="00ED192D">
            <w:pPr>
              <w:spacing w:after="0" w:line="259" w:lineRule="auto"/>
              <w:ind w:left="70" w:firstLine="0"/>
              <w:jc w:val="center"/>
            </w:pPr>
            <w:r>
              <w:rPr>
                <w:rFonts w:ascii="Arial" w:eastAsia="Arial" w:hAnsi="Arial" w:cs="Arial"/>
                <w:sz w:val="16"/>
              </w:rPr>
              <w:t xml:space="preserve">X </w:t>
            </w:r>
          </w:p>
        </w:tc>
        <w:tc>
          <w:tcPr>
            <w:tcW w:w="680" w:type="dxa"/>
            <w:tcBorders>
              <w:top w:val="single" w:sz="6" w:space="0" w:color="000000"/>
              <w:left w:val="single" w:sz="6" w:space="0" w:color="000000"/>
              <w:bottom w:val="single" w:sz="6" w:space="0" w:color="000000"/>
              <w:right w:val="single" w:sz="6" w:space="0" w:color="000000"/>
            </w:tcBorders>
            <w:vAlign w:val="center"/>
          </w:tcPr>
          <w:p w14:paraId="346736F7" w14:textId="77777777" w:rsidR="000B3C5C" w:rsidRDefault="00ED192D">
            <w:pPr>
              <w:spacing w:after="0" w:line="259" w:lineRule="auto"/>
              <w:ind w:left="67" w:firstLine="0"/>
              <w:jc w:val="center"/>
            </w:pPr>
            <w:r>
              <w:rPr>
                <w:rFonts w:ascii="Arial" w:eastAsia="Arial" w:hAnsi="Arial" w:cs="Arial"/>
                <w:sz w:val="16"/>
              </w:rPr>
              <w:t xml:space="preserve">X </w:t>
            </w:r>
          </w:p>
        </w:tc>
        <w:tc>
          <w:tcPr>
            <w:tcW w:w="595" w:type="dxa"/>
            <w:tcBorders>
              <w:top w:val="single" w:sz="6" w:space="0" w:color="000000"/>
              <w:left w:val="single" w:sz="6" w:space="0" w:color="000000"/>
              <w:bottom w:val="single" w:sz="6" w:space="0" w:color="000000"/>
              <w:right w:val="single" w:sz="6" w:space="0" w:color="000000"/>
            </w:tcBorders>
            <w:vAlign w:val="center"/>
          </w:tcPr>
          <w:p w14:paraId="76B4757F" w14:textId="77777777" w:rsidR="000B3C5C" w:rsidRDefault="00ED192D">
            <w:pPr>
              <w:spacing w:after="0" w:line="259" w:lineRule="auto"/>
              <w:ind w:left="67"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vAlign w:val="center"/>
          </w:tcPr>
          <w:p w14:paraId="040C8C31" w14:textId="77777777" w:rsidR="000B3C5C" w:rsidRDefault="00ED192D">
            <w:pPr>
              <w:spacing w:after="0" w:line="259" w:lineRule="auto"/>
              <w:ind w:left="69"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3168" w:type="dxa"/>
            <w:tcBorders>
              <w:top w:val="single" w:sz="6" w:space="0" w:color="000000"/>
              <w:left w:val="single" w:sz="6" w:space="0" w:color="000000"/>
              <w:bottom w:val="single" w:sz="6" w:space="0" w:color="000000"/>
              <w:right w:val="single" w:sz="6" w:space="0" w:color="000000"/>
            </w:tcBorders>
            <w:vAlign w:val="center"/>
          </w:tcPr>
          <w:p w14:paraId="706ADB6F" w14:textId="77777777" w:rsidR="000B3C5C" w:rsidRDefault="00ED192D">
            <w:pPr>
              <w:spacing w:after="0" w:line="259" w:lineRule="auto"/>
              <w:ind w:left="69" w:firstLine="0"/>
              <w:jc w:val="center"/>
            </w:pPr>
            <w:r>
              <w:rPr>
                <w:rFonts w:ascii="Arial" w:eastAsia="Arial" w:hAnsi="Arial" w:cs="Arial"/>
                <w:sz w:val="16"/>
              </w:rPr>
              <w:t xml:space="preserve">X </w:t>
            </w:r>
          </w:p>
        </w:tc>
        <w:tc>
          <w:tcPr>
            <w:tcW w:w="1307" w:type="dxa"/>
            <w:tcBorders>
              <w:top w:val="single" w:sz="6" w:space="0" w:color="000000"/>
              <w:left w:val="single" w:sz="6" w:space="0" w:color="000000"/>
              <w:bottom w:val="single" w:sz="6" w:space="0" w:color="000000"/>
              <w:right w:val="single" w:sz="6" w:space="0" w:color="000000"/>
            </w:tcBorders>
            <w:vAlign w:val="center"/>
          </w:tcPr>
          <w:p w14:paraId="4E7134E6" w14:textId="77777777" w:rsidR="000B3C5C" w:rsidRDefault="00ED192D">
            <w:pPr>
              <w:spacing w:after="0" w:line="259" w:lineRule="auto"/>
              <w:ind w:left="68" w:firstLine="0"/>
              <w:jc w:val="center"/>
            </w:pPr>
            <w:r>
              <w:rPr>
                <w:rFonts w:ascii="Arial" w:eastAsia="Arial" w:hAnsi="Arial" w:cs="Arial"/>
                <w:sz w:val="16"/>
              </w:rPr>
              <w:t xml:space="preserve">X </w:t>
            </w:r>
          </w:p>
        </w:tc>
        <w:tc>
          <w:tcPr>
            <w:tcW w:w="1352"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680733E5" w14:textId="77777777" w:rsidR="000B3C5C" w:rsidRDefault="00ED192D">
            <w:pPr>
              <w:spacing w:after="0" w:line="259" w:lineRule="auto"/>
              <w:ind w:left="99" w:firstLine="0"/>
              <w:jc w:val="center"/>
            </w:pPr>
            <w:r>
              <w:rPr>
                <w:rFonts w:ascii="Arial" w:eastAsia="Arial" w:hAnsi="Arial" w:cs="Arial"/>
                <w:sz w:val="16"/>
              </w:rPr>
              <w:t xml:space="preserve"> </w:t>
            </w:r>
          </w:p>
        </w:tc>
        <w:tc>
          <w:tcPr>
            <w:tcW w:w="1157"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75EB7F2" w14:textId="77777777" w:rsidR="000B3C5C" w:rsidRDefault="00ED192D">
            <w:pPr>
              <w:spacing w:after="0" w:line="259" w:lineRule="auto"/>
              <w:ind w:left="102" w:firstLine="0"/>
              <w:jc w:val="center"/>
            </w:pPr>
            <w:r>
              <w:rPr>
                <w:rFonts w:ascii="Arial" w:eastAsia="Arial" w:hAnsi="Arial" w:cs="Arial"/>
                <w:sz w:val="16"/>
              </w:rPr>
              <w:t xml:space="preserve">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tcPr>
          <w:p w14:paraId="07C3C45D" w14:textId="77777777" w:rsidR="000B3C5C" w:rsidRDefault="00ED192D">
            <w:pPr>
              <w:spacing w:after="0" w:line="259" w:lineRule="auto"/>
              <w:ind w:left="104"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7C50EA97" w14:textId="77777777" w:rsidR="000B3C5C" w:rsidRDefault="00ED192D">
            <w:pPr>
              <w:spacing w:after="0" w:line="259" w:lineRule="auto"/>
              <w:ind w:left="109" w:firstLine="0"/>
            </w:pPr>
            <w:r>
              <w:rPr>
                <w:rFonts w:ascii="Arial" w:eastAsia="Arial" w:hAnsi="Arial" w:cs="Arial"/>
                <w:sz w:val="16"/>
              </w:rPr>
              <w:t xml:space="preserve">See </w:t>
            </w:r>
          </w:p>
          <w:p w14:paraId="474495A5"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8.2.2</w:t>
            </w:r>
            <w:r>
              <w:rPr>
                <w:rFonts w:ascii="Arial" w:eastAsia="Arial" w:hAnsi="Arial" w:cs="Arial"/>
                <w:sz w:val="16"/>
              </w:rPr>
              <w:t xml:space="preserve"> </w:t>
            </w:r>
          </w:p>
        </w:tc>
      </w:tr>
    </w:tbl>
    <w:p w14:paraId="4F0F9C39" w14:textId="77777777" w:rsidR="000B3C5C" w:rsidRDefault="000B3C5C">
      <w:pPr>
        <w:spacing w:after="0" w:line="259" w:lineRule="auto"/>
        <w:ind w:left="-1587" w:right="15548" w:firstLine="0"/>
      </w:pPr>
    </w:p>
    <w:tbl>
      <w:tblPr>
        <w:tblStyle w:val="TableGrid"/>
        <w:tblW w:w="14338" w:type="dxa"/>
        <w:tblInd w:w="-108" w:type="dxa"/>
        <w:tblCellMar>
          <w:top w:w="63" w:type="dxa"/>
          <w:left w:w="94" w:type="dxa"/>
          <w:bottom w:w="27" w:type="dxa"/>
          <w:right w:w="17" w:type="dxa"/>
        </w:tblCellMar>
        <w:tblLook w:val="04A0" w:firstRow="1" w:lastRow="0" w:firstColumn="1" w:lastColumn="0" w:noHBand="0" w:noVBand="1"/>
      </w:tblPr>
      <w:tblGrid>
        <w:gridCol w:w="1782"/>
        <w:gridCol w:w="595"/>
        <w:gridCol w:w="746"/>
        <w:gridCol w:w="646"/>
        <w:gridCol w:w="588"/>
        <w:gridCol w:w="577"/>
        <w:gridCol w:w="3027"/>
        <w:gridCol w:w="1290"/>
        <w:gridCol w:w="1303"/>
        <w:gridCol w:w="1142"/>
        <w:gridCol w:w="1371"/>
        <w:gridCol w:w="1271"/>
      </w:tblGrid>
      <w:tr w:rsidR="000B3C5C" w14:paraId="1CF9A5A2" w14:textId="77777777">
        <w:trPr>
          <w:trHeight w:val="415"/>
        </w:trPr>
        <w:tc>
          <w:tcPr>
            <w:tcW w:w="1575" w:type="dxa"/>
            <w:vMerge w:val="restart"/>
            <w:tcBorders>
              <w:top w:val="single" w:sz="4" w:space="0" w:color="000000"/>
              <w:left w:val="single" w:sz="4" w:space="0" w:color="000000"/>
              <w:bottom w:val="single" w:sz="6" w:space="0" w:color="000000"/>
              <w:right w:val="single" w:sz="6" w:space="0" w:color="000000"/>
            </w:tcBorders>
            <w:vAlign w:val="center"/>
          </w:tcPr>
          <w:p w14:paraId="24E90E9A" w14:textId="77777777" w:rsidR="000B3C5C" w:rsidRDefault="00ED192D">
            <w:pPr>
              <w:spacing w:after="0" w:line="259" w:lineRule="auto"/>
              <w:ind w:left="0" w:right="78" w:firstLine="0"/>
              <w:jc w:val="center"/>
            </w:pPr>
            <w:r>
              <w:rPr>
                <w:rFonts w:ascii="Arial" w:eastAsia="Arial" w:hAnsi="Arial" w:cs="Arial"/>
                <w:b/>
                <w:sz w:val="18"/>
              </w:rPr>
              <w:t xml:space="preserve">Evaluation </w:t>
            </w:r>
          </w:p>
        </w:tc>
        <w:tc>
          <w:tcPr>
            <w:tcW w:w="1341" w:type="dxa"/>
            <w:gridSpan w:val="2"/>
            <w:vMerge w:val="restart"/>
            <w:tcBorders>
              <w:top w:val="single" w:sz="4" w:space="0" w:color="000000"/>
              <w:left w:val="single" w:sz="6" w:space="0" w:color="000000"/>
              <w:bottom w:val="single" w:sz="4" w:space="0" w:color="000000"/>
              <w:right w:val="single" w:sz="6" w:space="0" w:color="000000"/>
            </w:tcBorders>
          </w:tcPr>
          <w:p w14:paraId="1BE1DFE5" w14:textId="77777777" w:rsidR="000B3C5C" w:rsidRDefault="00ED192D">
            <w:pPr>
              <w:spacing w:after="0" w:line="259" w:lineRule="auto"/>
              <w:ind w:left="0" w:right="85" w:firstLine="0"/>
              <w:jc w:val="center"/>
            </w:pPr>
            <w:r>
              <w:rPr>
                <w:rFonts w:ascii="Arial" w:eastAsia="Arial" w:hAnsi="Arial" w:cs="Arial"/>
                <w:b/>
                <w:sz w:val="18"/>
              </w:rPr>
              <w:t xml:space="preserve">Screening  </w:t>
            </w:r>
          </w:p>
          <w:p w14:paraId="435725A3" w14:textId="77777777" w:rsidR="000B3C5C" w:rsidRDefault="00ED192D">
            <w:pPr>
              <w:spacing w:after="128" w:line="241" w:lineRule="auto"/>
              <w:ind w:left="67" w:right="154" w:firstLine="130"/>
              <w:jc w:val="both"/>
            </w:pPr>
            <w:r>
              <w:rPr>
                <w:rFonts w:ascii="Arial" w:eastAsia="Arial" w:hAnsi="Arial" w:cs="Arial"/>
                <w:b/>
                <w:sz w:val="18"/>
              </w:rPr>
              <w:t xml:space="preserve">(up to 28 days before Day 1) </w:t>
            </w:r>
          </w:p>
          <w:p w14:paraId="014BC911" w14:textId="77777777" w:rsidR="000B3C5C" w:rsidRDefault="00ED192D">
            <w:pPr>
              <w:spacing w:after="0" w:line="259" w:lineRule="auto"/>
              <w:ind w:left="0" w:right="39" w:firstLine="0"/>
              <w:jc w:val="center"/>
            </w:pPr>
            <w:r>
              <w:rPr>
                <w:rFonts w:ascii="Arial" w:eastAsia="Arial" w:hAnsi="Arial" w:cs="Arial"/>
                <w:b/>
                <w:sz w:val="18"/>
              </w:rPr>
              <w:t xml:space="preserve"> </w:t>
            </w:r>
          </w:p>
        </w:tc>
        <w:tc>
          <w:tcPr>
            <w:tcW w:w="5020" w:type="dxa"/>
            <w:gridSpan w:val="4"/>
            <w:vMerge w:val="restart"/>
            <w:tcBorders>
              <w:top w:val="single" w:sz="4" w:space="0" w:color="000000"/>
              <w:left w:val="single" w:sz="6" w:space="0" w:color="000000"/>
              <w:bottom w:val="single" w:sz="4" w:space="0" w:color="000000"/>
              <w:right w:val="single" w:sz="6" w:space="0" w:color="000000"/>
            </w:tcBorders>
          </w:tcPr>
          <w:p w14:paraId="536D4566" w14:textId="77777777" w:rsidR="000B3C5C" w:rsidRDefault="00ED192D">
            <w:pPr>
              <w:spacing w:after="0" w:line="259" w:lineRule="auto"/>
              <w:ind w:left="0" w:right="90" w:firstLine="0"/>
              <w:jc w:val="center"/>
            </w:pPr>
            <w:r>
              <w:rPr>
                <w:rFonts w:ascii="Arial" w:eastAsia="Arial" w:hAnsi="Arial" w:cs="Arial"/>
                <w:b/>
                <w:sz w:val="18"/>
              </w:rPr>
              <w:t>Treatment Phase</w:t>
            </w:r>
            <w:r>
              <w:rPr>
                <w:rFonts w:ascii="Arial" w:eastAsia="Arial" w:hAnsi="Arial" w:cs="Arial"/>
                <w:b/>
                <w:i/>
                <w:color w:val="0000FF"/>
                <w:sz w:val="28"/>
                <w:vertAlign w:val="superscript"/>
              </w:rPr>
              <w:t>a</w:t>
            </w:r>
            <w:r>
              <w:rPr>
                <w:rFonts w:ascii="Arial" w:eastAsia="Arial" w:hAnsi="Arial" w:cs="Arial"/>
                <w:b/>
                <w:sz w:val="20"/>
              </w:rPr>
              <w:t xml:space="preserve"> </w:t>
            </w:r>
          </w:p>
        </w:tc>
        <w:tc>
          <w:tcPr>
            <w:tcW w:w="1307" w:type="dxa"/>
            <w:vMerge w:val="restart"/>
            <w:tcBorders>
              <w:top w:val="single" w:sz="4" w:space="0" w:color="000000"/>
              <w:left w:val="single" w:sz="6" w:space="0" w:color="000000"/>
              <w:bottom w:val="single" w:sz="4" w:space="0" w:color="000000"/>
              <w:right w:val="single" w:sz="6" w:space="0" w:color="000000"/>
            </w:tcBorders>
          </w:tcPr>
          <w:p w14:paraId="220C4B0D" w14:textId="77777777" w:rsidR="000B3C5C" w:rsidRDefault="00ED192D">
            <w:pPr>
              <w:spacing w:after="0" w:line="259" w:lineRule="auto"/>
              <w:ind w:left="0" w:right="80" w:firstLine="0"/>
              <w:jc w:val="center"/>
            </w:pPr>
            <w:r>
              <w:rPr>
                <w:rFonts w:ascii="Arial" w:eastAsia="Arial" w:hAnsi="Arial" w:cs="Arial"/>
                <w:b/>
                <w:sz w:val="18"/>
              </w:rPr>
              <w:t xml:space="preserve">End of </w:t>
            </w:r>
          </w:p>
          <w:p w14:paraId="4CA7ED5D" w14:textId="77777777" w:rsidR="000B3C5C" w:rsidRDefault="00ED192D">
            <w:pPr>
              <w:spacing w:after="0" w:line="259" w:lineRule="auto"/>
              <w:ind w:left="0" w:right="80" w:firstLine="0"/>
              <w:jc w:val="center"/>
            </w:pPr>
            <w:r>
              <w:rPr>
                <w:rFonts w:ascii="Arial" w:eastAsia="Arial" w:hAnsi="Arial" w:cs="Arial"/>
                <w:b/>
                <w:sz w:val="18"/>
              </w:rPr>
              <w:t xml:space="preserve">Treatment  </w:t>
            </w:r>
          </w:p>
          <w:p w14:paraId="6149F91A" w14:textId="77777777" w:rsidR="000B3C5C" w:rsidRDefault="00ED192D">
            <w:pPr>
              <w:spacing w:after="0" w:line="259" w:lineRule="auto"/>
              <w:ind w:left="0" w:right="80" w:firstLine="0"/>
              <w:jc w:val="center"/>
            </w:pPr>
            <w:r>
              <w:rPr>
                <w:rFonts w:ascii="Arial" w:eastAsia="Arial" w:hAnsi="Arial" w:cs="Arial"/>
                <w:b/>
                <w:sz w:val="18"/>
              </w:rPr>
              <w:t xml:space="preserve">(EOT) </w:t>
            </w:r>
          </w:p>
        </w:tc>
        <w:tc>
          <w:tcPr>
            <w:tcW w:w="3917" w:type="dxa"/>
            <w:gridSpan w:val="3"/>
            <w:vMerge w:val="restart"/>
            <w:tcBorders>
              <w:top w:val="single" w:sz="4" w:space="0" w:color="000000"/>
              <w:left w:val="single" w:sz="6" w:space="0" w:color="000000"/>
              <w:bottom w:val="single" w:sz="4" w:space="0" w:color="000000"/>
              <w:right w:val="single" w:sz="6" w:space="0" w:color="000000"/>
            </w:tcBorders>
            <w:vAlign w:val="center"/>
          </w:tcPr>
          <w:p w14:paraId="6DE63EFF" w14:textId="77777777" w:rsidR="000B3C5C" w:rsidRDefault="00ED192D">
            <w:pPr>
              <w:spacing w:after="0" w:line="259" w:lineRule="auto"/>
              <w:ind w:left="0" w:right="77" w:firstLine="0"/>
              <w:jc w:val="center"/>
            </w:pPr>
            <w:r>
              <w:rPr>
                <w:rFonts w:ascii="Arial" w:eastAsia="Arial" w:hAnsi="Arial" w:cs="Arial"/>
                <w:b/>
                <w:sz w:val="18"/>
              </w:rPr>
              <w:t xml:space="preserve">Post Treatment Follow-up Phase </w:t>
            </w:r>
          </w:p>
        </w:tc>
        <w:tc>
          <w:tcPr>
            <w:tcW w:w="1177" w:type="dxa"/>
            <w:tcBorders>
              <w:top w:val="single" w:sz="4" w:space="0" w:color="000000"/>
              <w:left w:val="single" w:sz="6" w:space="0" w:color="000000"/>
              <w:bottom w:val="single" w:sz="4" w:space="0" w:color="000000"/>
              <w:right w:val="single" w:sz="4" w:space="0" w:color="000000"/>
            </w:tcBorders>
          </w:tcPr>
          <w:p w14:paraId="350BB3B3" w14:textId="77777777" w:rsidR="000B3C5C" w:rsidRDefault="00ED192D">
            <w:pPr>
              <w:spacing w:after="0" w:line="259" w:lineRule="auto"/>
              <w:ind w:left="0" w:right="79" w:firstLine="0"/>
              <w:jc w:val="center"/>
            </w:pPr>
            <w:r>
              <w:rPr>
                <w:rFonts w:ascii="Arial" w:eastAsia="Arial" w:hAnsi="Arial" w:cs="Arial"/>
                <w:b/>
                <w:sz w:val="20"/>
              </w:rPr>
              <w:t xml:space="preserve">Notes </w:t>
            </w:r>
          </w:p>
        </w:tc>
      </w:tr>
      <w:tr w:rsidR="000B3C5C" w14:paraId="2C168554" w14:textId="77777777">
        <w:trPr>
          <w:trHeight w:val="542"/>
        </w:trPr>
        <w:tc>
          <w:tcPr>
            <w:tcW w:w="0" w:type="auto"/>
            <w:vMerge/>
            <w:tcBorders>
              <w:top w:val="nil"/>
              <w:left w:val="single" w:sz="4" w:space="0" w:color="000000"/>
              <w:bottom w:val="nil"/>
              <w:right w:val="single" w:sz="6" w:space="0" w:color="000000"/>
            </w:tcBorders>
          </w:tcPr>
          <w:p w14:paraId="3053F5E5" w14:textId="77777777" w:rsidR="000B3C5C" w:rsidRDefault="000B3C5C">
            <w:pPr>
              <w:spacing w:after="160" w:line="259" w:lineRule="auto"/>
              <w:ind w:left="0" w:firstLine="0"/>
            </w:pPr>
          </w:p>
        </w:tc>
        <w:tc>
          <w:tcPr>
            <w:tcW w:w="0" w:type="auto"/>
            <w:gridSpan w:val="2"/>
            <w:vMerge/>
            <w:tcBorders>
              <w:top w:val="nil"/>
              <w:left w:val="single" w:sz="6" w:space="0" w:color="000000"/>
              <w:bottom w:val="nil"/>
              <w:right w:val="single" w:sz="6" w:space="0" w:color="000000"/>
            </w:tcBorders>
          </w:tcPr>
          <w:p w14:paraId="200D14F4" w14:textId="77777777" w:rsidR="000B3C5C" w:rsidRDefault="000B3C5C">
            <w:pPr>
              <w:spacing w:after="160" w:line="259" w:lineRule="auto"/>
              <w:ind w:left="0" w:firstLine="0"/>
            </w:pPr>
          </w:p>
        </w:tc>
        <w:tc>
          <w:tcPr>
            <w:tcW w:w="0" w:type="auto"/>
            <w:gridSpan w:val="4"/>
            <w:vMerge/>
            <w:tcBorders>
              <w:top w:val="nil"/>
              <w:left w:val="single" w:sz="6" w:space="0" w:color="000000"/>
              <w:bottom w:val="single" w:sz="4" w:space="0" w:color="000000"/>
              <w:right w:val="single" w:sz="6" w:space="0" w:color="000000"/>
            </w:tcBorders>
          </w:tcPr>
          <w:p w14:paraId="30E9A869" w14:textId="77777777" w:rsidR="000B3C5C" w:rsidRDefault="000B3C5C">
            <w:pPr>
              <w:spacing w:after="160" w:line="259" w:lineRule="auto"/>
              <w:ind w:left="0" w:firstLine="0"/>
            </w:pPr>
          </w:p>
        </w:tc>
        <w:tc>
          <w:tcPr>
            <w:tcW w:w="0" w:type="auto"/>
            <w:vMerge/>
            <w:tcBorders>
              <w:top w:val="nil"/>
              <w:left w:val="single" w:sz="6" w:space="0" w:color="000000"/>
              <w:bottom w:val="single" w:sz="4" w:space="0" w:color="000000"/>
              <w:right w:val="single" w:sz="6" w:space="0" w:color="000000"/>
            </w:tcBorders>
          </w:tcPr>
          <w:p w14:paraId="0EEEA0D6" w14:textId="77777777" w:rsidR="000B3C5C" w:rsidRDefault="000B3C5C">
            <w:pPr>
              <w:spacing w:after="160" w:line="259" w:lineRule="auto"/>
              <w:ind w:left="0" w:firstLine="0"/>
            </w:pPr>
          </w:p>
        </w:tc>
        <w:tc>
          <w:tcPr>
            <w:tcW w:w="0" w:type="auto"/>
            <w:gridSpan w:val="3"/>
            <w:vMerge/>
            <w:tcBorders>
              <w:top w:val="nil"/>
              <w:left w:val="single" w:sz="6" w:space="0" w:color="000000"/>
              <w:bottom w:val="single" w:sz="4" w:space="0" w:color="000000"/>
              <w:right w:val="single" w:sz="6" w:space="0" w:color="000000"/>
            </w:tcBorders>
          </w:tcPr>
          <w:p w14:paraId="739CD94D" w14:textId="77777777" w:rsidR="000B3C5C" w:rsidRDefault="000B3C5C">
            <w:pPr>
              <w:spacing w:after="160" w:line="259" w:lineRule="auto"/>
              <w:ind w:left="0" w:firstLine="0"/>
            </w:pPr>
          </w:p>
        </w:tc>
        <w:tc>
          <w:tcPr>
            <w:tcW w:w="1177" w:type="dxa"/>
            <w:vMerge w:val="restart"/>
            <w:tcBorders>
              <w:top w:val="single" w:sz="4" w:space="0" w:color="000000"/>
              <w:left w:val="single" w:sz="6" w:space="0" w:color="000000"/>
              <w:bottom w:val="single" w:sz="6" w:space="0" w:color="000000"/>
              <w:right w:val="single" w:sz="4" w:space="0" w:color="000000"/>
            </w:tcBorders>
          </w:tcPr>
          <w:p w14:paraId="63495B94" w14:textId="77777777" w:rsidR="000B3C5C" w:rsidRDefault="00ED192D">
            <w:pPr>
              <w:spacing w:after="110" w:line="240" w:lineRule="auto"/>
              <w:ind w:left="259" w:hanging="245"/>
            </w:pPr>
            <w:r>
              <w:rPr>
                <w:rFonts w:ascii="Arial" w:eastAsia="Arial" w:hAnsi="Arial" w:cs="Arial"/>
                <w:i/>
                <w:sz w:val="18"/>
              </w:rPr>
              <w:t xml:space="preserve">a </w:t>
            </w:r>
            <w:r>
              <w:rPr>
                <w:rFonts w:ascii="Arial" w:eastAsia="Arial" w:hAnsi="Arial" w:cs="Arial"/>
                <w:sz w:val="18"/>
              </w:rPr>
              <w:t xml:space="preserve"> </w:t>
            </w:r>
            <w:r>
              <w:rPr>
                <w:rFonts w:ascii="Arial" w:eastAsia="Arial" w:hAnsi="Arial" w:cs="Arial"/>
                <w:sz w:val="18"/>
              </w:rPr>
              <w:t xml:space="preserve">A cycle is 21 days </w:t>
            </w:r>
          </w:p>
          <w:p w14:paraId="104B194E" w14:textId="77777777" w:rsidR="000B3C5C" w:rsidRDefault="00ED192D">
            <w:pPr>
              <w:spacing w:after="0" w:line="259" w:lineRule="auto"/>
              <w:ind w:left="14" w:firstLine="0"/>
            </w:pPr>
            <w:r>
              <w:rPr>
                <w:rFonts w:ascii="Arial" w:eastAsia="Arial" w:hAnsi="Arial" w:cs="Arial"/>
                <w:sz w:val="16"/>
              </w:rPr>
              <w:t xml:space="preserve"> </w:t>
            </w:r>
          </w:p>
        </w:tc>
      </w:tr>
      <w:tr w:rsidR="000B3C5C" w14:paraId="117185D6" w14:textId="77777777">
        <w:trPr>
          <w:trHeight w:val="547"/>
        </w:trPr>
        <w:tc>
          <w:tcPr>
            <w:tcW w:w="0" w:type="auto"/>
            <w:vMerge/>
            <w:tcBorders>
              <w:top w:val="nil"/>
              <w:left w:val="single" w:sz="4" w:space="0" w:color="000000"/>
              <w:bottom w:val="nil"/>
              <w:right w:val="single" w:sz="6" w:space="0" w:color="000000"/>
            </w:tcBorders>
          </w:tcPr>
          <w:p w14:paraId="77059FA2" w14:textId="77777777" w:rsidR="000B3C5C" w:rsidRDefault="000B3C5C">
            <w:pPr>
              <w:spacing w:after="160" w:line="259" w:lineRule="auto"/>
              <w:ind w:left="0" w:firstLine="0"/>
            </w:pPr>
          </w:p>
        </w:tc>
        <w:tc>
          <w:tcPr>
            <w:tcW w:w="0" w:type="auto"/>
            <w:gridSpan w:val="2"/>
            <w:vMerge/>
            <w:tcBorders>
              <w:top w:val="nil"/>
              <w:left w:val="single" w:sz="6" w:space="0" w:color="000000"/>
              <w:bottom w:val="single" w:sz="4" w:space="0" w:color="000000"/>
              <w:right w:val="single" w:sz="6" w:space="0" w:color="000000"/>
            </w:tcBorders>
          </w:tcPr>
          <w:p w14:paraId="2DCA0BEE" w14:textId="77777777" w:rsidR="000B3C5C" w:rsidRDefault="000B3C5C">
            <w:pPr>
              <w:spacing w:after="160" w:line="259" w:lineRule="auto"/>
              <w:ind w:left="0" w:firstLine="0"/>
            </w:pPr>
          </w:p>
        </w:tc>
        <w:tc>
          <w:tcPr>
            <w:tcW w:w="1849" w:type="dxa"/>
            <w:gridSpan w:val="3"/>
            <w:tcBorders>
              <w:top w:val="single" w:sz="4" w:space="0" w:color="000000"/>
              <w:left w:val="single" w:sz="6" w:space="0" w:color="000000"/>
              <w:bottom w:val="single" w:sz="6" w:space="0" w:color="000000"/>
              <w:right w:val="single" w:sz="6" w:space="0" w:color="000000"/>
            </w:tcBorders>
          </w:tcPr>
          <w:p w14:paraId="3B386986" w14:textId="77777777" w:rsidR="000B3C5C" w:rsidRDefault="00ED192D">
            <w:pPr>
              <w:spacing w:after="0" w:line="259" w:lineRule="auto"/>
              <w:ind w:left="0" w:right="89" w:firstLine="0"/>
              <w:jc w:val="center"/>
            </w:pPr>
            <w:r>
              <w:rPr>
                <w:rFonts w:ascii="Arial" w:eastAsia="Arial" w:hAnsi="Arial" w:cs="Arial"/>
                <w:b/>
                <w:sz w:val="18"/>
              </w:rPr>
              <w:t xml:space="preserve">Cycle 1 </w:t>
            </w:r>
          </w:p>
        </w:tc>
        <w:tc>
          <w:tcPr>
            <w:tcW w:w="3171" w:type="dxa"/>
            <w:tcBorders>
              <w:top w:val="single" w:sz="4" w:space="0" w:color="000000"/>
              <w:left w:val="single" w:sz="6" w:space="0" w:color="000000"/>
              <w:bottom w:val="single" w:sz="4" w:space="0" w:color="000000"/>
              <w:right w:val="single" w:sz="6" w:space="0" w:color="000000"/>
            </w:tcBorders>
          </w:tcPr>
          <w:p w14:paraId="7E351F21" w14:textId="77777777" w:rsidR="000B3C5C" w:rsidRDefault="00ED192D">
            <w:pPr>
              <w:spacing w:after="0" w:line="259" w:lineRule="auto"/>
              <w:ind w:left="0" w:right="80" w:firstLine="0"/>
              <w:jc w:val="center"/>
            </w:pPr>
            <w:r>
              <w:rPr>
                <w:rFonts w:ascii="Arial" w:eastAsia="Arial" w:hAnsi="Arial" w:cs="Arial"/>
                <w:b/>
                <w:sz w:val="18"/>
              </w:rPr>
              <w:t xml:space="preserve">Cycle 2 and Beyond </w:t>
            </w:r>
          </w:p>
        </w:tc>
        <w:tc>
          <w:tcPr>
            <w:tcW w:w="1307" w:type="dxa"/>
            <w:tcBorders>
              <w:top w:val="single" w:sz="4" w:space="0" w:color="000000"/>
              <w:left w:val="single" w:sz="6" w:space="0" w:color="000000"/>
              <w:bottom w:val="single" w:sz="4" w:space="0" w:color="000000"/>
              <w:right w:val="single" w:sz="6" w:space="0" w:color="000000"/>
            </w:tcBorders>
          </w:tcPr>
          <w:p w14:paraId="56F832F1" w14:textId="77777777" w:rsidR="000B3C5C" w:rsidRDefault="00ED192D">
            <w:pPr>
              <w:spacing w:after="0" w:line="259" w:lineRule="auto"/>
              <w:ind w:left="0" w:right="29" w:firstLine="0"/>
              <w:jc w:val="center"/>
            </w:pPr>
            <w:r>
              <w:rPr>
                <w:rFonts w:ascii="Arial" w:eastAsia="Arial" w:hAnsi="Arial" w:cs="Arial"/>
                <w:b/>
                <w:sz w:val="18"/>
              </w:rPr>
              <w:t xml:space="preserve"> </w:t>
            </w:r>
          </w:p>
        </w:tc>
        <w:tc>
          <w:tcPr>
            <w:tcW w:w="2508" w:type="dxa"/>
            <w:gridSpan w:val="2"/>
            <w:tcBorders>
              <w:top w:val="single" w:sz="4" w:space="0" w:color="000000"/>
              <w:left w:val="single" w:sz="6" w:space="0" w:color="000000"/>
              <w:bottom w:val="single" w:sz="4" w:space="0" w:color="000000"/>
              <w:right w:val="single" w:sz="6" w:space="0" w:color="000000"/>
            </w:tcBorders>
          </w:tcPr>
          <w:p w14:paraId="0AC72E6E" w14:textId="77777777" w:rsidR="000B3C5C" w:rsidRDefault="00ED192D">
            <w:pPr>
              <w:spacing w:after="0" w:line="259" w:lineRule="auto"/>
              <w:ind w:left="0" w:right="78" w:firstLine="0"/>
              <w:jc w:val="center"/>
            </w:pPr>
            <w:r>
              <w:rPr>
                <w:rFonts w:ascii="Arial" w:eastAsia="Arial" w:hAnsi="Arial" w:cs="Arial"/>
                <w:b/>
                <w:sz w:val="18"/>
              </w:rPr>
              <w:t xml:space="preserve">Safety follow-up Period </w:t>
            </w:r>
          </w:p>
        </w:tc>
        <w:tc>
          <w:tcPr>
            <w:tcW w:w="1409" w:type="dxa"/>
            <w:tcBorders>
              <w:top w:val="single" w:sz="4" w:space="0" w:color="000000"/>
              <w:left w:val="single" w:sz="6" w:space="0" w:color="000000"/>
              <w:bottom w:val="single" w:sz="4" w:space="0" w:color="000000"/>
              <w:right w:val="single" w:sz="6" w:space="0" w:color="000000"/>
            </w:tcBorders>
          </w:tcPr>
          <w:p w14:paraId="164CF480" w14:textId="77777777" w:rsidR="000B3C5C" w:rsidRDefault="00ED192D">
            <w:pPr>
              <w:spacing w:after="0" w:line="259" w:lineRule="auto"/>
              <w:ind w:left="0" w:firstLine="0"/>
              <w:jc w:val="center"/>
            </w:pPr>
            <w:r>
              <w:rPr>
                <w:rFonts w:ascii="Arial" w:eastAsia="Arial" w:hAnsi="Arial" w:cs="Arial"/>
                <w:b/>
                <w:sz w:val="18"/>
              </w:rPr>
              <w:t xml:space="preserve">Survival follow-up </w:t>
            </w:r>
          </w:p>
        </w:tc>
        <w:tc>
          <w:tcPr>
            <w:tcW w:w="0" w:type="auto"/>
            <w:vMerge/>
            <w:tcBorders>
              <w:top w:val="nil"/>
              <w:left w:val="single" w:sz="6" w:space="0" w:color="000000"/>
              <w:bottom w:val="nil"/>
              <w:right w:val="single" w:sz="4" w:space="0" w:color="000000"/>
            </w:tcBorders>
          </w:tcPr>
          <w:p w14:paraId="214C915E" w14:textId="77777777" w:rsidR="000B3C5C" w:rsidRDefault="000B3C5C">
            <w:pPr>
              <w:spacing w:after="160" w:line="259" w:lineRule="auto"/>
              <w:ind w:left="0" w:firstLine="0"/>
            </w:pPr>
          </w:p>
        </w:tc>
      </w:tr>
      <w:tr w:rsidR="000B3C5C" w14:paraId="6558F215" w14:textId="77777777">
        <w:trPr>
          <w:trHeight w:val="1232"/>
        </w:trPr>
        <w:tc>
          <w:tcPr>
            <w:tcW w:w="0" w:type="auto"/>
            <w:vMerge/>
            <w:tcBorders>
              <w:top w:val="nil"/>
              <w:left w:val="single" w:sz="4" w:space="0" w:color="000000"/>
              <w:bottom w:val="single" w:sz="6" w:space="0" w:color="000000"/>
              <w:right w:val="single" w:sz="6" w:space="0" w:color="000000"/>
            </w:tcBorders>
          </w:tcPr>
          <w:p w14:paraId="4B282F8B" w14:textId="77777777" w:rsidR="000B3C5C" w:rsidRDefault="000B3C5C">
            <w:pPr>
              <w:spacing w:after="160" w:line="259" w:lineRule="auto"/>
              <w:ind w:left="0" w:firstLine="0"/>
            </w:pPr>
          </w:p>
        </w:tc>
        <w:tc>
          <w:tcPr>
            <w:tcW w:w="600" w:type="dxa"/>
            <w:tcBorders>
              <w:top w:val="single" w:sz="4" w:space="0" w:color="000000"/>
              <w:left w:val="single" w:sz="6" w:space="0" w:color="000000"/>
              <w:bottom w:val="single" w:sz="6" w:space="0" w:color="000000"/>
              <w:right w:val="single" w:sz="6" w:space="0" w:color="000000"/>
            </w:tcBorders>
          </w:tcPr>
          <w:p w14:paraId="5FB4C84D" w14:textId="77777777" w:rsidR="000B3C5C" w:rsidRDefault="00ED192D">
            <w:pPr>
              <w:spacing w:after="59" w:line="241" w:lineRule="auto"/>
              <w:ind w:left="16" w:right="82" w:firstLine="0"/>
            </w:pPr>
            <w:r>
              <w:rPr>
                <w:rFonts w:ascii="Arial" w:eastAsia="Arial" w:hAnsi="Arial" w:cs="Arial"/>
                <w:b/>
                <w:sz w:val="18"/>
              </w:rPr>
              <w:t xml:space="preserve">D28 to </w:t>
            </w:r>
          </w:p>
          <w:p w14:paraId="357525E3" w14:textId="77777777" w:rsidR="000B3C5C" w:rsidRDefault="00ED192D">
            <w:pPr>
              <w:spacing w:after="0" w:line="259" w:lineRule="auto"/>
              <w:ind w:left="16" w:right="82" w:firstLine="0"/>
            </w:pPr>
            <w:r>
              <w:rPr>
                <w:rFonts w:ascii="Arial" w:eastAsia="Arial" w:hAnsi="Arial" w:cs="Arial"/>
                <w:b/>
                <w:sz w:val="18"/>
              </w:rPr>
              <w:t xml:space="preserve">D15 </w:t>
            </w:r>
          </w:p>
        </w:tc>
        <w:tc>
          <w:tcPr>
            <w:tcW w:w="741" w:type="dxa"/>
            <w:tcBorders>
              <w:top w:val="single" w:sz="4" w:space="0" w:color="000000"/>
              <w:left w:val="single" w:sz="6" w:space="0" w:color="000000"/>
              <w:bottom w:val="single" w:sz="6" w:space="0" w:color="000000"/>
              <w:right w:val="single" w:sz="6" w:space="0" w:color="000000"/>
            </w:tcBorders>
          </w:tcPr>
          <w:p w14:paraId="6A3B4F3A" w14:textId="77777777" w:rsidR="000B3C5C" w:rsidRDefault="00ED192D">
            <w:pPr>
              <w:spacing w:after="0" w:line="259" w:lineRule="auto"/>
              <w:ind w:left="14" w:right="106" w:firstLine="0"/>
            </w:pPr>
            <w:r>
              <w:rPr>
                <w:rFonts w:ascii="Arial" w:eastAsia="Arial" w:hAnsi="Arial" w:cs="Arial"/>
                <w:b/>
                <w:sz w:val="18"/>
              </w:rPr>
              <w:t xml:space="preserve">D-14 to D-1 </w:t>
            </w:r>
          </w:p>
        </w:tc>
        <w:tc>
          <w:tcPr>
            <w:tcW w:w="661" w:type="dxa"/>
            <w:tcBorders>
              <w:top w:val="single" w:sz="6" w:space="0" w:color="000000"/>
              <w:left w:val="single" w:sz="6" w:space="0" w:color="000000"/>
              <w:bottom w:val="single" w:sz="6" w:space="0" w:color="000000"/>
              <w:right w:val="single" w:sz="6" w:space="0" w:color="000000"/>
            </w:tcBorders>
          </w:tcPr>
          <w:p w14:paraId="005B5524" w14:textId="77777777" w:rsidR="000B3C5C" w:rsidRDefault="00ED192D">
            <w:pPr>
              <w:spacing w:after="0" w:line="259" w:lineRule="auto"/>
              <w:ind w:left="0" w:firstLine="0"/>
            </w:pPr>
            <w:r>
              <w:rPr>
                <w:rFonts w:ascii="Arial" w:eastAsia="Arial" w:hAnsi="Arial" w:cs="Arial"/>
                <w:b/>
                <w:sz w:val="18"/>
              </w:rPr>
              <w:t>D1</w:t>
            </w:r>
            <w:r>
              <w:rPr>
                <w:rFonts w:ascii="Arial" w:eastAsia="Arial" w:hAnsi="Arial" w:cs="Arial"/>
                <w:b/>
                <w:sz w:val="20"/>
              </w:rPr>
              <w:t xml:space="preserve"> </w:t>
            </w:r>
          </w:p>
          <w:p w14:paraId="4ADDFD3A" w14:textId="77777777" w:rsidR="000B3C5C" w:rsidRDefault="00ED192D">
            <w:pPr>
              <w:spacing w:after="0" w:line="259" w:lineRule="auto"/>
              <w:ind w:left="0" w:firstLine="0"/>
            </w:pPr>
            <w:r>
              <w:rPr>
                <w:rFonts w:ascii="Arial" w:eastAsia="Arial" w:hAnsi="Arial" w:cs="Arial"/>
                <w:b/>
                <w:sz w:val="20"/>
              </w:rPr>
              <w:t>(</w:t>
            </w:r>
            <w:r>
              <w:rPr>
                <w:rFonts w:ascii="Arial" w:eastAsia="Arial" w:hAnsi="Arial" w:cs="Arial"/>
                <w:b/>
                <w:sz w:val="18"/>
              </w:rPr>
              <w:t xml:space="preserve">±1) </w:t>
            </w:r>
          </w:p>
        </w:tc>
        <w:tc>
          <w:tcPr>
            <w:tcW w:w="602" w:type="dxa"/>
            <w:tcBorders>
              <w:top w:val="single" w:sz="6" w:space="0" w:color="000000"/>
              <w:left w:val="single" w:sz="6" w:space="0" w:color="000000"/>
              <w:bottom w:val="single" w:sz="6" w:space="0" w:color="000000"/>
              <w:right w:val="single" w:sz="6" w:space="0" w:color="000000"/>
            </w:tcBorders>
          </w:tcPr>
          <w:p w14:paraId="414867EC" w14:textId="77777777" w:rsidR="000B3C5C" w:rsidRDefault="00ED192D">
            <w:pPr>
              <w:spacing w:after="0" w:line="259" w:lineRule="auto"/>
              <w:ind w:left="21" w:firstLine="0"/>
            </w:pPr>
            <w:r>
              <w:rPr>
                <w:rFonts w:ascii="Arial" w:eastAsia="Arial" w:hAnsi="Arial" w:cs="Arial"/>
                <w:b/>
                <w:sz w:val="18"/>
              </w:rPr>
              <w:t xml:space="preserve">D8 </w:t>
            </w:r>
          </w:p>
          <w:p w14:paraId="11C7A666" w14:textId="77777777" w:rsidR="000B3C5C" w:rsidRDefault="00ED192D">
            <w:pPr>
              <w:spacing w:after="0" w:line="259" w:lineRule="auto"/>
              <w:ind w:left="21" w:firstLine="0"/>
            </w:pPr>
            <w:r>
              <w:rPr>
                <w:rFonts w:ascii="Arial" w:eastAsia="Arial" w:hAnsi="Arial" w:cs="Arial"/>
                <w:b/>
                <w:sz w:val="18"/>
              </w:rPr>
              <w:t xml:space="preserve">(± 1) </w:t>
            </w:r>
          </w:p>
        </w:tc>
        <w:tc>
          <w:tcPr>
            <w:tcW w:w="585" w:type="dxa"/>
            <w:tcBorders>
              <w:top w:val="single" w:sz="6" w:space="0" w:color="000000"/>
              <w:left w:val="single" w:sz="6" w:space="0" w:color="000000"/>
              <w:bottom w:val="single" w:sz="6" w:space="0" w:color="000000"/>
              <w:right w:val="single" w:sz="6" w:space="0" w:color="000000"/>
            </w:tcBorders>
          </w:tcPr>
          <w:p w14:paraId="33474C7B" w14:textId="77777777" w:rsidR="000B3C5C" w:rsidRDefault="00ED192D">
            <w:pPr>
              <w:spacing w:after="43" w:line="259" w:lineRule="auto"/>
              <w:ind w:left="14" w:firstLine="0"/>
            </w:pPr>
            <w:r>
              <w:rPr>
                <w:rFonts w:ascii="Arial" w:eastAsia="Arial" w:hAnsi="Arial" w:cs="Arial"/>
                <w:b/>
                <w:sz w:val="18"/>
              </w:rPr>
              <w:t xml:space="preserve">D15 </w:t>
            </w:r>
          </w:p>
          <w:p w14:paraId="514DD1B7" w14:textId="77777777" w:rsidR="000B3C5C" w:rsidRDefault="00ED192D">
            <w:pPr>
              <w:spacing w:after="0" w:line="259" w:lineRule="auto"/>
              <w:ind w:left="14" w:firstLine="0"/>
            </w:pPr>
            <w:r>
              <w:rPr>
                <w:rFonts w:ascii="Arial" w:eastAsia="Arial" w:hAnsi="Arial" w:cs="Arial"/>
                <w:b/>
                <w:sz w:val="18"/>
              </w:rPr>
              <w:t xml:space="preserve">(±1) </w:t>
            </w:r>
          </w:p>
        </w:tc>
        <w:tc>
          <w:tcPr>
            <w:tcW w:w="3171" w:type="dxa"/>
            <w:tcBorders>
              <w:top w:val="single" w:sz="4" w:space="0" w:color="000000"/>
              <w:left w:val="single" w:sz="6" w:space="0" w:color="000000"/>
              <w:bottom w:val="single" w:sz="6" w:space="0" w:color="000000"/>
              <w:right w:val="single" w:sz="6" w:space="0" w:color="000000"/>
            </w:tcBorders>
          </w:tcPr>
          <w:p w14:paraId="31733AD0" w14:textId="77777777" w:rsidR="000B3C5C" w:rsidRDefault="00ED192D">
            <w:pPr>
              <w:spacing w:after="0" w:line="259" w:lineRule="auto"/>
              <w:ind w:left="0" w:right="72" w:firstLine="0"/>
              <w:jc w:val="center"/>
            </w:pPr>
            <w:r>
              <w:rPr>
                <w:rFonts w:ascii="Arial" w:eastAsia="Arial" w:hAnsi="Arial" w:cs="Arial"/>
                <w:b/>
                <w:sz w:val="18"/>
              </w:rPr>
              <w:t xml:space="preserve">D1 (± 2) </w:t>
            </w:r>
          </w:p>
        </w:tc>
        <w:tc>
          <w:tcPr>
            <w:tcW w:w="1307" w:type="dxa"/>
            <w:tcBorders>
              <w:top w:val="single" w:sz="4" w:space="0" w:color="000000"/>
              <w:left w:val="single" w:sz="6" w:space="0" w:color="000000"/>
              <w:bottom w:val="single" w:sz="6" w:space="0" w:color="000000"/>
              <w:right w:val="single" w:sz="6" w:space="0" w:color="000000"/>
            </w:tcBorders>
          </w:tcPr>
          <w:p w14:paraId="2CA41588" w14:textId="77777777" w:rsidR="000B3C5C" w:rsidRDefault="00ED192D">
            <w:pPr>
              <w:spacing w:after="2" w:line="239" w:lineRule="auto"/>
              <w:ind w:left="0" w:firstLine="0"/>
              <w:jc w:val="center"/>
            </w:pPr>
            <w:r>
              <w:rPr>
                <w:rFonts w:ascii="Arial" w:eastAsia="Arial" w:hAnsi="Arial" w:cs="Arial"/>
                <w:b/>
                <w:sz w:val="18"/>
              </w:rPr>
              <w:t xml:space="preserve">30 (±7) days after last </w:t>
            </w:r>
          </w:p>
          <w:p w14:paraId="2DDABF53" w14:textId="77777777" w:rsidR="000B3C5C" w:rsidRDefault="00ED192D">
            <w:pPr>
              <w:spacing w:after="0" w:line="259" w:lineRule="auto"/>
              <w:ind w:left="57" w:firstLine="0"/>
            </w:pPr>
            <w:r>
              <w:rPr>
                <w:rFonts w:ascii="Arial" w:eastAsia="Arial" w:hAnsi="Arial" w:cs="Arial"/>
                <w:b/>
                <w:sz w:val="18"/>
              </w:rPr>
              <w:t xml:space="preserve">IMPs admin </w:t>
            </w:r>
          </w:p>
        </w:tc>
        <w:tc>
          <w:tcPr>
            <w:tcW w:w="1351" w:type="dxa"/>
            <w:tcBorders>
              <w:top w:val="single" w:sz="4" w:space="0" w:color="000000"/>
              <w:left w:val="single" w:sz="6" w:space="0" w:color="000000"/>
              <w:bottom w:val="single" w:sz="6" w:space="0" w:color="000000"/>
              <w:right w:val="single" w:sz="6" w:space="0" w:color="000000"/>
            </w:tcBorders>
          </w:tcPr>
          <w:p w14:paraId="3BEAA07B" w14:textId="77777777" w:rsidR="000B3C5C" w:rsidRDefault="00ED192D">
            <w:pPr>
              <w:spacing w:after="2" w:line="239" w:lineRule="auto"/>
              <w:ind w:left="0" w:right="3" w:firstLine="0"/>
              <w:jc w:val="center"/>
            </w:pPr>
            <w:r>
              <w:rPr>
                <w:rFonts w:ascii="Arial" w:eastAsia="Arial" w:hAnsi="Arial" w:cs="Arial"/>
                <w:b/>
                <w:sz w:val="18"/>
              </w:rPr>
              <w:t xml:space="preserve">At 60 (±7) days after </w:t>
            </w:r>
          </w:p>
          <w:p w14:paraId="331B538B" w14:textId="77777777" w:rsidR="000B3C5C" w:rsidRDefault="00ED192D">
            <w:pPr>
              <w:spacing w:after="0" w:line="259" w:lineRule="auto"/>
              <w:ind w:left="0" w:firstLine="0"/>
              <w:jc w:val="center"/>
            </w:pPr>
            <w:r>
              <w:rPr>
                <w:rFonts w:ascii="Arial" w:eastAsia="Arial" w:hAnsi="Arial" w:cs="Arial"/>
                <w:b/>
                <w:sz w:val="18"/>
              </w:rPr>
              <w:t xml:space="preserve">last IMPs admin </w:t>
            </w:r>
          </w:p>
        </w:tc>
        <w:tc>
          <w:tcPr>
            <w:tcW w:w="1157" w:type="dxa"/>
            <w:tcBorders>
              <w:top w:val="single" w:sz="4" w:space="0" w:color="000000"/>
              <w:left w:val="single" w:sz="6" w:space="0" w:color="000000"/>
              <w:bottom w:val="single" w:sz="6" w:space="0" w:color="000000"/>
              <w:right w:val="single" w:sz="6" w:space="0" w:color="000000"/>
            </w:tcBorders>
          </w:tcPr>
          <w:p w14:paraId="3A60D290" w14:textId="77777777" w:rsidR="000B3C5C" w:rsidRDefault="00ED192D">
            <w:pPr>
              <w:spacing w:after="2" w:line="239" w:lineRule="auto"/>
              <w:ind w:left="0" w:firstLine="0"/>
              <w:jc w:val="center"/>
            </w:pPr>
            <w:r>
              <w:rPr>
                <w:rFonts w:ascii="Arial" w:eastAsia="Arial" w:hAnsi="Arial" w:cs="Arial"/>
                <w:b/>
                <w:sz w:val="18"/>
              </w:rPr>
              <w:t xml:space="preserve">At 90 (±7) days after </w:t>
            </w:r>
          </w:p>
          <w:p w14:paraId="2F7ABAB3" w14:textId="77777777" w:rsidR="000B3C5C" w:rsidRDefault="00ED192D">
            <w:pPr>
              <w:spacing w:after="0" w:line="259" w:lineRule="auto"/>
              <w:ind w:left="0" w:firstLine="0"/>
              <w:jc w:val="center"/>
            </w:pPr>
            <w:r>
              <w:rPr>
                <w:rFonts w:ascii="Arial" w:eastAsia="Arial" w:hAnsi="Arial" w:cs="Arial"/>
                <w:b/>
                <w:sz w:val="18"/>
              </w:rPr>
              <w:t xml:space="preserve">last IMPs admin </w:t>
            </w:r>
          </w:p>
        </w:tc>
        <w:tc>
          <w:tcPr>
            <w:tcW w:w="1409" w:type="dxa"/>
            <w:tcBorders>
              <w:top w:val="single" w:sz="4" w:space="0" w:color="000000"/>
              <w:left w:val="single" w:sz="6" w:space="0" w:color="000000"/>
              <w:bottom w:val="single" w:sz="6" w:space="0" w:color="000000"/>
              <w:right w:val="single" w:sz="6" w:space="0" w:color="000000"/>
            </w:tcBorders>
            <w:vAlign w:val="center"/>
          </w:tcPr>
          <w:p w14:paraId="12593D72" w14:textId="77777777" w:rsidR="000B3C5C" w:rsidRDefault="00ED192D">
            <w:pPr>
              <w:spacing w:after="2" w:line="239" w:lineRule="auto"/>
              <w:ind w:left="195" w:firstLine="46"/>
              <w:jc w:val="both"/>
            </w:pPr>
            <w:r>
              <w:rPr>
                <w:rFonts w:ascii="Arial" w:eastAsia="Arial" w:hAnsi="Arial" w:cs="Arial"/>
                <w:b/>
                <w:sz w:val="18"/>
              </w:rPr>
              <w:t xml:space="preserve">Every 90 days  (±7)  </w:t>
            </w:r>
          </w:p>
          <w:p w14:paraId="0496FEC8" w14:textId="77777777" w:rsidR="000B3C5C" w:rsidRDefault="00ED192D">
            <w:pPr>
              <w:spacing w:after="0" w:line="259" w:lineRule="auto"/>
              <w:ind w:left="0" w:right="2" w:firstLine="0"/>
              <w:jc w:val="center"/>
            </w:pPr>
            <w:r>
              <w:rPr>
                <w:rFonts w:ascii="Arial" w:eastAsia="Arial" w:hAnsi="Arial" w:cs="Arial"/>
                <w:b/>
                <w:sz w:val="18"/>
              </w:rPr>
              <w:t xml:space="preserve">after last safety follow-up </w:t>
            </w:r>
          </w:p>
        </w:tc>
        <w:tc>
          <w:tcPr>
            <w:tcW w:w="0" w:type="auto"/>
            <w:vMerge/>
            <w:tcBorders>
              <w:top w:val="nil"/>
              <w:left w:val="single" w:sz="6" w:space="0" w:color="000000"/>
              <w:bottom w:val="single" w:sz="6" w:space="0" w:color="000000"/>
              <w:right w:val="single" w:sz="4" w:space="0" w:color="000000"/>
            </w:tcBorders>
          </w:tcPr>
          <w:p w14:paraId="2FB8F342" w14:textId="77777777" w:rsidR="000B3C5C" w:rsidRDefault="000B3C5C">
            <w:pPr>
              <w:spacing w:after="160" w:line="259" w:lineRule="auto"/>
              <w:ind w:left="0" w:firstLine="0"/>
            </w:pPr>
          </w:p>
        </w:tc>
      </w:tr>
      <w:tr w:rsidR="000B3C5C" w14:paraId="472D7719" w14:textId="77777777">
        <w:trPr>
          <w:trHeight w:val="499"/>
        </w:trPr>
        <w:tc>
          <w:tcPr>
            <w:tcW w:w="1575" w:type="dxa"/>
            <w:tcBorders>
              <w:top w:val="single" w:sz="6" w:space="0" w:color="000000"/>
              <w:left w:val="single" w:sz="4" w:space="0" w:color="000000"/>
              <w:bottom w:val="single" w:sz="6" w:space="0" w:color="000000"/>
              <w:right w:val="single" w:sz="6" w:space="0" w:color="000000"/>
            </w:tcBorders>
            <w:vAlign w:val="bottom"/>
          </w:tcPr>
          <w:p w14:paraId="204BF7EE" w14:textId="77777777" w:rsidR="000B3C5C" w:rsidRDefault="00ED192D">
            <w:pPr>
              <w:spacing w:after="0" w:line="259" w:lineRule="auto"/>
              <w:ind w:left="14" w:firstLine="0"/>
            </w:pPr>
            <w:r>
              <w:rPr>
                <w:rFonts w:ascii="Arial" w:eastAsia="Arial" w:hAnsi="Arial" w:cs="Arial"/>
                <w:sz w:val="16"/>
              </w:rPr>
              <w:t xml:space="preserve">12-Lead ECG  </w:t>
            </w:r>
          </w:p>
        </w:tc>
        <w:tc>
          <w:tcPr>
            <w:tcW w:w="1341" w:type="dxa"/>
            <w:gridSpan w:val="2"/>
            <w:tcBorders>
              <w:top w:val="single" w:sz="6" w:space="0" w:color="000000"/>
              <w:left w:val="single" w:sz="6" w:space="0" w:color="000000"/>
              <w:bottom w:val="single" w:sz="6" w:space="0" w:color="000000"/>
              <w:right w:val="single" w:sz="6" w:space="0" w:color="000000"/>
            </w:tcBorders>
          </w:tcPr>
          <w:p w14:paraId="1D73394F" w14:textId="77777777" w:rsidR="000B3C5C" w:rsidRDefault="00ED192D">
            <w:pPr>
              <w:spacing w:after="0" w:line="259" w:lineRule="auto"/>
              <w:ind w:left="0" w:right="87" w:firstLine="0"/>
              <w:jc w:val="center"/>
            </w:pPr>
            <w:r>
              <w:rPr>
                <w:rFonts w:ascii="Arial" w:eastAsia="Arial" w:hAnsi="Arial" w:cs="Arial"/>
                <w:sz w:val="16"/>
              </w:rPr>
              <w:t xml:space="preserve">X </w:t>
            </w:r>
          </w:p>
        </w:tc>
        <w:tc>
          <w:tcPr>
            <w:tcW w:w="66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686A48FD" w14:textId="77777777" w:rsidR="000B3C5C" w:rsidRDefault="00ED192D">
            <w:pPr>
              <w:spacing w:after="0" w:line="259" w:lineRule="auto"/>
              <w:ind w:left="0" w:right="48" w:firstLine="0"/>
              <w:jc w:val="center"/>
            </w:pPr>
            <w:r>
              <w:rPr>
                <w:rFonts w:ascii="Arial" w:eastAsia="Arial" w:hAnsi="Arial" w:cs="Arial"/>
                <w:sz w:val="16"/>
              </w:rPr>
              <w:t xml:space="preserve"> </w:t>
            </w:r>
          </w:p>
        </w:tc>
        <w:tc>
          <w:tcPr>
            <w:tcW w:w="602"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507F0214" w14:textId="77777777" w:rsidR="000B3C5C" w:rsidRDefault="00ED192D">
            <w:pPr>
              <w:spacing w:after="0" w:line="259" w:lineRule="auto"/>
              <w:ind w:left="0" w:right="38" w:firstLine="0"/>
              <w:jc w:val="center"/>
            </w:pPr>
            <w:r>
              <w:rPr>
                <w:rFonts w:ascii="Arial" w:eastAsia="Arial" w:hAnsi="Arial" w:cs="Arial"/>
                <w:sz w:val="16"/>
              </w:rPr>
              <w:t xml:space="preserve"> </w:t>
            </w:r>
          </w:p>
        </w:tc>
        <w:tc>
          <w:tcPr>
            <w:tcW w:w="58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337F8FE2" w14:textId="77777777" w:rsidR="000B3C5C" w:rsidRDefault="00ED192D">
            <w:pPr>
              <w:spacing w:after="0" w:line="259" w:lineRule="auto"/>
              <w:ind w:left="0" w:right="40" w:firstLine="0"/>
              <w:jc w:val="center"/>
            </w:pPr>
            <w:r>
              <w:rPr>
                <w:rFonts w:ascii="Arial" w:eastAsia="Arial" w:hAnsi="Arial" w:cs="Arial"/>
                <w:sz w:val="16"/>
              </w:rPr>
              <w:t xml:space="preserve"> </w:t>
            </w:r>
          </w:p>
        </w:tc>
        <w:tc>
          <w:tcPr>
            <w:tcW w:w="3171" w:type="dxa"/>
            <w:tcBorders>
              <w:top w:val="single" w:sz="6" w:space="0" w:color="000000"/>
              <w:left w:val="single" w:sz="6" w:space="0" w:color="000000"/>
              <w:bottom w:val="single" w:sz="6" w:space="0" w:color="000000"/>
              <w:right w:val="nil"/>
            </w:tcBorders>
            <w:vAlign w:val="center"/>
          </w:tcPr>
          <w:p w14:paraId="3FBFAA0B" w14:textId="77777777" w:rsidR="000B3C5C" w:rsidRDefault="00ED192D">
            <w:pPr>
              <w:spacing w:after="0" w:line="259" w:lineRule="auto"/>
              <w:ind w:left="0" w:right="295" w:firstLine="0"/>
              <w:jc w:val="right"/>
            </w:pPr>
            <w:r>
              <w:rPr>
                <w:rFonts w:ascii="Arial" w:eastAsia="Arial" w:hAnsi="Arial" w:cs="Arial"/>
                <w:sz w:val="16"/>
              </w:rPr>
              <w:t xml:space="preserve">As clinically indicated </w:t>
            </w:r>
          </w:p>
        </w:tc>
        <w:tc>
          <w:tcPr>
            <w:tcW w:w="1307" w:type="dxa"/>
            <w:tcBorders>
              <w:top w:val="single" w:sz="6" w:space="0" w:color="000000"/>
              <w:left w:val="nil"/>
              <w:bottom w:val="single" w:sz="6" w:space="0" w:color="000000"/>
              <w:right w:val="single" w:sz="6" w:space="0" w:color="000000"/>
            </w:tcBorders>
          </w:tcPr>
          <w:p w14:paraId="36EB32C7" w14:textId="77777777" w:rsidR="000B3C5C" w:rsidRDefault="000B3C5C">
            <w:pPr>
              <w:spacing w:after="160" w:line="259" w:lineRule="auto"/>
              <w:ind w:left="0" w:firstLine="0"/>
            </w:pPr>
          </w:p>
        </w:tc>
        <w:tc>
          <w:tcPr>
            <w:tcW w:w="1351" w:type="dxa"/>
            <w:tcBorders>
              <w:top w:val="single" w:sz="6" w:space="0" w:color="000000"/>
              <w:left w:val="single" w:sz="6" w:space="0" w:color="000000"/>
              <w:bottom w:val="single" w:sz="6" w:space="0" w:color="000000"/>
              <w:right w:val="single" w:sz="6" w:space="0" w:color="000000"/>
            </w:tcBorders>
            <w:shd w:val="clear" w:color="auto" w:fill="A6A6A6"/>
          </w:tcPr>
          <w:p w14:paraId="7807BA68" w14:textId="77777777" w:rsidR="000B3C5C" w:rsidRDefault="00ED192D">
            <w:pPr>
              <w:spacing w:after="0" w:line="259" w:lineRule="auto"/>
              <w:ind w:left="0" w:right="46" w:firstLine="0"/>
              <w:jc w:val="center"/>
            </w:pPr>
            <w:r>
              <w:rPr>
                <w:rFonts w:ascii="Arial" w:eastAsia="Arial" w:hAnsi="Arial" w:cs="Arial"/>
                <w:sz w:val="16"/>
              </w:rPr>
              <w:t xml:space="preserve"> </w:t>
            </w:r>
          </w:p>
        </w:tc>
        <w:tc>
          <w:tcPr>
            <w:tcW w:w="1157" w:type="dxa"/>
            <w:tcBorders>
              <w:top w:val="single" w:sz="6" w:space="0" w:color="000000"/>
              <w:left w:val="single" w:sz="6" w:space="0" w:color="000000"/>
              <w:bottom w:val="single" w:sz="6" w:space="0" w:color="000000"/>
              <w:right w:val="single" w:sz="6" w:space="0" w:color="000000"/>
            </w:tcBorders>
            <w:shd w:val="clear" w:color="auto" w:fill="A6A6A6"/>
          </w:tcPr>
          <w:p w14:paraId="5B8717DF" w14:textId="77777777" w:rsidR="000B3C5C" w:rsidRDefault="00ED192D">
            <w:pPr>
              <w:spacing w:after="0" w:line="259" w:lineRule="auto"/>
              <w:ind w:left="0" w:right="43" w:firstLine="0"/>
              <w:jc w:val="center"/>
            </w:pPr>
            <w:r>
              <w:rPr>
                <w:rFonts w:ascii="Arial" w:eastAsia="Arial" w:hAnsi="Arial" w:cs="Arial"/>
                <w:sz w:val="16"/>
              </w:rPr>
              <w:t xml:space="preserve">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tcPr>
          <w:p w14:paraId="68ABBC06" w14:textId="77777777" w:rsidR="000B3C5C" w:rsidRDefault="00ED192D">
            <w:pPr>
              <w:spacing w:after="0" w:line="259" w:lineRule="auto"/>
              <w:ind w:left="0" w:right="41"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1F590F3E" w14:textId="77777777" w:rsidR="000B3C5C" w:rsidRDefault="00ED192D">
            <w:pPr>
              <w:spacing w:after="0" w:line="259" w:lineRule="auto"/>
              <w:ind w:left="14" w:firstLine="0"/>
            </w:pPr>
            <w:r>
              <w:rPr>
                <w:rFonts w:ascii="Arial" w:eastAsia="Arial" w:hAnsi="Arial" w:cs="Arial"/>
                <w:sz w:val="16"/>
              </w:rPr>
              <w:t xml:space="preserve">See  </w:t>
            </w:r>
          </w:p>
          <w:p w14:paraId="36AA87EE" w14:textId="77777777" w:rsidR="000B3C5C" w:rsidRDefault="00ED192D">
            <w:pPr>
              <w:spacing w:after="0" w:line="259" w:lineRule="auto"/>
              <w:ind w:left="14"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8.2.3</w:t>
            </w:r>
            <w:r>
              <w:rPr>
                <w:rFonts w:ascii="Arial" w:eastAsia="Arial" w:hAnsi="Arial" w:cs="Arial"/>
                <w:sz w:val="16"/>
              </w:rPr>
              <w:t xml:space="preserve"> </w:t>
            </w:r>
          </w:p>
        </w:tc>
      </w:tr>
      <w:tr w:rsidR="000B3C5C" w14:paraId="6132FE9C" w14:textId="77777777">
        <w:trPr>
          <w:trHeight w:val="322"/>
        </w:trPr>
        <w:tc>
          <w:tcPr>
            <w:tcW w:w="7936" w:type="dxa"/>
            <w:gridSpan w:val="7"/>
            <w:tcBorders>
              <w:top w:val="single" w:sz="6" w:space="0" w:color="000000"/>
              <w:left w:val="single" w:sz="4" w:space="0" w:color="000000"/>
              <w:bottom w:val="single" w:sz="6" w:space="0" w:color="000000"/>
              <w:right w:val="nil"/>
            </w:tcBorders>
          </w:tcPr>
          <w:p w14:paraId="363ED86B" w14:textId="77777777" w:rsidR="000B3C5C" w:rsidRDefault="00ED192D">
            <w:pPr>
              <w:spacing w:after="0" w:line="259" w:lineRule="auto"/>
              <w:ind w:left="14" w:firstLine="0"/>
            </w:pPr>
            <w:r>
              <w:rPr>
                <w:rFonts w:ascii="Arial" w:eastAsia="Arial" w:hAnsi="Arial" w:cs="Arial"/>
                <w:b/>
                <w:sz w:val="16"/>
              </w:rPr>
              <w:t xml:space="preserve">Laboratory Assessments                                                                                                                              </w:t>
            </w:r>
            <w:r>
              <w:rPr>
                <w:rFonts w:ascii="Arial" w:eastAsia="Arial" w:hAnsi="Arial" w:cs="Arial"/>
                <w:b/>
                <w:color w:val="0000FF"/>
                <w:sz w:val="16"/>
              </w:rPr>
              <w:t xml:space="preserve"> </w:t>
            </w:r>
          </w:p>
        </w:tc>
        <w:tc>
          <w:tcPr>
            <w:tcW w:w="6402" w:type="dxa"/>
            <w:gridSpan w:val="5"/>
            <w:tcBorders>
              <w:top w:val="single" w:sz="6" w:space="0" w:color="000000"/>
              <w:left w:val="nil"/>
              <w:bottom w:val="single" w:sz="6" w:space="0" w:color="000000"/>
              <w:right w:val="single" w:sz="4" w:space="0" w:color="000000"/>
            </w:tcBorders>
          </w:tcPr>
          <w:p w14:paraId="24014EA6" w14:textId="77777777" w:rsidR="000B3C5C" w:rsidRDefault="000B3C5C">
            <w:pPr>
              <w:spacing w:after="160" w:line="259" w:lineRule="auto"/>
              <w:ind w:left="0" w:firstLine="0"/>
            </w:pPr>
          </w:p>
        </w:tc>
      </w:tr>
      <w:tr w:rsidR="000B3C5C" w14:paraId="4583DCC3" w14:textId="77777777">
        <w:trPr>
          <w:trHeight w:val="3151"/>
        </w:trPr>
        <w:tc>
          <w:tcPr>
            <w:tcW w:w="1575" w:type="dxa"/>
            <w:tcBorders>
              <w:top w:val="single" w:sz="6" w:space="0" w:color="000000"/>
              <w:left w:val="single" w:sz="4" w:space="0" w:color="000000"/>
              <w:bottom w:val="single" w:sz="6" w:space="0" w:color="000000"/>
              <w:right w:val="single" w:sz="6" w:space="0" w:color="000000"/>
            </w:tcBorders>
            <w:vAlign w:val="center"/>
          </w:tcPr>
          <w:p w14:paraId="7C5E8B5F" w14:textId="77777777" w:rsidR="000B3C5C" w:rsidRDefault="00ED192D">
            <w:pPr>
              <w:spacing w:after="120" w:line="259" w:lineRule="auto"/>
              <w:ind w:left="14" w:firstLine="0"/>
            </w:pPr>
            <w:r>
              <w:rPr>
                <w:rFonts w:ascii="Arial" w:eastAsia="Arial" w:hAnsi="Arial" w:cs="Arial"/>
                <w:sz w:val="16"/>
              </w:rPr>
              <w:t xml:space="preserve">Pregnancy test </w:t>
            </w:r>
          </w:p>
          <w:p w14:paraId="5215C082" w14:textId="77777777" w:rsidR="000B3C5C" w:rsidRDefault="00ED192D">
            <w:pPr>
              <w:spacing w:after="0" w:line="259" w:lineRule="auto"/>
              <w:ind w:left="14" w:firstLine="0"/>
            </w:pPr>
            <w:r>
              <w:rPr>
                <w:rFonts w:ascii="Arial" w:eastAsia="Arial" w:hAnsi="Arial" w:cs="Arial"/>
                <w:sz w:val="16"/>
              </w:rPr>
              <w:t>(WOCBP only)</w:t>
            </w:r>
            <w:r>
              <w:rPr>
                <w:rFonts w:ascii="Arial" w:eastAsia="Arial" w:hAnsi="Arial" w:cs="Arial"/>
                <w:i/>
                <w:color w:val="0000FF"/>
                <w:sz w:val="28"/>
                <w:vertAlign w:val="superscript"/>
              </w:rPr>
              <w:t>b</w:t>
            </w:r>
            <w:r>
              <w:rPr>
                <w:rFonts w:ascii="Arial" w:eastAsia="Arial" w:hAnsi="Arial" w:cs="Arial"/>
                <w:sz w:val="20"/>
              </w:rPr>
              <w:t xml:space="preserve">  </w:t>
            </w:r>
          </w:p>
        </w:tc>
        <w:tc>
          <w:tcPr>
            <w:tcW w:w="600" w:type="dxa"/>
            <w:tcBorders>
              <w:top w:val="single" w:sz="6" w:space="0" w:color="000000"/>
              <w:left w:val="single" w:sz="6" w:space="0" w:color="000000"/>
              <w:bottom w:val="single" w:sz="6" w:space="0" w:color="000000"/>
              <w:right w:val="single" w:sz="6" w:space="0" w:color="000000"/>
            </w:tcBorders>
          </w:tcPr>
          <w:p w14:paraId="278724F4" w14:textId="77777777" w:rsidR="000B3C5C" w:rsidRDefault="00ED192D">
            <w:pPr>
              <w:spacing w:after="0" w:line="259" w:lineRule="auto"/>
              <w:ind w:left="0" w:right="36" w:firstLine="0"/>
              <w:jc w:val="center"/>
            </w:pPr>
            <w:r>
              <w:rPr>
                <w:rFonts w:ascii="Arial" w:eastAsia="Arial" w:hAnsi="Arial" w:cs="Arial"/>
                <w:sz w:val="16"/>
              </w:rPr>
              <w:t xml:space="preserve"> </w:t>
            </w:r>
          </w:p>
        </w:tc>
        <w:tc>
          <w:tcPr>
            <w:tcW w:w="741" w:type="dxa"/>
            <w:tcBorders>
              <w:top w:val="single" w:sz="6" w:space="0" w:color="000000"/>
              <w:left w:val="single" w:sz="6" w:space="0" w:color="000000"/>
              <w:bottom w:val="single" w:sz="6" w:space="0" w:color="000000"/>
              <w:right w:val="single" w:sz="6" w:space="0" w:color="000000"/>
            </w:tcBorders>
            <w:vAlign w:val="center"/>
          </w:tcPr>
          <w:p w14:paraId="06A1636F" w14:textId="77777777" w:rsidR="000B3C5C" w:rsidRDefault="00ED192D">
            <w:pPr>
              <w:spacing w:after="0" w:line="239" w:lineRule="auto"/>
              <w:ind w:left="76" w:right="96" w:hanging="48"/>
              <w:jc w:val="both"/>
            </w:pPr>
            <w:r>
              <w:rPr>
                <w:rFonts w:ascii="Arial" w:eastAsia="Arial" w:hAnsi="Arial" w:cs="Arial"/>
                <w:sz w:val="16"/>
              </w:rPr>
              <w:t xml:space="preserve">X (within 7 days prior to first </w:t>
            </w:r>
          </w:p>
          <w:p w14:paraId="7870550A" w14:textId="77777777" w:rsidR="000B3C5C" w:rsidRDefault="00ED192D">
            <w:pPr>
              <w:spacing w:after="0" w:line="259" w:lineRule="auto"/>
              <w:ind w:left="0" w:right="64" w:firstLine="0"/>
              <w:jc w:val="center"/>
            </w:pPr>
            <w:r>
              <w:rPr>
                <w:rFonts w:ascii="Arial" w:eastAsia="Arial" w:hAnsi="Arial" w:cs="Arial"/>
                <w:sz w:val="16"/>
              </w:rPr>
              <w:t xml:space="preserve">dose) </w:t>
            </w:r>
          </w:p>
        </w:tc>
        <w:tc>
          <w:tcPr>
            <w:tcW w:w="66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087B57EC" w14:textId="77777777" w:rsidR="000B3C5C" w:rsidRDefault="00ED192D">
            <w:pPr>
              <w:spacing w:after="0" w:line="259" w:lineRule="auto"/>
              <w:ind w:left="0" w:right="38" w:firstLine="0"/>
              <w:jc w:val="center"/>
            </w:pPr>
            <w:r>
              <w:rPr>
                <w:rFonts w:ascii="Arial" w:eastAsia="Arial" w:hAnsi="Arial" w:cs="Arial"/>
                <w:sz w:val="16"/>
              </w:rPr>
              <w:t xml:space="preserve"> </w:t>
            </w:r>
          </w:p>
        </w:tc>
        <w:tc>
          <w:tcPr>
            <w:tcW w:w="602"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EE8B2CD" w14:textId="77777777" w:rsidR="000B3C5C" w:rsidRDefault="00ED192D">
            <w:pPr>
              <w:spacing w:after="0" w:line="259" w:lineRule="auto"/>
              <w:ind w:left="0" w:right="52" w:firstLine="0"/>
              <w:jc w:val="center"/>
            </w:pPr>
            <w:r>
              <w:rPr>
                <w:rFonts w:ascii="Arial" w:eastAsia="Arial" w:hAnsi="Arial" w:cs="Arial"/>
                <w:sz w:val="16"/>
              </w:rPr>
              <w:t xml:space="preserve"> </w:t>
            </w:r>
          </w:p>
        </w:tc>
        <w:tc>
          <w:tcPr>
            <w:tcW w:w="58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402059E9" w14:textId="77777777" w:rsidR="000B3C5C" w:rsidRDefault="00ED192D">
            <w:pPr>
              <w:spacing w:after="0" w:line="259" w:lineRule="auto"/>
              <w:ind w:left="0" w:right="40" w:firstLine="0"/>
              <w:jc w:val="center"/>
            </w:pPr>
            <w:r>
              <w:rPr>
                <w:rFonts w:ascii="Arial" w:eastAsia="Arial" w:hAnsi="Arial" w:cs="Arial"/>
                <w:sz w:val="16"/>
              </w:rPr>
              <w:t xml:space="preserve"> </w:t>
            </w:r>
          </w:p>
        </w:tc>
        <w:tc>
          <w:tcPr>
            <w:tcW w:w="3171" w:type="dxa"/>
            <w:tcBorders>
              <w:top w:val="single" w:sz="6" w:space="0" w:color="000000"/>
              <w:left w:val="single" w:sz="6" w:space="0" w:color="000000"/>
              <w:bottom w:val="single" w:sz="6" w:space="0" w:color="000000"/>
              <w:right w:val="single" w:sz="6" w:space="0" w:color="000000"/>
            </w:tcBorders>
            <w:vAlign w:val="center"/>
          </w:tcPr>
          <w:p w14:paraId="342607A7" w14:textId="77777777" w:rsidR="000B3C5C" w:rsidRDefault="00ED192D">
            <w:pPr>
              <w:spacing w:after="0" w:line="259" w:lineRule="auto"/>
              <w:ind w:left="0" w:right="73" w:firstLine="0"/>
              <w:jc w:val="center"/>
            </w:pPr>
            <w:r>
              <w:rPr>
                <w:rFonts w:ascii="Arial" w:eastAsia="Arial" w:hAnsi="Arial" w:cs="Arial"/>
                <w:sz w:val="16"/>
              </w:rPr>
              <w:t xml:space="preserve">X </w:t>
            </w:r>
          </w:p>
        </w:tc>
        <w:tc>
          <w:tcPr>
            <w:tcW w:w="1307" w:type="dxa"/>
            <w:tcBorders>
              <w:top w:val="single" w:sz="6" w:space="0" w:color="000000"/>
              <w:left w:val="single" w:sz="6" w:space="0" w:color="000000"/>
              <w:bottom w:val="single" w:sz="6" w:space="0" w:color="000000"/>
              <w:right w:val="single" w:sz="6" w:space="0" w:color="000000"/>
            </w:tcBorders>
            <w:vAlign w:val="center"/>
          </w:tcPr>
          <w:p w14:paraId="32005A80" w14:textId="77777777" w:rsidR="000B3C5C" w:rsidRDefault="00ED192D">
            <w:pPr>
              <w:spacing w:after="0" w:line="259" w:lineRule="auto"/>
              <w:ind w:left="0" w:right="77" w:firstLine="0"/>
              <w:jc w:val="center"/>
            </w:pPr>
            <w:r>
              <w:rPr>
                <w:rFonts w:ascii="Arial" w:eastAsia="Arial" w:hAnsi="Arial" w:cs="Arial"/>
                <w:sz w:val="16"/>
              </w:rPr>
              <w:t xml:space="preserve">X </w:t>
            </w:r>
          </w:p>
        </w:tc>
        <w:tc>
          <w:tcPr>
            <w:tcW w:w="1351" w:type="dxa"/>
            <w:tcBorders>
              <w:top w:val="single" w:sz="6" w:space="0" w:color="000000"/>
              <w:left w:val="single" w:sz="6" w:space="0" w:color="000000"/>
              <w:bottom w:val="single" w:sz="6" w:space="0" w:color="000000"/>
              <w:right w:val="single" w:sz="6" w:space="0" w:color="000000"/>
            </w:tcBorders>
            <w:vAlign w:val="center"/>
          </w:tcPr>
          <w:p w14:paraId="529CA941" w14:textId="77777777" w:rsidR="000B3C5C" w:rsidRDefault="00ED192D">
            <w:pPr>
              <w:spacing w:after="0" w:line="259" w:lineRule="auto"/>
              <w:ind w:left="0" w:right="82" w:firstLine="0"/>
              <w:jc w:val="center"/>
            </w:pPr>
            <w:r>
              <w:rPr>
                <w:rFonts w:ascii="Arial" w:eastAsia="Arial" w:hAnsi="Arial" w:cs="Arial"/>
                <w:sz w:val="16"/>
              </w:rPr>
              <w:t xml:space="preserve">X </w:t>
            </w:r>
          </w:p>
        </w:tc>
        <w:tc>
          <w:tcPr>
            <w:tcW w:w="1157" w:type="dxa"/>
            <w:tcBorders>
              <w:top w:val="single" w:sz="6" w:space="0" w:color="000000"/>
              <w:left w:val="single" w:sz="6" w:space="0" w:color="000000"/>
              <w:bottom w:val="single" w:sz="6" w:space="0" w:color="000000"/>
              <w:right w:val="single" w:sz="6" w:space="0" w:color="000000"/>
            </w:tcBorders>
            <w:vAlign w:val="center"/>
          </w:tcPr>
          <w:p w14:paraId="5F160AC3" w14:textId="77777777" w:rsidR="000B3C5C" w:rsidRDefault="00ED192D">
            <w:pPr>
              <w:spacing w:after="2" w:line="237" w:lineRule="auto"/>
              <w:ind w:left="0" w:firstLine="0"/>
              <w:jc w:val="center"/>
            </w:pPr>
            <w:r>
              <w:rPr>
                <w:rFonts w:ascii="Arial" w:eastAsia="Arial" w:hAnsi="Arial" w:cs="Arial"/>
                <w:sz w:val="16"/>
              </w:rPr>
              <w:t xml:space="preserve">X (every 30±7 days until 5 </w:t>
            </w:r>
          </w:p>
          <w:p w14:paraId="6BA7C71C" w14:textId="77777777" w:rsidR="000B3C5C" w:rsidRDefault="00ED192D">
            <w:pPr>
              <w:spacing w:after="0" w:line="259" w:lineRule="auto"/>
              <w:ind w:left="0" w:right="77" w:firstLine="0"/>
              <w:jc w:val="center"/>
            </w:pPr>
            <w:r>
              <w:rPr>
                <w:rFonts w:ascii="Arial" w:eastAsia="Arial" w:hAnsi="Arial" w:cs="Arial"/>
                <w:sz w:val="16"/>
              </w:rPr>
              <w:t xml:space="preserve">months after </w:t>
            </w:r>
          </w:p>
          <w:p w14:paraId="1E8E6912" w14:textId="77777777" w:rsidR="000B3C5C" w:rsidRDefault="00ED192D">
            <w:pPr>
              <w:spacing w:after="0" w:line="259" w:lineRule="auto"/>
              <w:ind w:left="27" w:right="68" w:firstLine="0"/>
              <w:jc w:val="center"/>
            </w:pPr>
            <w:r>
              <w:rPr>
                <w:rFonts w:ascii="Arial" w:eastAsia="Arial" w:hAnsi="Arial" w:cs="Arial"/>
                <w:sz w:val="16"/>
              </w:rPr>
              <w:t xml:space="preserve">last dose of study treatment)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tcPr>
          <w:p w14:paraId="5861A098" w14:textId="77777777" w:rsidR="000B3C5C" w:rsidRDefault="00ED192D">
            <w:pPr>
              <w:spacing w:after="0" w:line="259" w:lineRule="auto"/>
              <w:ind w:left="0" w:right="41"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345AC4E1" w14:textId="77777777" w:rsidR="000B3C5C" w:rsidRDefault="00ED192D">
            <w:pPr>
              <w:spacing w:after="0" w:line="259" w:lineRule="auto"/>
              <w:ind w:left="14" w:firstLine="0"/>
            </w:pPr>
            <w:r>
              <w:rPr>
                <w:rFonts w:ascii="Arial" w:eastAsia="Arial" w:hAnsi="Arial" w:cs="Arial"/>
                <w:i/>
                <w:sz w:val="18"/>
              </w:rPr>
              <w:t xml:space="preserve">b </w:t>
            </w:r>
            <w:r>
              <w:rPr>
                <w:rFonts w:ascii="Arial" w:eastAsia="Arial" w:hAnsi="Arial" w:cs="Arial"/>
                <w:sz w:val="18"/>
              </w:rPr>
              <w:t xml:space="preserve">Women of </w:t>
            </w:r>
          </w:p>
          <w:p w14:paraId="193FC787" w14:textId="77777777" w:rsidR="000B3C5C" w:rsidRDefault="00ED192D">
            <w:pPr>
              <w:spacing w:after="0" w:line="239" w:lineRule="auto"/>
              <w:ind w:left="259" w:right="4" w:firstLine="0"/>
            </w:pPr>
            <w:r>
              <w:rPr>
                <w:rFonts w:ascii="Arial" w:eastAsia="Arial" w:hAnsi="Arial" w:cs="Arial"/>
                <w:sz w:val="18"/>
              </w:rPr>
              <w:t xml:space="preserve">child bearing potential must have a negative serum pregnancy </w:t>
            </w:r>
          </w:p>
          <w:p w14:paraId="3ED64D13" w14:textId="77777777" w:rsidR="000B3C5C" w:rsidRDefault="00ED192D">
            <w:pPr>
              <w:spacing w:after="2" w:line="240" w:lineRule="auto"/>
              <w:ind w:left="259" w:right="169" w:firstLine="0"/>
            </w:pPr>
            <w:r>
              <w:rPr>
                <w:rFonts w:ascii="Arial" w:eastAsia="Arial" w:hAnsi="Arial" w:cs="Arial"/>
                <w:sz w:val="18"/>
              </w:rPr>
              <w:t xml:space="preserve">test result within 7 days </w:t>
            </w:r>
          </w:p>
          <w:p w14:paraId="3E57B33C" w14:textId="77777777" w:rsidR="000B3C5C" w:rsidRDefault="00ED192D">
            <w:pPr>
              <w:spacing w:after="0" w:line="259" w:lineRule="auto"/>
              <w:ind w:left="259" w:right="70" w:firstLine="0"/>
            </w:pPr>
            <w:r>
              <w:rPr>
                <w:rFonts w:ascii="Arial" w:eastAsia="Arial" w:hAnsi="Arial" w:cs="Arial"/>
                <w:sz w:val="18"/>
              </w:rPr>
              <w:t>prior to first IMP administra tion.</w:t>
            </w:r>
            <w:r>
              <w:rPr>
                <w:rFonts w:ascii="Arial" w:eastAsia="Arial" w:hAnsi="Arial" w:cs="Arial"/>
                <w:color w:val="0000FF"/>
                <w:sz w:val="18"/>
              </w:rPr>
              <w:t xml:space="preserve"> </w:t>
            </w:r>
          </w:p>
        </w:tc>
      </w:tr>
      <w:tr w:rsidR="000B3C5C" w14:paraId="332D8C61" w14:textId="77777777">
        <w:trPr>
          <w:trHeight w:val="746"/>
        </w:trPr>
        <w:tc>
          <w:tcPr>
            <w:tcW w:w="1575" w:type="dxa"/>
            <w:tcBorders>
              <w:top w:val="single" w:sz="6" w:space="0" w:color="000000"/>
              <w:left w:val="single" w:sz="4" w:space="0" w:color="000000"/>
              <w:bottom w:val="single" w:sz="6" w:space="0" w:color="000000"/>
              <w:right w:val="single" w:sz="6" w:space="0" w:color="000000"/>
            </w:tcBorders>
            <w:vAlign w:val="center"/>
          </w:tcPr>
          <w:p w14:paraId="6EB9081E" w14:textId="77777777" w:rsidR="000B3C5C" w:rsidRDefault="00ED192D">
            <w:pPr>
              <w:spacing w:after="0" w:line="259" w:lineRule="auto"/>
              <w:ind w:left="14" w:firstLine="0"/>
            </w:pPr>
            <w:r>
              <w:rPr>
                <w:rFonts w:ascii="Arial" w:eastAsia="Arial" w:hAnsi="Arial" w:cs="Arial"/>
                <w:sz w:val="16"/>
              </w:rPr>
              <w:t>Blood Chemistry</w:t>
            </w:r>
            <w:r>
              <w:rPr>
                <w:rFonts w:ascii="Arial" w:eastAsia="Arial" w:hAnsi="Arial" w:cs="Arial"/>
                <w:color w:val="FF00FF"/>
                <w:sz w:val="16"/>
              </w:rPr>
              <w:t xml:space="preserve"> </w:t>
            </w:r>
          </w:p>
        </w:tc>
        <w:tc>
          <w:tcPr>
            <w:tcW w:w="600" w:type="dxa"/>
            <w:tcBorders>
              <w:top w:val="single" w:sz="6" w:space="0" w:color="000000"/>
              <w:left w:val="single" w:sz="6" w:space="0" w:color="000000"/>
              <w:bottom w:val="single" w:sz="6" w:space="0" w:color="000000"/>
              <w:right w:val="single" w:sz="6" w:space="0" w:color="000000"/>
            </w:tcBorders>
          </w:tcPr>
          <w:p w14:paraId="4B795A96" w14:textId="77777777" w:rsidR="000B3C5C" w:rsidRDefault="00ED192D">
            <w:pPr>
              <w:spacing w:after="0" w:line="259" w:lineRule="auto"/>
              <w:ind w:left="0" w:right="36" w:firstLine="0"/>
              <w:jc w:val="center"/>
            </w:pPr>
            <w:r>
              <w:rPr>
                <w:rFonts w:ascii="Arial" w:eastAsia="Arial" w:hAnsi="Arial" w:cs="Arial"/>
                <w:sz w:val="16"/>
              </w:rPr>
              <w:t xml:space="preserve"> </w:t>
            </w:r>
          </w:p>
        </w:tc>
        <w:tc>
          <w:tcPr>
            <w:tcW w:w="741" w:type="dxa"/>
            <w:tcBorders>
              <w:top w:val="single" w:sz="6" w:space="0" w:color="000000"/>
              <w:left w:val="single" w:sz="6" w:space="0" w:color="000000"/>
              <w:bottom w:val="single" w:sz="6" w:space="0" w:color="000000"/>
              <w:right w:val="single" w:sz="6" w:space="0" w:color="000000"/>
            </w:tcBorders>
            <w:vAlign w:val="center"/>
          </w:tcPr>
          <w:p w14:paraId="099517B8" w14:textId="77777777" w:rsidR="000B3C5C" w:rsidRDefault="00ED192D">
            <w:pPr>
              <w:spacing w:after="0" w:line="259" w:lineRule="auto"/>
              <w:ind w:left="0" w:right="68" w:firstLine="0"/>
              <w:jc w:val="center"/>
            </w:pPr>
            <w:r>
              <w:rPr>
                <w:rFonts w:ascii="Arial" w:eastAsia="Arial" w:hAnsi="Arial" w:cs="Arial"/>
                <w:sz w:val="16"/>
              </w:rPr>
              <w:t xml:space="preserve">X </w:t>
            </w:r>
          </w:p>
        </w:tc>
        <w:tc>
          <w:tcPr>
            <w:tcW w:w="661" w:type="dxa"/>
            <w:tcBorders>
              <w:top w:val="single" w:sz="6" w:space="0" w:color="000000"/>
              <w:left w:val="single" w:sz="6" w:space="0" w:color="000000"/>
              <w:bottom w:val="single" w:sz="6" w:space="0" w:color="000000"/>
              <w:right w:val="single" w:sz="6" w:space="0" w:color="000000"/>
            </w:tcBorders>
            <w:vAlign w:val="center"/>
          </w:tcPr>
          <w:p w14:paraId="37BB9E8C" w14:textId="77777777" w:rsidR="000B3C5C" w:rsidRDefault="00ED192D">
            <w:pPr>
              <w:spacing w:after="0" w:line="259" w:lineRule="auto"/>
              <w:ind w:left="0" w:right="73" w:firstLine="0"/>
              <w:jc w:val="center"/>
            </w:pPr>
            <w:r>
              <w:rPr>
                <w:rFonts w:ascii="Arial" w:eastAsia="Arial" w:hAnsi="Arial" w:cs="Arial"/>
                <w:sz w:val="16"/>
              </w:rPr>
              <w:t xml:space="preserve">X </w:t>
            </w:r>
          </w:p>
        </w:tc>
        <w:tc>
          <w:tcPr>
            <w:tcW w:w="602" w:type="dxa"/>
            <w:tcBorders>
              <w:top w:val="single" w:sz="6" w:space="0" w:color="000000"/>
              <w:left w:val="single" w:sz="6" w:space="0" w:color="000000"/>
              <w:bottom w:val="single" w:sz="6" w:space="0" w:color="000000"/>
              <w:right w:val="single" w:sz="6" w:space="0" w:color="000000"/>
            </w:tcBorders>
            <w:vAlign w:val="center"/>
          </w:tcPr>
          <w:p w14:paraId="33BE3D3F" w14:textId="77777777" w:rsidR="000B3C5C" w:rsidRDefault="00ED192D">
            <w:pPr>
              <w:spacing w:after="0" w:line="259" w:lineRule="auto"/>
              <w:ind w:left="0" w:right="85"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585" w:type="dxa"/>
            <w:tcBorders>
              <w:top w:val="single" w:sz="6" w:space="0" w:color="000000"/>
              <w:left w:val="single" w:sz="6" w:space="0" w:color="000000"/>
              <w:bottom w:val="single" w:sz="6" w:space="0" w:color="000000"/>
              <w:right w:val="single" w:sz="6" w:space="0" w:color="000000"/>
            </w:tcBorders>
            <w:vAlign w:val="center"/>
          </w:tcPr>
          <w:p w14:paraId="2440724E" w14:textId="77777777" w:rsidR="000B3C5C" w:rsidRDefault="00ED192D">
            <w:pPr>
              <w:spacing w:after="0" w:line="259" w:lineRule="auto"/>
              <w:ind w:left="0" w:right="72"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3171" w:type="dxa"/>
            <w:tcBorders>
              <w:top w:val="single" w:sz="6" w:space="0" w:color="000000"/>
              <w:left w:val="single" w:sz="6" w:space="0" w:color="000000"/>
              <w:bottom w:val="single" w:sz="6" w:space="0" w:color="000000"/>
              <w:right w:val="single" w:sz="6" w:space="0" w:color="000000"/>
            </w:tcBorders>
            <w:vAlign w:val="center"/>
          </w:tcPr>
          <w:p w14:paraId="576DDAB3" w14:textId="77777777" w:rsidR="000B3C5C" w:rsidRDefault="00ED192D">
            <w:pPr>
              <w:spacing w:after="0" w:line="259" w:lineRule="auto"/>
              <w:ind w:left="0" w:right="73" w:firstLine="0"/>
              <w:jc w:val="center"/>
            </w:pPr>
            <w:r>
              <w:rPr>
                <w:rFonts w:ascii="Arial" w:eastAsia="Arial" w:hAnsi="Arial" w:cs="Arial"/>
                <w:sz w:val="16"/>
              </w:rPr>
              <w:t xml:space="preserve">X </w:t>
            </w:r>
          </w:p>
        </w:tc>
        <w:tc>
          <w:tcPr>
            <w:tcW w:w="1307" w:type="dxa"/>
            <w:tcBorders>
              <w:top w:val="single" w:sz="6" w:space="0" w:color="000000"/>
              <w:left w:val="single" w:sz="6" w:space="0" w:color="000000"/>
              <w:bottom w:val="single" w:sz="6" w:space="0" w:color="000000"/>
              <w:right w:val="single" w:sz="6" w:space="0" w:color="000000"/>
            </w:tcBorders>
            <w:vAlign w:val="center"/>
          </w:tcPr>
          <w:p w14:paraId="2C6BDFFE" w14:textId="77777777" w:rsidR="000B3C5C" w:rsidRDefault="00ED192D">
            <w:pPr>
              <w:spacing w:after="0" w:line="259" w:lineRule="auto"/>
              <w:ind w:left="0" w:right="77" w:firstLine="0"/>
              <w:jc w:val="center"/>
            </w:pPr>
            <w:r>
              <w:rPr>
                <w:rFonts w:ascii="Arial" w:eastAsia="Arial" w:hAnsi="Arial" w:cs="Arial"/>
                <w:sz w:val="16"/>
              </w:rPr>
              <w:t xml:space="preserve">X </w:t>
            </w:r>
          </w:p>
        </w:tc>
        <w:tc>
          <w:tcPr>
            <w:tcW w:w="1351" w:type="dxa"/>
            <w:tcBorders>
              <w:top w:val="single" w:sz="6" w:space="0" w:color="000000"/>
              <w:left w:val="single" w:sz="6" w:space="0" w:color="000000"/>
              <w:bottom w:val="single" w:sz="6" w:space="0" w:color="000000"/>
              <w:right w:val="single" w:sz="6" w:space="0" w:color="000000"/>
            </w:tcBorders>
            <w:vAlign w:val="center"/>
          </w:tcPr>
          <w:p w14:paraId="417CDA61" w14:textId="77777777" w:rsidR="000B3C5C" w:rsidRDefault="00ED192D">
            <w:pPr>
              <w:spacing w:after="0" w:line="259" w:lineRule="auto"/>
              <w:ind w:left="0" w:right="82" w:firstLine="0"/>
              <w:jc w:val="center"/>
            </w:pPr>
            <w:r>
              <w:rPr>
                <w:rFonts w:ascii="Arial" w:eastAsia="Arial" w:hAnsi="Arial" w:cs="Arial"/>
                <w:sz w:val="16"/>
              </w:rPr>
              <w:t xml:space="preserve">X </w:t>
            </w:r>
          </w:p>
        </w:tc>
        <w:tc>
          <w:tcPr>
            <w:tcW w:w="1157" w:type="dxa"/>
            <w:tcBorders>
              <w:top w:val="single" w:sz="6" w:space="0" w:color="000000"/>
              <w:left w:val="single" w:sz="6" w:space="0" w:color="000000"/>
              <w:bottom w:val="single" w:sz="6" w:space="0" w:color="000000"/>
              <w:right w:val="single" w:sz="6" w:space="0" w:color="000000"/>
            </w:tcBorders>
          </w:tcPr>
          <w:p w14:paraId="6DD2A389" w14:textId="77777777" w:rsidR="000B3C5C" w:rsidRDefault="00ED192D">
            <w:pPr>
              <w:spacing w:after="45" w:line="259" w:lineRule="auto"/>
              <w:ind w:left="0" w:right="43" w:firstLine="0"/>
              <w:jc w:val="center"/>
            </w:pPr>
            <w:r>
              <w:rPr>
                <w:rFonts w:ascii="Arial" w:eastAsia="Arial" w:hAnsi="Arial" w:cs="Arial"/>
                <w:sz w:val="16"/>
              </w:rPr>
              <w:t xml:space="preserve"> </w:t>
            </w:r>
          </w:p>
          <w:p w14:paraId="44D8B8FA" w14:textId="77777777" w:rsidR="000B3C5C" w:rsidRDefault="00ED192D">
            <w:pPr>
              <w:spacing w:after="0" w:line="259" w:lineRule="auto"/>
              <w:ind w:left="0" w:right="78" w:firstLine="0"/>
              <w:jc w:val="center"/>
            </w:pPr>
            <w:r>
              <w:rPr>
                <w:rFonts w:ascii="Arial" w:eastAsia="Arial" w:hAnsi="Arial" w:cs="Arial"/>
                <w:sz w:val="16"/>
              </w:rPr>
              <w:t xml:space="preserve">X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tcPr>
          <w:p w14:paraId="493D328D" w14:textId="77777777" w:rsidR="000B3C5C" w:rsidRDefault="00ED192D">
            <w:pPr>
              <w:spacing w:after="0" w:line="259" w:lineRule="auto"/>
              <w:ind w:left="0" w:right="41"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4BC91BFF" w14:textId="77777777" w:rsidR="000B3C5C" w:rsidRDefault="00ED192D">
            <w:pPr>
              <w:spacing w:after="0" w:line="259" w:lineRule="auto"/>
              <w:ind w:left="14" w:firstLine="0"/>
            </w:pPr>
            <w:r>
              <w:rPr>
                <w:rFonts w:ascii="Arial" w:eastAsia="Arial" w:hAnsi="Arial" w:cs="Arial"/>
                <w:sz w:val="16"/>
              </w:rPr>
              <w:t xml:space="preserve">See </w:t>
            </w:r>
          </w:p>
          <w:p w14:paraId="7D43D821" w14:textId="77777777" w:rsidR="000B3C5C" w:rsidRDefault="00ED192D">
            <w:pPr>
              <w:spacing w:after="43" w:line="259" w:lineRule="auto"/>
              <w:ind w:left="14"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10.3</w:t>
            </w:r>
            <w:r>
              <w:rPr>
                <w:rFonts w:ascii="Arial" w:eastAsia="Arial" w:hAnsi="Arial" w:cs="Arial"/>
                <w:sz w:val="16"/>
              </w:rPr>
              <w:t xml:space="preserve"> </w:t>
            </w:r>
          </w:p>
          <w:p w14:paraId="2EC769AB" w14:textId="77777777" w:rsidR="000B3C5C" w:rsidRDefault="00ED192D">
            <w:pPr>
              <w:spacing w:after="0" w:line="259" w:lineRule="auto"/>
              <w:ind w:left="14" w:firstLine="0"/>
            </w:pPr>
            <w:r>
              <w:rPr>
                <w:rFonts w:ascii="Arial" w:eastAsia="Arial" w:hAnsi="Arial" w:cs="Arial"/>
                <w:color w:val="0000FF"/>
                <w:sz w:val="16"/>
              </w:rPr>
              <w:t>Table 12</w:t>
            </w:r>
            <w:r>
              <w:rPr>
                <w:rFonts w:ascii="Arial" w:eastAsia="Arial" w:hAnsi="Arial" w:cs="Arial"/>
                <w:sz w:val="16"/>
              </w:rPr>
              <w:t xml:space="preserve"> </w:t>
            </w:r>
          </w:p>
        </w:tc>
      </w:tr>
      <w:tr w:rsidR="000B3C5C" w14:paraId="5DB01EF3" w14:textId="77777777">
        <w:trPr>
          <w:trHeight w:val="398"/>
        </w:trPr>
        <w:tc>
          <w:tcPr>
            <w:tcW w:w="1575" w:type="dxa"/>
            <w:tcBorders>
              <w:top w:val="single" w:sz="6" w:space="0" w:color="000000"/>
              <w:left w:val="single" w:sz="4" w:space="0" w:color="000000"/>
              <w:bottom w:val="single" w:sz="6" w:space="0" w:color="000000"/>
              <w:right w:val="single" w:sz="6" w:space="0" w:color="000000"/>
            </w:tcBorders>
            <w:vAlign w:val="center"/>
          </w:tcPr>
          <w:p w14:paraId="756F351C" w14:textId="77777777" w:rsidR="000B3C5C" w:rsidRDefault="00ED192D">
            <w:pPr>
              <w:spacing w:after="0" w:line="259" w:lineRule="auto"/>
              <w:ind w:left="14" w:firstLine="0"/>
            </w:pPr>
            <w:r>
              <w:rPr>
                <w:rFonts w:ascii="Arial" w:eastAsia="Arial" w:hAnsi="Arial" w:cs="Arial"/>
                <w:sz w:val="16"/>
              </w:rPr>
              <w:t xml:space="preserve">Hematology  </w:t>
            </w:r>
          </w:p>
        </w:tc>
        <w:tc>
          <w:tcPr>
            <w:tcW w:w="600" w:type="dxa"/>
            <w:tcBorders>
              <w:top w:val="single" w:sz="6" w:space="0" w:color="000000"/>
              <w:left w:val="single" w:sz="6" w:space="0" w:color="000000"/>
              <w:bottom w:val="single" w:sz="6" w:space="0" w:color="000000"/>
              <w:right w:val="single" w:sz="6" w:space="0" w:color="000000"/>
            </w:tcBorders>
          </w:tcPr>
          <w:p w14:paraId="46556523" w14:textId="77777777" w:rsidR="000B3C5C" w:rsidRDefault="00ED192D">
            <w:pPr>
              <w:spacing w:after="0" w:line="259" w:lineRule="auto"/>
              <w:ind w:left="0" w:right="36" w:firstLine="0"/>
              <w:jc w:val="center"/>
            </w:pPr>
            <w:r>
              <w:rPr>
                <w:rFonts w:ascii="Arial" w:eastAsia="Arial" w:hAnsi="Arial" w:cs="Arial"/>
                <w:sz w:val="16"/>
              </w:rPr>
              <w:t xml:space="preserve"> </w:t>
            </w:r>
          </w:p>
        </w:tc>
        <w:tc>
          <w:tcPr>
            <w:tcW w:w="741" w:type="dxa"/>
            <w:tcBorders>
              <w:top w:val="single" w:sz="6" w:space="0" w:color="000000"/>
              <w:left w:val="single" w:sz="6" w:space="0" w:color="000000"/>
              <w:bottom w:val="single" w:sz="6" w:space="0" w:color="000000"/>
              <w:right w:val="single" w:sz="6" w:space="0" w:color="000000"/>
            </w:tcBorders>
            <w:vAlign w:val="center"/>
          </w:tcPr>
          <w:p w14:paraId="5515D431" w14:textId="77777777" w:rsidR="000B3C5C" w:rsidRDefault="00ED192D">
            <w:pPr>
              <w:spacing w:after="0" w:line="259" w:lineRule="auto"/>
              <w:ind w:left="0" w:right="68" w:firstLine="0"/>
              <w:jc w:val="center"/>
            </w:pPr>
            <w:r>
              <w:rPr>
                <w:rFonts w:ascii="Arial" w:eastAsia="Arial" w:hAnsi="Arial" w:cs="Arial"/>
                <w:sz w:val="16"/>
              </w:rPr>
              <w:t xml:space="preserve">X </w:t>
            </w:r>
          </w:p>
        </w:tc>
        <w:tc>
          <w:tcPr>
            <w:tcW w:w="661" w:type="dxa"/>
            <w:tcBorders>
              <w:top w:val="single" w:sz="6" w:space="0" w:color="000000"/>
              <w:left w:val="single" w:sz="6" w:space="0" w:color="000000"/>
              <w:bottom w:val="single" w:sz="6" w:space="0" w:color="000000"/>
              <w:right w:val="single" w:sz="6" w:space="0" w:color="000000"/>
            </w:tcBorders>
            <w:vAlign w:val="center"/>
          </w:tcPr>
          <w:p w14:paraId="417A4BE5" w14:textId="77777777" w:rsidR="000B3C5C" w:rsidRDefault="00ED192D">
            <w:pPr>
              <w:spacing w:after="0" w:line="259" w:lineRule="auto"/>
              <w:ind w:left="0" w:right="73" w:firstLine="0"/>
              <w:jc w:val="center"/>
            </w:pPr>
            <w:r>
              <w:rPr>
                <w:rFonts w:ascii="Arial" w:eastAsia="Arial" w:hAnsi="Arial" w:cs="Arial"/>
                <w:sz w:val="16"/>
              </w:rPr>
              <w:t xml:space="preserve">X </w:t>
            </w:r>
          </w:p>
        </w:tc>
        <w:tc>
          <w:tcPr>
            <w:tcW w:w="602" w:type="dxa"/>
            <w:tcBorders>
              <w:top w:val="single" w:sz="6" w:space="0" w:color="000000"/>
              <w:left w:val="single" w:sz="6" w:space="0" w:color="000000"/>
              <w:bottom w:val="single" w:sz="6" w:space="0" w:color="000000"/>
              <w:right w:val="single" w:sz="6" w:space="0" w:color="000000"/>
            </w:tcBorders>
          </w:tcPr>
          <w:p w14:paraId="0BBE5FD8" w14:textId="77777777" w:rsidR="000B3C5C" w:rsidRDefault="00ED192D">
            <w:pPr>
              <w:spacing w:after="0" w:line="259" w:lineRule="auto"/>
              <w:ind w:left="0" w:right="85"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585" w:type="dxa"/>
            <w:tcBorders>
              <w:top w:val="single" w:sz="6" w:space="0" w:color="000000"/>
              <w:left w:val="single" w:sz="6" w:space="0" w:color="000000"/>
              <w:bottom w:val="single" w:sz="6" w:space="0" w:color="000000"/>
              <w:right w:val="single" w:sz="6" w:space="0" w:color="000000"/>
            </w:tcBorders>
          </w:tcPr>
          <w:p w14:paraId="216F982B" w14:textId="77777777" w:rsidR="000B3C5C" w:rsidRDefault="00ED192D">
            <w:pPr>
              <w:spacing w:after="0" w:line="259" w:lineRule="auto"/>
              <w:ind w:left="0" w:right="72"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3171" w:type="dxa"/>
            <w:tcBorders>
              <w:top w:val="single" w:sz="6" w:space="0" w:color="000000"/>
              <w:left w:val="single" w:sz="6" w:space="0" w:color="000000"/>
              <w:bottom w:val="single" w:sz="6" w:space="0" w:color="000000"/>
              <w:right w:val="single" w:sz="6" w:space="0" w:color="000000"/>
            </w:tcBorders>
            <w:vAlign w:val="center"/>
          </w:tcPr>
          <w:p w14:paraId="512D7406" w14:textId="77777777" w:rsidR="000B3C5C" w:rsidRDefault="00ED192D">
            <w:pPr>
              <w:spacing w:after="0" w:line="259" w:lineRule="auto"/>
              <w:ind w:left="0" w:right="73" w:firstLine="0"/>
              <w:jc w:val="center"/>
            </w:pPr>
            <w:r>
              <w:rPr>
                <w:rFonts w:ascii="Arial" w:eastAsia="Arial" w:hAnsi="Arial" w:cs="Arial"/>
                <w:sz w:val="16"/>
              </w:rPr>
              <w:t xml:space="preserve">X </w:t>
            </w:r>
          </w:p>
        </w:tc>
        <w:tc>
          <w:tcPr>
            <w:tcW w:w="1307" w:type="dxa"/>
            <w:tcBorders>
              <w:top w:val="single" w:sz="6" w:space="0" w:color="000000"/>
              <w:left w:val="single" w:sz="6" w:space="0" w:color="000000"/>
              <w:bottom w:val="single" w:sz="6" w:space="0" w:color="000000"/>
              <w:right w:val="single" w:sz="6" w:space="0" w:color="000000"/>
            </w:tcBorders>
            <w:vAlign w:val="center"/>
          </w:tcPr>
          <w:p w14:paraId="57C8F22E" w14:textId="77777777" w:rsidR="000B3C5C" w:rsidRDefault="00ED192D">
            <w:pPr>
              <w:spacing w:after="0" w:line="259" w:lineRule="auto"/>
              <w:ind w:left="0" w:right="77" w:firstLine="0"/>
              <w:jc w:val="center"/>
            </w:pPr>
            <w:r>
              <w:rPr>
                <w:rFonts w:ascii="Arial" w:eastAsia="Arial" w:hAnsi="Arial" w:cs="Arial"/>
                <w:sz w:val="16"/>
              </w:rPr>
              <w:t xml:space="preserve">X </w:t>
            </w:r>
          </w:p>
        </w:tc>
        <w:tc>
          <w:tcPr>
            <w:tcW w:w="1351" w:type="dxa"/>
            <w:tcBorders>
              <w:top w:val="single" w:sz="6" w:space="0" w:color="000000"/>
              <w:left w:val="single" w:sz="6" w:space="0" w:color="000000"/>
              <w:bottom w:val="single" w:sz="6" w:space="0" w:color="000000"/>
              <w:right w:val="single" w:sz="6" w:space="0" w:color="000000"/>
            </w:tcBorders>
            <w:vAlign w:val="center"/>
          </w:tcPr>
          <w:p w14:paraId="52FFAD0B" w14:textId="77777777" w:rsidR="000B3C5C" w:rsidRDefault="00ED192D">
            <w:pPr>
              <w:spacing w:after="0" w:line="259" w:lineRule="auto"/>
              <w:ind w:left="0" w:right="82" w:firstLine="0"/>
              <w:jc w:val="center"/>
            </w:pPr>
            <w:r>
              <w:rPr>
                <w:rFonts w:ascii="Arial" w:eastAsia="Arial" w:hAnsi="Arial" w:cs="Arial"/>
                <w:sz w:val="16"/>
              </w:rPr>
              <w:t xml:space="preserve">X </w:t>
            </w:r>
          </w:p>
        </w:tc>
        <w:tc>
          <w:tcPr>
            <w:tcW w:w="1157" w:type="dxa"/>
            <w:tcBorders>
              <w:top w:val="single" w:sz="6" w:space="0" w:color="000000"/>
              <w:left w:val="single" w:sz="6" w:space="0" w:color="000000"/>
              <w:bottom w:val="single" w:sz="6" w:space="0" w:color="000000"/>
              <w:right w:val="single" w:sz="6" w:space="0" w:color="000000"/>
            </w:tcBorders>
          </w:tcPr>
          <w:p w14:paraId="359E7323" w14:textId="77777777" w:rsidR="000B3C5C" w:rsidRDefault="00ED192D">
            <w:pPr>
              <w:spacing w:after="0" w:line="259" w:lineRule="auto"/>
              <w:ind w:left="0" w:right="78" w:firstLine="0"/>
              <w:jc w:val="center"/>
            </w:pPr>
            <w:r>
              <w:rPr>
                <w:rFonts w:ascii="Arial" w:eastAsia="Arial" w:hAnsi="Arial" w:cs="Arial"/>
                <w:sz w:val="16"/>
              </w:rPr>
              <w:t xml:space="preserve">X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tcPr>
          <w:p w14:paraId="1AB3CE06" w14:textId="77777777" w:rsidR="000B3C5C" w:rsidRDefault="00ED192D">
            <w:pPr>
              <w:spacing w:after="0" w:line="259" w:lineRule="auto"/>
              <w:ind w:left="0" w:right="41"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7EF37A84" w14:textId="77777777" w:rsidR="000B3C5C" w:rsidRDefault="00ED192D">
            <w:pPr>
              <w:spacing w:after="0" w:line="259" w:lineRule="auto"/>
              <w:ind w:left="14"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10.3</w:t>
            </w:r>
            <w:r>
              <w:rPr>
                <w:rFonts w:ascii="Arial" w:eastAsia="Arial" w:hAnsi="Arial" w:cs="Arial"/>
                <w:sz w:val="16"/>
              </w:rPr>
              <w:t xml:space="preserve"> </w:t>
            </w:r>
          </w:p>
        </w:tc>
      </w:tr>
      <w:tr w:rsidR="000B3C5C" w14:paraId="66E6683D" w14:textId="77777777">
        <w:trPr>
          <w:trHeight w:val="397"/>
        </w:trPr>
        <w:tc>
          <w:tcPr>
            <w:tcW w:w="1575" w:type="dxa"/>
            <w:tcBorders>
              <w:top w:val="single" w:sz="6" w:space="0" w:color="000000"/>
              <w:left w:val="single" w:sz="4" w:space="0" w:color="000000"/>
              <w:bottom w:val="single" w:sz="6" w:space="0" w:color="000000"/>
              <w:right w:val="single" w:sz="6" w:space="0" w:color="000000"/>
            </w:tcBorders>
          </w:tcPr>
          <w:p w14:paraId="48A03A00" w14:textId="77777777" w:rsidR="000B3C5C" w:rsidRDefault="00ED192D">
            <w:pPr>
              <w:spacing w:after="0" w:line="259" w:lineRule="auto"/>
              <w:ind w:left="14" w:firstLine="0"/>
            </w:pPr>
            <w:r>
              <w:rPr>
                <w:rFonts w:ascii="Arial" w:eastAsia="Arial" w:hAnsi="Arial" w:cs="Arial"/>
                <w:sz w:val="20"/>
              </w:rPr>
              <w:t xml:space="preserve">Coagulation(GBM)  </w:t>
            </w:r>
          </w:p>
        </w:tc>
        <w:tc>
          <w:tcPr>
            <w:tcW w:w="600" w:type="dxa"/>
            <w:tcBorders>
              <w:top w:val="single" w:sz="6" w:space="0" w:color="000000"/>
              <w:left w:val="single" w:sz="6" w:space="0" w:color="000000"/>
              <w:bottom w:val="single" w:sz="6" w:space="0" w:color="000000"/>
              <w:right w:val="single" w:sz="6" w:space="0" w:color="000000"/>
            </w:tcBorders>
            <w:vAlign w:val="center"/>
          </w:tcPr>
          <w:p w14:paraId="45DDF727" w14:textId="77777777" w:rsidR="000B3C5C" w:rsidRDefault="00ED192D">
            <w:pPr>
              <w:spacing w:after="0" w:line="259" w:lineRule="auto"/>
              <w:ind w:left="0" w:right="36" w:firstLine="0"/>
              <w:jc w:val="center"/>
            </w:pPr>
            <w:r>
              <w:rPr>
                <w:rFonts w:ascii="Arial" w:eastAsia="Arial" w:hAnsi="Arial" w:cs="Arial"/>
                <w:sz w:val="16"/>
              </w:rPr>
              <w:t xml:space="preserve"> </w:t>
            </w:r>
          </w:p>
        </w:tc>
        <w:tc>
          <w:tcPr>
            <w:tcW w:w="741" w:type="dxa"/>
            <w:tcBorders>
              <w:top w:val="single" w:sz="6" w:space="0" w:color="000000"/>
              <w:left w:val="single" w:sz="6" w:space="0" w:color="000000"/>
              <w:bottom w:val="single" w:sz="6" w:space="0" w:color="000000"/>
              <w:right w:val="single" w:sz="6" w:space="0" w:color="000000"/>
            </w:tcBorders>
            <w:vAlign w:val="center"/>
          </w:tcPr>
          <w:p w14:paraId="6F5F753F" w14:textId="77777777" w:rsidR="000B3C5C" w:rsidRDefault="00ED192D">
            <w:pPr>
              <w:spacing w:after="0" w:line="259" w:lineRule="auto"/>
              <w:ind w:left="0" w:right="68" w:firstLine="0"/>
              <w:jc w:val="center"/>
            </w:pPr>
            <w:r>
              <w:rPr>
                <w:rFonts w:ascii="Arial" w:eastAsia="Arial" w:hAnsi="Arial" w:cs="Arial"/>
                <w:sz w:val="16"/>
              </w:rPr>
              <w:t xml:space="preserve">X </w:t>
            </w:r>
          </w:p>
        </w:tc>
        <w:tc>
          <w:tcPr>
            <w:tcW w:w="661" w:type="dxa"/>
            <w:tcBorders>
              <w:top w:val="single" w:sz="6" w:space="0" w:color="000000"/>
              <w:left w:val="single" w:sz="6" w:space="0" w:color="000000"/>
              <w:bottom w:val="single" w:sz="6" w:space="0" w:color="000000"/>
              <w:right w:val="single" w:sz="6" w:space="0" w:color="000000"/>
            </w:tcBorders>
            <w:vAlign w:val="center"/>
          </w:tcPr>
          <w:p w14:paraId="3C21E92C" w14:textId="77777777" w:rsidR="000B3C5C" w:rsidRDefault="00ED192D">
            <w:pPr>
              <w:spacing w:after="0" w:line="259" w:lineRule="auto"/>
              <w:ind w:left="0" w:right="73" w:firstLine="0"/>
              <w:jc w:val="center"/>
            </w:pPr>
            <w:r>
              <w:rPr>
                <w:rFonts w:ascii="Arial" w:eastAsia="Arial" w:hAnsi="Arial" w:cs="Arial"/>
                <w:sz w:val="16"/>
              </w:rPr>
              <w:t xml:space="preserve">X </w:t>
            </w:r>
          </w:p>
        </w:tc>
        <w:tc>
          <w:tcPr>
            <w:tcW w:w="602" w:type="dxa"/>
            <w:tcBorders>
              <w:top w:val="single" w:sz="6" w:space="0" w:color="000000"/>
              <w:left w:val="single" w:sz="6" w:space="0" w:color="000000"/>
              <w:bottom w:val="single" w:sz="6" w:space="0" w:color="000000"/>
              <w:right w:val="single" w:sz="6" w:space="0" w:color="000000"/>
            </w:tcBorders>
          </w:tcPr>
          <w:p w14:paraId="7BFB1D6A" w14:textId="77777777" w:rsidR="000B3C5C" w:rsidRDefault="00ED192D">
            <w:pPr>
              <w:spacing w:after="0" w:line="259" w:lineRule="auto"/>
              <w:ind w:left="0" w:right="85"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585" w:type="dxa"/>
            <w:tcBorders>
              <w:top w:val="single" w:sz="6" w:space="0" w:color="000000"/>
              <w:left w:val="single" w:sz="6" w:space="0" w:color="000000"/>
              <w:bottom w:val="single" w:sz="6" w:space="0" w:color="000000"/>
              <w:right w:val="single" w:sz="6" w:space="0" w:color="000000"/>
            </w:tcBorders>
          </w:tcPr>
          <w:p w14:paraId="6BA462F1" w14:textId="77777777" w:rsidR="000B3C5C" w:rsidRDefault="00ED192D">
            <w:pPr>
              <w:spacing w:after="0" w:line="259" w:lineRule="auto"/>
              <w:ind w:left="0" w:right="72"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3171" w:type="dxa"/>
            <w:tcBorders>
              <w:top w:val="single" w:sz="6" w:space="0" w:color="000000"/>
              <w:left w:val="single" w:sz="6" w:space="0" w:color="000000"/>
              <w:bottom w:val="single" w:sz="6" w:space="0" w:color="000000"/>
              <w:right w:val="single" w:sz="6" w:space="0" w:color="000000"/>
            </w:tcBorders>
            <w:vAlign w:val="center"/>
          </w:tcPr>
          <w:p w14:paraId="1C74A5EC" w14:textId="77777777" w:rsidR="000B3C5C" w:rsidRDefault="00ED192D">
            <w:pPr>
              <w:spacing w:after="0" w:line="259" w:lineRule="auto"/>
              <w:ind w:left="0" w:right="73" w:firstLine="0"/>
              <w:jc w:val="center"/>
            </w:pPr>
            <w:r>
              <w:rPr>
                <w:rFonts w:ascii="Arial" w:eastAsia="Arial" w:hAnsi="Arial" w:cs="Arial"/>
                <w:sz w:val="16"/>
              </w:rPr>
              <w:t xml:space="preserve">X </w:t>
            </w:r>
          </w:p>
        </w:tc>
        <w:tc>
          <w:tcPr>
            <w:tcW w:w="1307" w:type="dxa"/>
            <w:tcBorders>
              <w:top w:val="single" w:sz="6" w:space="0" w:color="000000"/>
              <w:left w:val="single" w:sz="6" w:space="0" w:color="000000"/>
              <w:bottom w:val="single" w:sz="6" w:space="0" w:color="000000"/>
              <w:right w:val="single" w:sz="6" w:space="0" w:color="000000"/>
            </w:tcBorders>
            <w:vAlign w:val="center"/>
          </w:tcPr>
          <w:p w14:paraId="420E17A4" w14:textId="77777777" w:rsidR="000B3C5C" w:rsidRDefault="00ED192D">
            <w:pPr>
              <w:spacing w:after="0" w:line="259" w:lineRule="auto"/>
              <w:ind w:left="0" w:right="77" w:firstLine="0"/>
              <w:jc w:val="center"/>
            </w:pPr>
            <w:r>
              <w:rPr>
                <w:rFonts w:ascii="Arial" w:eastAsia="Arial" w:hAnsi="Arial" w:cs="Arial"/>
                <w:sz w:val="16"/>
              </w:rPr>
              <w:t xml:space="preserve">X </w:t>
            </w:r>
          </w:p>
        </w:tc>
        <w:tc>
          <w:tcPr>
            <w:tcW w:w="135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31ADBE4E" w14:textId="77777777" w:rsidR="000B3C5C" w:rsidRDefault="00ED192D">
            <w:pPr>
              <w:spacing w:after="0" w:line="259" w:lineRule="auto"/>
              <w:ind w:left="0" w:right="46" w:firstLine="0"/>
              <w:jc w:val="center"/>
            </w:pPr>
            <w:r>
              <w:rPr>
                <w:rFonts w:ascii="Arial" w:eastAsia="Arial" w:hAnsi="Arial" w:cs="Arial"/>
                <w:sz w:val="16"/>
              </w:rPr>
              <w:t xml:space="preserve"> </w:t>
            </w:r>
          </w:p>
        </w:tc>
        <w:tc>
          <w:tcPr>
            <w:tcW w:w="1157"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16A7400" w14:textId="77777777" w:rsidR="000B3C5C" w:rsidRDefault="00ED192D">
            <w:pPr>
              <w:spacing w:after="0" w:line="259" w:lineRule="auto"/>
              <w:ind w:left="0" w:right="43" w:firstLine="0"/>
              <w:jc w:val="center"/>
            </w:pPr>
            <w:r>
              <w:rPr>
                <w:rFonts w:ascii="Arial" w:eastAsia="Arial" w:hAnsi="Arial" w:cs="Arial"/>
                <w:sz w:val="16"/>
              </w:rPr>
              <w:t xml:space="preserve">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1BF110A6" w14:textId="77777777" w:rsidR="000B3C5C" w:rsidRDefault="00ED192D">
            <w:pPr>
              <w:spacing w:after="0" w:line="259" w:lineRule="auto"/>
              <w:ind w:left="0" w:right="41"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vAlign w:val="center"/>
          </w:tcPr>
          <w:p w14:paraId="0A187252" w14:textId="77777777" w:rsidR="000B3C5C" w:rsidRDefault="00ED192D">
            <w:pPr>
              <w:spacing w:after="0" w:line="259" w:lineRule="auto"/>
              <w:ind w:left="14"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10.3</w:t>
            </w:r>
            <w:r>
              <w:rPr>
                <w:rFonts w:ascii="Arial" w:eastAsia="Arial" w:hAnsi="Arial" w:cs="Arial"/>
                <w:sz w:val="16"/>
              </w:rPr>
              <w:t xml:space="preserve"> </w:t>
            </w:r>
          </w:p>
        </w:tc>
      </w:tr>
      <w:tr w:rsidR="000B3C5C" w14:paraId="11C44E5E" w14:textId="77777777">
        <w:trPr>
          <w:trHeight w:val="500"/>
        </w:trPr>
        <w:tc>
          <w:tcPr>
            <w:tcW w:w="1575" w:type="dxa"/>
            <w:tcBorders>
              <w:top w:val="single" w:sz="6" w:space="0" w:color="000000"/>
              <w:left w:val="single" w:sz="4" w:space="0" w:color="000000"/>
              <w:bottom w:val="single" w:sz="6" w:space="0" w:color="000000"/>
              <w:right w:val="single" w:sz="6" w:space="0" w:color="000000"/>
            </w:tcBorders>
          </w:tcPr>
          <w:p w14:paraId="3039CBB2" w14:textId="77777777" w:rsidR="000B3C5C" w:rsidRDefault="00ED192D">
            <w:pPr>
              <w:spacing w:after="0" w:line="259" w:lineRule="auto"/>
              <w:ind w:left="14" w:firstLine="0"/>
            </w:pPr>
            <w:r>
              <w:rPr>
                <w:rFonts w:ascii="Arial" w:eastAsia="Arial" w:hAnsi="Arial" w:cs="Arial"/>
                <w:sz w:val="16"/>
              </w:rPr>
              <w:t xml:space="preserve">Coagulation (for HCC, </w:t>
            </w:r>
          </w:p>
          <w:p w14:paraId="344835D8" w14:textId="77777777" w:rsidR="000B3C5C" w:rsidRDefault="00ED192D">
            <w:pPr>
              <w:spacing w:after="0" w:line="259" w:lineRule="auto"/>
              <w:ind w:left="14" w:firstLine="0"/>
            </w:pPr>
            <w:r>
              <w:rPr>
                <w:rFonts w:ascii="Arial" w:eastAsia="Arial" w:hAnsi="Arial" w:cs="Arial"/>
                <w:sz w:val="16"/>
              </w:rPr>
              <w:t xml:space="preserve">SCCHN, and EOC) </w:t>
            </w:r>
          </w:p>
        </w:tc>
        <w:tc>
          <w:tcPr>
            <w:tcW w:w="600" w:type="dxa"/>
            <w:tcBorders>
              <w:top w:val="single" w:sz="6" w:space="0" w:color="000000"/>
              <w:left w:val="single" w:sz="6" w:space="0" w:color="000000"/>
              <w:bottom w:val="single" w:sz="6" w:space="0" w:color="000000"/>
              <w:right w:val="single" w:sz="6" w:space="0" w:color="000000"/>
            </w:tcBorders>
          </w:tcPr>
          <w:p w14:paraId="51467290" w14:textId="77777777" w:rsidR="000B3C5C" w:rsidRDefault="00ED192D">
            <w:pPr>
              <w:spacing w:after="0" w:line="259" w:lineRule="auto"/>
              <w:ind w:left="0" w:right="36" w:firstLine="0"/>
              <w:jc w:val="center"/>
            </w:pPr>
            <w:r>
              <w:rPr>
                <w:rFonts w:ascii="Arial" w:eastAsia="Arial" w:hAnsi="Arial" w:cs="Arial"/>
                <w:sz w:val="16"/>
              </w:rPr>
              <w:t xml:space="preserve"> </w:t>
            </w:r>
          </w:p>
        </w:tc>
        <w:tc>
          <w:tcPr>
            <w:tcW w:w="741" w:type="dxa"/>
            <w:tcBorders>
              <w:top w:val="single" w:sz="6" w:space="0" w:color="000000"/>
              <w:left w:val="single" w:sz="6" w:space="0" w:color="000000"/>
              <w:bottom w:val="single" w:sz="6" w:space="0" w:color="000000"/>
              <w:right w:val="single" w:sz="6" w:space="0" w:color="000000"/>
            </w:tcBorders>
            <w:vAlign w:val="center"/>
          </w:tcPr>
          <w:p w14:paraId="16A5E903" w14:textId="77777777" w:rsidR="000B3C5C" w:rsidRDefault="00ED192D">
            <w:pPr>
              <w:spacing w:after="0" w:line="259" w:lineRule="auto"/>
              <w:ind w:left="0" w:right="68" w:firstLine="0"/>
              <w:jc w:val="center"/>
            </w:pPr>
            <w:r>
              <w:rPr>
                <w:rFonts w:ascii="Arial" w:eastAsia="Arial" w:hAnsi="Arial" w:cs="Arial"/>
                <w:sz w:val="16"/>
              </w:rPr>
              <w:t xml:space="preserve">X </w:t>
            </w:r>
          </w:p>
        </w:tc>
        <w:tc>
          <w:tcPr>
            <w:tcW w:w="66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5E8E4BD" w14:textId="77777777" w:rsidR="000B3C5C" w:rsidRDefault="00ED192D">
            <w:pPr>
              <w:spacing w:after="0" w:line="259" w:lineRule="auto"/>
              <w:ind w:left="0" w:right="38" w:firstLine="0"/>
              <w:jc w:val="center"/>
            </w:pPr>
            <w:r>
              <w:rPr>
                <w:rFonts w:ascii="Arial" w:eastAsia="Arial" w:hAnsi="Arial" w:cs="Arial"/>
                <w:sz w:val="16"/>
              </w:rPr>
              <w:t xml:space="preserve"> </w:t>
            </w:r>
          </w:p>
        </w:tc>
        <w:tc>
          <w:tcPr>
            <w:tcW w:w="602"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029C1FE6" w14:textId="77777777" w:rsidR="000B3C5C" w:rsidRDefault="00ED192D">
            <w:pPr>
              <w:spacing w:after="0" w:line="259" w:lineRule="auto"/>
              <w:ind w:left="0" w:right="52" w:firstLine="0"/>
              <w:jc w:val="center"/>
            </w:pPr>
            <w:r>
              <w:rPr>
                <w:rFonts w:ascii="Arial" w:eastAsia="Arial" w:hAnsi="Arial" w:cs="Arial"/>
                <w:sz w:val="16"/>
              </w:rPr>
              <w:t xml:space="preserve"> </w:t>
            </w:r>
          </w:p>
        </w:tc>
        <w:tc>
          <w:tcPr>
            <w:tcW w:w="58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3A8069FC" w14:textId="77777777" w:rsidR="000B3C5C" w:rsidRDefault="00ED192D">
            <w:pPr>
              <w:spacing w:after="0" w:line="259" w:lineRule="auto"/>
              <w:ind w:left="0" w:right="40" w:firstLine="0"/>
              <w:jc w:val="center"/>
            </w:pPr>
            <w:r>
              <w:rPr>
                <w:rFonts w:ascii="Arial" w:eastAsia="Arial" w:hAnsi="Arial" w:cs="Arial"/>
                <w:sz w:val="16"/>
              </w:rPr>
              <w:t xml:space="preserve"> </w:t>
            </w:r>
          </w:p>
        </w:tc>
        <w:tc>
          <w:tcPr>
            <w:tcW w:w="3171" w:type="dxa"/>
            <w:tcBorders>
              <w:top w:val="single" w:sz="6" w:space="0" w:color="000000"/>
              <w:left w:val="single" w:sz="6" w:space="0" w:color="000000"/>
              <w:bottom w:val="single" w:sz="6" w:space="0" w:color="000000"/>
              <w:right w:val="nil"/>
            </w:tcBorders>
            <w:vAlign w:val="center"/>
          </w:tcPr>
          <w:p w14:paraId="6B6EC190" w14:textId="77777777" w:rsidR="000B3C5C" w:rsidRDefault="00ED192D">
            <w:pPr>
              <w:spacing w:after="0" w:line="259" w:lineRule="auto"/>
              <w:ind w:left="0" w:right="295" w:firstLine="0"/>
              <w:jc w:val="right"/>
            </w:pPr>
            <w:r>
              <w:rPr>
                <w:rFonts w:ascii="Arial" w:eastAsia="Arial" w:hAnsi="Arial" w:cs="Arial"/>
                <w:sz w:val="16"/>
              </w:rPr>
              <w:t xml:space="preserve">As clinically indicated </w:t>
            </w:r>
          </w:p>
        </w:tc>
        <w:tc>
          <w:tcPr>
            <w:tcW w:w="1307" w:type="dxa"/>
            <w:tcBorders>
              <w:top w:val="single" w:sz="6" w:space="0" w:color="000000"/>
              <w:left w:val="nil"/>
              <w:bottom w:val="single" w:sz="6" w:space="0" w:color="000000"/>
              <w:right w:val="single" w:sz="6" w:space="0" w:color="000000"/>
            </w:tcBorders>
          </w:tcPr>
          <w:p w14:paraId="13049A11" w14:textId="77777777" w:rsidR="000B3C5C" w:rsidRDefault="000B3C5C">
            <w:pPr>
              <w:spacing w:after="160" w:line="259" w:lineRule="auto"/>
              <w:ind w:left="0" w:firstLine="0"/>
            </w:pPr>
          </w:p>
        </w:tc>
        <w:tc>
          <w:tcPr>
            <w:tcW w:w="135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32972F1B" w14:textId="77777777" w:rsidR="000B3C5C" w:rsidRDefault="00ED192D">
            <w:pPr>
              <w:spacing w:after="0" w:line="259" w:lineRule="auto"/>
              <w:ind w:left="0" w:right="46" w:firstLine="0"/>
              <w:jc w:val="center"/>
            </w:pPr>
            <w:r>
              <w:rPr>
                <w:rFonts w:ascii="Arial" w:eastAsia="Arial" w:hAnsi="Arial" w:cs="Arial"/>
                <w:sz w:val="16"/>
              </w:rPr>
              <w:t xml:space="preserve"> </w:t>
            </w:r>
          </w:p>
        </w:tc>
        <w:tc>
          <w:tcPr>
            <w:tcW w:w="1157" w:type="dxa"/>
            <w:tcBorders>
              <w:top w:val="single" w:sz="6" w:space="0" w:color="000000"/>
              <w:left w:val="single" w:sz="6" w:space="0" w:color="000000"/>
              <w:bottom w:val="single" w:sz="6" w:space="0" w:color="000000"/>
              <w:right w:val="single" w:sz="6" w:space="0" w:color="000000"/>
            </w:tcBorders>
            <w:shd w:val="clear" w:color="auto" w:fill="A6A6A6"/>
          </w:tcPr>
          <w:p w14:paraId="6CF6E9BC" w14:textId="77777777" w:rsidR="000B3C5C" w:rsidRDefault="00ED192D">
            <w:pPr>
              <w:spacing w:after="0" w:line="259" w:lineRule="auto"/>
              <w:ind w:left="0" w:right="43" w:firstLine="0"/>
              <w:jc w:val="center"/>
            </w:pPr>
            <w:r>
              <w:rPr>
                <w:rFonts w:ascii="Arial" w:eastAsia="Arial" w:hAnsi="Arial" w:cs="Arial"/>
                <w:sz w:val="16"/>
              </w:rPr>
              <w:t xml:space="preserve"> </w:t>
            </w:r>
          </w:p>
        </w:tc>
        <w:tc>
          <w:tcPr>
            <w:tcW w:w="1409" w:type="dxa"/>
            <w:tcBorders>
              <w:top w:val="single" w:sz="6" w:space="0" w:color="000000"/>
              <w:left w:val="single" w:sz="6" w:space="0" w:color="000000"/>
              <w:bottom w:val="single" w:sz="6" w:space="0" w:color="000000"/>
              <w:right w:val="single" w:sz="6" w:space="0" w:color="000000"/>
            </w:tcBorders>
            <w:shd w:val="clear" w:color="auto" w:fill="A6A6A6"/>
          </w:tcPr>
          <w:p w14:paraId="5771C3B6" w14:textId="77777777" w:rsidR="000B3C5C" w:rsidRDefault="00ED192D">
            <w:pPr>
              <w:spacing w:after="0" w:line="259" w:lineRule="auto"/>
              <w:ind w:left="0" w:right="41" w:firstLine="0"/>
              <w:jc w:val="center"/>
            </w:pPr>
            <w:r>
              <w:rPr>
                <w:rFonts w:ascii="Arial" w:eastAsia="Arial" w:hAnsi="Arial" w:cs="Arial"/>
                <w:sz w:val="16"/>
              </w:rPr>
              <w:t xml:space="preserve"> </w:t>
            </w:r>
          </w:p>
        </w:tc>
        <w:tc>
          <w:tcPr>
            <w:tcW w:w="1177" w:type="dxa"/>
            <w:tcBorders>
              <w:top w:val="single" w:sz="6" w:space="0" w:color="000000"/>
              <w:left w:val="single" w:sz="6" w:space="0" w:color="000000"/>
              <w:bottom w:val="single" w:sz="6" w:space="0" w:color="000000"/>
              <w:right w:val="single" w:sz="4" w:space="0" w:color="000000"/>
            </w:tcBorders>
          </w:tcPr>
          <w:p w14:paraId="426E050B" w14:textId="77777777" w:rsidR="000B3C5C" w:rsidRDefault="00ED192D">
            <w:pPr>
              <w:spacing w:after="0" w:line="259" w:lineRule="auto"/>
              <w:ind w:left="14"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10.3</w:t>
            </w:r>
            <w:r>
              <w:rPr>
                <w:rFonts w:ascii="Arial" w:eastAsia="Arial" w:hAnsi="Arial" w:cs="Arial"/>
                <w:sz w:val="16"/>
              </w:rPr>
              <w:t xml:space="preserve"> </w:t>
            </w:r>
          </w:p>
        </w:tc>
      </w:tr>
    </w:tbl>
    <w:p w14:paraId="32FF17AF" w14:textId="77777777" w:rsidR="000B3C5C" w:rsidRDefault="000B3C5C">
      <w:pPr>
        <w:spacing w:after="0" w:line="259" w:lineRule="auto"/>
        <w:ind w:left="-1587" w:right="15548" w:firstLine="0"/>
      </w:pPr>
    </w:p>
    <w:tbl>
      <w:tblPr>
        <w:tblStyle w:val="TableGrid"/>
        <w:tblW w:w="14338" w:type="dxa"/>
        <w:tblInd w:w="-108" w:type="dxa"/>
        <w:tblCellMar>
          <w:top w:w="97" w:type="dxa"/>
          <w:left w:w="0" w:type="dxa"/>
          <w:bottom w:w="0" w:type="dxa"/>
          <w:right w:w="61" w:type="dxa"/>
        </w:tblCellMar>
        <w:tblLook w:val="04A0" w:firstRow="1" w:lastRow="0" w:firstColumn="1" w:lastColumn="0" w:noHBand="0" w:noVBand="1"/>
      </w:tblPr>
      <w:tblGrid>
        <w:gridCol w:w="1576"/>
        <w:gridCol w:w="599"/>
        <w:gridCol w:w="731"/>
        <w:gridCol w:w="658"/>
        <w:gridCol w:w="598"/>
        <w:gridCol w:w="588"/>
        <w:gridCol w:w="3106"/>
        <w:gridCol w:w="1281"/>
        <w:gridCol w:w="1353"/>
        <w:gridCol w:w="1134"/>
        <w:gridCol w:w="454"/>
        <w:gridCol w:w="941"/>
        <w:gridCol w:w="376"/>
        <w:gridCol w:w="943"/>
      </w:tblGrid>
      <w:tr w:rsidR="000B3C5C" w14:paraId="030D774E" w14:textId="77777777">
        <w:trPr>
          <w:trHeight w:val="415"/>
        </w:trPr>
        <w:tc>
          <w:tcPr>
            <w:tcW w:w="1580" w:type="dxa"/>
            <w:vMerge w:val="restart"/>
            <w:tcBorders>
              <w:top w:val="single" w:sz="4" w:space="0" w:color="000000"/>
              <w:left w:val="single" w:sz="4" w:space="0" w:color="000000"/>
              <w:bottom w:val="single" w:sz="6" w:space="0" w:color="000000"/>
              <w:right w:val="single" w:sz="6" w:space="0" w:color="000000"/>
            </w:tcBorders>
            <w:vAlign w:val="center"/>
          </w:tcPr>
          <w:p w14:paraId="7F3C5C80" w14:textId="77777777" w:rsidR="000B3C5C" w:rsidRDefault="00ED192D">
            <w:pPr>
              <w:spacing w:after="0" w:line="259" w:lineRule="auto"/>
              <w:ind w:left="62" w:firstLine="0"/>
              <w:jc w:val="center"/>
            </w:pPr>
            <w:r>
              <w:rPr>
                <w:rFonts w:ascii="Arial" w:eastAsia="Arial" w:hAnsi="Arial" w:cs="Arial"/>
                <w:b/>
                <w:sz w:val="18"/>
              </w:rPr>
              <w:t xml:space="preserve">Evaluation </w:t>
            </w:r>
          </w:p>
        </w:tc>
        <w:tc>
          <w:tcPr>
            <w:tcW w:w="1336" w:type="dxa"/>
            <w:gridSpan w:val="2"/>
            <w:vMerge w:val="restart"/>
            <w:tcBorders>
              <w:top w:val="single" w:sz="4" w:space="0" w:color="000000"/>
              <w:left w:val="single" w:sz="6" w:space="0" w:color="000000"/>
              <w:bottom w:val="single" w:sz="4" w:space="0" w:color="000000"/>
              <w:right w:val="single" w:sz="6" w:space="0" w:color="000000"/>
            </w:tcBorders>
          </w:tcPr>
          <w:p w14:paraId="49B5A917" w14:textId="77777777" w:rsidR="000B3C5C" w:rsidRDefault="00ED192D">
            <w:pPr>
              <w:spacing w:after="0" w:line="259" w:lineRule="auto"/>
              <w:ind w:left="54" w:firstLine="0"/>
              <w:jc w:val="center"/>
            </w:pPr>
            <w:r>
              <w:rPr>
                <w:rFonts w:ascii="Arial" w:eastAsia="Arial" w:hAnsi="Arial" w:cs="Arial"/>
                <w:b/>
                <w:sz w:val="18"/>
              </w:rPr>
              <w:t xml:space="preserve">Screening  </w:t>
            </w:r>
          </w:p>
          <w:p w14:paraId="5924A44E" w14:textId="77777777" w:rsidR="000B3C5C" w:rsidRDefault="00ED192D">
            <w:pPr>
              <w:spacing w:after="128" w:line="241" w:lineRule="auto"/>
              <w:ind w:left="155" w:right="104" w:firstLine="130"/>
              <w:jc w:val="both"/>
            </w:pPr>
            <w:r>
              <w:rPr>
                <w:rFonts w:ascii="Arial" w:eastAsia="Arial" w:hAnsi="Arial" w:cs="Arial"/>
                <w:b/>
                <w:sz w:val="18"/>
              </w:rPr>
              <w:t xml:space="preserve">(up to 28 days before Day 1) </w:t>
            </w:r>
          </w:p>
          <w:p w14:paraId="6DC03314" w14:textId="77777777" w:rsidR="000B3C5C" w:rsidRDefault="00ED192D">
            <w:pPr>
              <w:spacing w:after="0" w:line="259" w:lineRule="auto"/>
              <w:ind w:left="101" w:firstLine="0"/>
              <w:jc w:val="center"/>
            </w:pPr>
            <w:r>
              <w:rPr>
                <w:rFonts w:ascii="Arial" w:eastAsia="Arial" w:hAnsi="Arial" w:cs="Arial"/>
                <w:b/>
                <w:sz w:val="18"/>
              </w:rPr>
              <w:t xml:space="preserve"> </w:t>
            </w:r>
          </w:p>
        </w:tc>
        <w:tc>
          <w:tcPr>
            <w:tcW w:w="663" w:type="dxa"/>
            <w:vMerge w:val="restart"/>
            <w:tcBorders>
              <w:top w:val="single" w:sz="4" w:space="0" w:color="000000"/>
              <w:left w:val="single" w:sz="6" w:space="0" w:color="000000"/>
              <w:bottom w:val="single" w:sz="4" w:space="0" w:color="000000"/>
              <w:right w:val="nil"/>
            </w:tcBorders>
          </w:tcPr>
          <w:p w14:paraId="017471F1" w14:textId="77777777" w:rsidR="000B3C5C" w:rsidRDefault="000B3C5C">
            <w:pPr>
              <w:spacing w:after="160" w:line="259" w:lineRule="auto"/>
              <w:ind w:left="0" w:firstLine="0"/>
            </w:pPr>
          </w:p>
        </w:tc>
        <w:tc>
          <w:tcPr>
            <w:tcW w:w="4359" w:type="dxa"/>
            <w:gridSpan w:val="3"/>
            <w:vMerge w:val="restart"/>
            <w:tcBorders>
              <w:top w:val="single" w:sz="4" w:space="0" w:color="000000"/>
              <w:left w:val="nil"/>
              <w:bottom w:val="single" w:sz="4" w:space="0" w:color="000000"/>
              <w:right w:val="single" w:sz="10" w:space="0" w:color="000000"/>
            </w:tcBorders>
          </w:tcPr>
          <w:p w14:paraId="6B43DEC6" w14:textId="77777777" w:rsidR="000B3C5C" w:rsidRDefault="00ED192D">
            <w:pPr>
              <w:spacing w:after="0" w:line="259" w:lineRule="auto"/>
              <w:ind w:left="1073" w:firstLine="0"/>
            </w:pPr>
            <w:r>
              <w:rPr>
                <w:rFonts w:ascii="Arial" w:eastAsia="Arial" w:hAnsi="Arial" w:cs="Arial"/>
                <w:b/>
                <w:sz w:val="18"/>
              </w:rPr>
              <w:t>Treatment Phase</w:t>
            </w:r>
            <w:r>
              <w:rPr>
                <w:rFonts w:ascii="Arial" w:eastAsia="Arial" w:hAnsi="Arial" w:cs="Arial"/>
                <w:b/>
                <w:i/>
                <w:color w:val="0000FF"/>
                <w:sz w:val="28"/>
                <w:vertAlign w:val="superscript"/>
              </w:rPr>
              <w:t>a</w:t>
            </w:r>
            <w:r>
              <w:rPr>
                <w:rFonts w:ascii="Arial" w:eastAsia="Arial" w:hAnsi="Arial" w:cs="Arial"/>
                <w:b/>
                <w:sz w:val="20"/>
              </w:rPr>
              <w:t xml:space="preserve"> </w:t>
            </w:r>
          </w:p>
        </w:tc>
        <w:tc>
          <w:tcPr>
            <w:tcW w:w="1289" w:type="dxa"/>
            <w:vMerge w:val="restart"/>
            <w:tcBorders>
              <w:top w:val="single" w:sz="4" w:space="0" w:color="000000"/>
              <w:left w:val="single" w:sz="10" w:space="0" w:color="000000"/>
              <w:bottom w:val="single" w:sz="4" w:space="0" w:color="000000"/>
              <w:right w:val="single" w:sz="6" w:space="0" w:color="000000"/>
            </w:tcBorders>
          </w:tcPr>
          <w:p w14:paraId="25C642ED" w14:textId="77777777" w:rsidR="000B3C5C" w:rsidRDefault="00ED192D">
            <w:pPr>
              <w:spacing w:after="0" w:line="259" w:lineRule="auto"/>
              <w:ind w:left="80" w:firstLine="0"/>
              <w:jc w:val="center"/>
            </w:pPr>
            <w:r>
              <w:rPr>
                <w:rFonts w:ascii="Arial" w:eastAsia="Arial" w:hAnsi="Arial" w:cs="Arial"/>
                <w:b/>
                <w:sz w:val="18"/>
              </w:rPr>
              <w:t xml:space="preserve">End of </w:t>
            </w:r>
          </w:p>
          <w:p w14:paraId="420239D1" w14:textId="77777777" w:rsidR="000B3C5C" w:rsidRDefault="00ED192D">
            <w:pPr>
              <w:spacing w:after="0" w:line="259" w:lineRule="auto"/>
              <w:ind w:left="80" w:firstLine="0"/>
              <w:jc w:val="center"/>
            </w:pPr>
            <w:r>
              <w:rPr>
                <w:rFonts w:ascii="Arial" w:eastAsia="Arial" w:hAnsi="Arial" w:cs="Arial"/>
                <w:b/>
                <w:sz w:val="18"/>
              </w:rPr>
              <w:t xml:space="preserve">Treatment  </w:t>
            </w:r>
          </w:p>
          <w:p w14:paraId="6A70D7D9" w14:textId="77777777" w:rsidR="000B3C5C" w:rsidRDefault="00ED192D">
            <w:pPr>
              <w:spacing w:after="0" w:line="259" w:lineRule="auto"/>
              <w:ind w:left="80" w:firstLine="0"/>
              <w:jc w:val="center"/>
            </w:pPr>
            <w:r>
              <w:rPr>
                <w:rFonts w:ascii="Arial" w:eastAsia="Arial" w:hAnsi="Arial" w:cs="Arial"/>
                <w:b/>
                <w:sz w:val="18"/>
              </w:rPr>
              <w:t xml:space="preserve">(EOT) </w:t>
            </w:r>
          </w:p>
        </w:tc>
        <w:tc>
          <w:tcPr>
            <w:tcW w:w="3934" w:type="dxa"/>
            <w:gridSpan w:val="4"/>
            <w:vMerge w:val="restart"/>
            <w:tcBorders>
              <w:top w:val="single" w:sz="4" w:space="0" w:color="000000"/>
              <w:left w:val="single" w:sz="6" w:space="0" w:color="000000"/>
              <w:bottom w:val="single" w:sz="4" w:space="0" w:color="000000"/>
              <w:right w:val="single" w:sz="6" w:space="0" w:color="000000"/>
            </w:tcBorders>
            <w:vAlign w:val="center"/>
          </w:tcPr>
          <w:p w14:paraId="06158045" w14:textId="77777777" w:rsidR="000B3C5C" w:rsidRDefault="00ED192D">
            <w:pPr>
              <w:spacing w:after="0" w:line="259" w:lineRule="auto"/>
              <w:ind w:left="84" w:firstLine="0"/>
              <w:jc w:val="center"/>
            </w:pPr>
            <w:r>
              <w:rPr>
                <w:rFonts w:ascii="Arial" w:eastAsia="Arial" w:hAnsi="Arial" w:cs="Arial"/>
                <w:b/>
                <w:sz w:val="18"/>
              </w:rPr>
              <w:t xml:space="preserve">Post Treatment Follow-up Phase </w:t>
            </w:r>
          </w:p>
        </w:tc>
        <w:tc>
          <w:tcPr>
            <w:tcW w:w="1177" w:type="dxa"/>
            <w:gridSpan w:val="2"/>
            <w:tcBorders>
              <w:top w:val="single" w:sz="4" w:space="0" w:color="000000"/>
              <w:left w:val="single" w:sz="6" w:space="0" w:color="000000"/>
              <w:bottom w:val="single" w:sz="4" w:space="0" w:color="000000"/>
              <w:right w:val="single" w:sz="4" w:space="0" w:color="000000"/>
            </w:tcBorders>
          </w:tcPr>
          <w:p w14:paraId="01E681C8" w14:textId="77777777" w:rsidR="000B3C5C" w:rsidRDefault="00ED192D">
            <w:pPr>
              <w:spacing w:after="0" w:line="259" w:lineRule="auto"/>
              <w:ind w:left="66" w:firstLine="0"/>
              <w:jc w:val="center"/>
            </w:pPr>
            <w:r>
              <w:rPr>
                <w:rFonts w:ascii="Arial" w:eastAsia="Arial" w:hAnsi="Arial" w:cs="Arial"/>
                <w:b/>
                <w:sz w:val="20"/>
              </w:rPr>
              <w:t xml:space="preserve">Notes </w:t>
            </w:r>
          </w:p>
        </w:tc>
      </w:tr>
      <w:tr w:rsidR="000B3C5C" w14:paraId="7ECEC1A1" w14:textId="77777777">
        <w:trPr>
          <w:trHeight w:val="542"/>
        </w:trPr>
        <w:tc>
          <w:tcPr>
            <w:tcW w:w="0" w:type="auto"/>
            <w:vMerge/>
            <w:tcBorders>
              <w:top w:val="nil"/>
              <w:left w:val="single" w:sz="4" w:space="0" w:color="000000"/>
              <w:bottom w:val="nil"/>
              <w:right w:val="single" w:sz="6" w:space="0" w:color="000000"/>
            </w:tcBorders>
          </w:tcPr>
          <w:p w14:paraId="36A68DCE" w14:textId="77777777" w:rsidR="000B3C5C" w:rsidRDefault="000B3C5C">
            <w:pPr>
              <w:spacing w:after="160" w:line="259" w:lineRule="auto"/>
              <w:ind w:left="0" w:firstLine="0"/>
            </w:pPr>
          </w:p>
        </w:tc>
        <w:tc>
          <w:tcPr>
            <w:tcW w:w="0" w:type="auto"/>
            <w:gridSpan w:val="2"/>
            <w:vMerge/>
            <w:tcBorders>
              <w:top w:val="nil"/>
              <w:left w:val="single" w:sz="6" w:space="0" w:color="000000"/>
              <w:bottom w:val="nil"/>
              <w:right w:val="single" w:sz="6" w:space="0" w:color="000000"/>
            </w:tcBorders>
          </w:tcPr>
          <w:p w14:paraId="2E9AF797" w14:textId="77777777" w:rsidR="000B3C5C" w:rsidRDefault="000B3C5C">
            <w:pPr>
              <w:spacing w:after="160" w:line="259" w:lineRule="auto"/>
              <w:ind w:left="0" w:firstLine="0"/>
            </w:pPr>
          </w:p>
        </w:tc>
        <w:tc>
          <w:tcPr>
            <w:tcW w:w="0" w:type="auto"/>
            <w:vMerge/>
            <w:tcBorders>
              <w:top w:val="nil"/>
              <w:left w:val="single" w:sz="6" w:space="0" w:color="000000"/>
              <w:bottom w:val="single" w:sz="4" w:space="0" w:color="000000"/>
              <w:right w:val="nil"/>
            </w:tcBorders>
          </w:tcPr>
          <w:p w14:paraId="0A19334D" w14:textId="77777777" w:rsidR="000B3C5C" w:rsidRDefault="000B3C5C">
            <w:pPr>
              <w:spacing w:after="160" w:line="259" w:lineRule="auto"/>
              <w:ind w:left="0" w:firstLine="0"/>
            </w:pPr>
          </w:p>
        </w:tc>
        <w:tc>
          <w:tcPr>
            <w:tcW w:w="0" w:type="auto"/>
            <w:gridSpan w:val="3"/>
            <w:vMerge/>
            <w:tcBorders>
              <w:top w:val="nil"/>
              <w:left w:val="nil"/>
              <w:bottom w:val="single" w:sz="4" w:space="0" w:color="000000"/>
              <w:right w:val="single" w:sz="10" w:space="0" w:color="000000"/>
            </w:tcBorders>
          </w:tcPr>
          <w:p w14:paraId="03D1C37A" w14:textId="77777777" w:rsidR="000B3C5C" w:rsidRDefault="000B3C5C">
            <w:pPr>
              <w:spacing w:after="160" w:line="259" w:lineRule="auto"/>
              <w:ind w:left="0" w:firstLine="0"/>
            </w:pPr>
          </w:p>
        </w:tc>
        <w:tc>
          <w:tcPr>
            <w:tcW w:w="0" w:type="auto"/>
            <w:vMerge/>
            <w:tcBorders>
              <w:top w:val="nil"/>
              <w:left w:val="single" w:sz="10" w:space="0" w:color="000000"/>
              <w:bottom w:val="single" w:sz="4" w:space="0" w:color="000000"/>
              <w:right w:val="single" w:sz="6" w:space="0" w:color="000000"/>
            </w:tcBorders>
          </w:tcPr>
          <w:p w14:paraId="2144E322" w14:textId="77777777" w:rsidR="000B3C5C" w:rsidRDefault="000B3C5C">
            <w:pPr>
              <w:spacing w:after="160" w:line="259" w:lineRule="auto"/>
              <w:ind w:left="0" w:firstLine="0"/>
            </w:pPr>
          </w:p>
        </w:tc>
        <w:tc>
          <w:tcPr>
            <w:tcW w:w="0" w:type="auto"/>
            <w:gridSpan w:val="4"/>
            <w:vMerge/>
            <w:tcBorders>
              <w:top w:val="nil"/>
              <w:left w:val="single" w:sz="6" w:space="0" w:color="000000"/>
              <w:bottom w:val="single" w:sz="4" w:space="0" w:color="000000"/>
              <w:right w:val="single" w:sz="6" w:space="0" w:color="000000"/>
            </w:tcBorders>
          </w:tcPr>
          <w:p w14:paraId="6ACA5196" w14:textId="77777777" w:rsidR="000B3C5C" w:rsidRDefault="000B3C5C">
            <w:pPr>
              <w:spacing w:after="160" w:line="259" w:lineRule="auto"/>
              <w:ind w:left="0" w:firstLine="0"/>
            </w:pPr>
          </w:p>
        </w:tc>
        <w:tc>
          <w:tcPr>
            <w:tcW w:w="1177" w:type="dxa"/>
            <w:gridSpan w:val="2"/>
            <w:vMerge w:val="restart"/>
            <w:tcBorders>
              <w:top w:val="single" w:sz="4" w:space="0" w:color="000000"/>
              <w:left w:val="single" w:sz="6" w:space="0" w:color="000000"/>
              <w:bottom w:val="single" w:sz="6" w:space="0" w:color="000000"/>
              <w:right w:val="single" w:sz="4" w:space="0" w:color="000000"/>
            </w:tcBorders>
          </w:tcPr>
          <w:p w14:paraId="6EA8D735" w14:textId="77777777" w:rsidR="000B3C5C" w:rsidRDefault="00ED192D">
            <w:pPr>
              <w:spacing w:after="110" w:line="240" w:lineRule="auto"/>
              <w:ind w:left="354" w:hanging="245"/>
            </w:pPr>
            <w:r>
              <w:rPr>
                <w:rFonts w:ascii="Arial" w:eastAsia="Arial" w:hAnsi="Arial" w:cs="Arial"/>
                <w:i/>
                <w:sz w:val="18"/>
              </w:rPr>
              <w:t xml:space="preserve">a </w:t>
            </w:r>
            <w:r>
              <w:rPr>
                <w:rFonts w:ascii="Arial" w:eastAsia="Arial" w:hAnsi="Arial" w:cs="Arial"/>
                <w:sz w:val="18"/>
              </w:rPr>
              <w:t xml:space="preserve"> A cycle is 21 days </w:t>
            </w:r>
          </w:p>
          <w:p w14:paraId="5E5505DC" w14:textId="77777777" w:rsidR="000B3C5C" w:rsidRDefault="00ED192D">
            <w:pPr>
              <w:spacing w:after="0" w:line="259" w:lineRule="auto"/>
              <w:ind w:left="109" w:firstLine="0"/>
            </w:pPr>
            <w:r>
              <w:rPr>
                <w:rFonts w:ascii="Arial" w:eastAsia="Arial" w:hAnsi="Arial" w:cs="Arial"/>
                <w:sz w:val="16"/>
              </w:rPr>
              <w:t xml:space="preserve"> </w:t>
            </w:r>
          </w:p>
        </w:tc>
      </w:tr>
      <w:tr w:rsidR="000B3C5C" w14:paraId="2351444C" w14:textId="77777777">
        <w:trPr>
          <w:trHeight w:val="547"/>
        </w:trPr>
        <w:tc>
          <w:tcPr>
            <w:tcW w:w="0" w:type="auto"/>
            <w:vMerge/>
            <w:tcBorders>
              <w:top w:val="nil"/>
              <w:left w:val="single" w:sz="4" w:space="0" w:color="000000"/>
              <w:bottom w:val="nil"/>
              <w:right w:val="single" w:sz="6" w:space="0" w:color="000000"/>
            </w:tcBorders>
          </w:tcPr>
          <w:p w14:paraId="5CE72F3A" w14:textId="77777777" w:rsidR="000B3C5C" w:rsidRDefault="000B3C5C">
            <w:pPr>
              <w:spacing w:after="160" w:line="259" w:lineRule="auto"/>
              <w:ind w:left="0" w:firstLine="0"/>
            </w:pPr>
          </w:p>
        </w:tc>
        <w:tc>
          <w:tcPr>
            <w:tcW w:w="0" w:type="auto"/>
            <w:gridSpan w:val="2"/>
            <w:vMerge/>
            <w:tcBorders>
              <w:top w:val="nil"/>
              <w:left w:val="single" w:sz="6" w:space="0" w:color="000000"/>
              <w:bottom w:val="single" w:sz="4" w:space="0" w:color="000000"/>
              <w:right w:val="single" w:sz="6" w:space="0" w:color="000000"/>
            </w:tcBorders>
          </w:tcPr>
          <w:p w14:paraId="2C0BB9EF" w14:textId="77777777" w:rsidR="000B3C5C" w:rsidRDefault="000B3C5C">
            <w:pPr>
              <w:spacing w:after="160" w:line="259" w:lineRule="auto"/>
              <w:ind w:left="0" w:firstLine="0"/>
            </w:pPr>
          </w:p>
        </w:tc>
        <w:tc>
          <w:tcPr>
            <w:tcW w:w="663" w:type="dxa"/>
            <w:tcBorders>
              <w:top w:val="single" w:sz="4" w:space="0" w:color="000000"/>
              <w:left w:val="single" w:sz="6" w:space="0" w:color="000000"/>
              <w:bottom w:val="single" w:sz="6" w:space="0" w:color="000000"/>
              <w:right w:val="nil"/>
            </w:tcBorders>
          </w:tcPr>
          <w:p w14:paraId="58E8D4F3" w14:textId="77777777" w:rsidR="000B3C5C" w:rsidRDefault="000B3C5C">
            <w:pPr>
              <w:spacing w:after="160" w:line="259" w:lineRule="auto"/>
              <w:ind w:left="0" w:firstLine="0"/>
            </w:pPr>
          </w:p>
        </w:tc>
        <w:tc>
          <w:tcPr>
            <w:tcW w:w="1189" w:type="dxa"/>
            <w:gridSpan w:val="2"/>
            <w:tcBorders>
              <w:top w:val="single" w:sz="4" w:space="0" w:color="000000"/>
              <w:left w:val="nil"/>
              <w:bottom w:val="single" w:sz="6" w:space="0" w:color="000000"/>
              <w:right w:val="single" w:sz="6" w:space="0" w:color="000000"/>
            </w:tcBorders>
          </w:tcPr>
          <w:p w14:paraId="773E40EC" w14:textId="77777777" w:rsidR="000B3C5C" w:rsidRDefault="00ED192D">
            <w:pPr>
              <w:spacing w:after="0" w:line="259" w:lineRule="auto"/>
              <w:ind w:left="-59" w:firstLine="0"/>
            </w:pPr>
            <w:r>
              <w:rPr>
                <w:rFonts w:ascii="Arial" w:eastAsia="Arial" w:hAnsi="Arial" w:cs="Arial"/>
                <w:b/>
                <w:sz w:val="18"/>
              </w:rPr>
              <w:t xml:space="preserve">Cycle 1 </w:t>
            </w:r>
          </w:p>
        </w:tc>
        <w:tc>
          <w:tcPr>
            <w:tcW w:w="3170" w:type="dxa"/>
            <w:tcBorders>
              <w:top w:val="single" w:sz="4" w:space="0" w:color="000000"/>
              <w:left w:val="single" w:sz="6" w:space="0" w:color="000000"/>
              <w:bottom w:val="single" w:sz="4" w:space="0" w:color="000000"/>
              <w:right w:val="single" w:sz="10" w:space="0" w:color="000000"/>
            </w:tcBorders>
          </w:tcPr>
          <w:p w14:paraId="2A4D84FD" w14:textId="77777777" w:rsidR="000B3C5C" w:rsidRDefault="00ED192D">
            <w:pPr>
              <w:spacing w:after="0" w:line="259" w:lineRule="auto"/>
              <w:ind w:left="60" w:firstLine="0"/>
              <w:jc w:val="center"/>
            </w:pPr>
            <w:r>
              <w:rPr>
                <w:rFonts w:ascii="Arial" w:eastAsia="Arial" w:hAnsi="Arial" w:cs="Arial"/>
                <w:b/>
                <w:sz w:val="18"/>
              </w:rPr>
              <w:t xml:space="preserve">Cycle 2 and Beyond </w:t>
            </w:r>
          </w:p>
        </w:tc>
        <w:tc>
          <w:tcPr>
            <w:tcW w:w="1289" w:type="dxa"/>
            <w:tcBorders>
              <w:top w:val="single" w:sz="4" w:space="0" w:color="000000"/>
              <w:left w:val="single" w:sz="10" w:space="0" w:color="000000"/>
              <w:bottom w:val="single" w:sz="4" w:space="0" w:color="000000"/>
              <w:right w:val="single" w:sz="6" w:space="0" w:color="000000"/>
            </w:tcBorders>
          </w:tcPr>
          <w:p w14:paraId="7AF39CEC" w14:textId="77777777" w:rsidR="000B3C5C" w:rsidRDefault="00ED192D">
            <w:pPr>
              <w:spacing w:after="0" w:line="259" w:lineRule="auto"/>
              <w:ind w:left="131" w:firstLine="0"/>
              <w:jc w:val="center"/>
            </w:pPr>
            <w:r>
              <w:rPr>
                <w:rFonts w:ascii="Arial" w:eastAsia="Arial" w:hAnsi="Arial" w:cs="Arial"/>
                <w:b/>
                <w:sz w:val="18"/>
              </w:rPr>
              <w:t xml:space="preserve"> </w:t>
            </w:r>
          </w:p>
        </w:tc>
        <w:tc>
          <w:tcPr>
            <w:tcW w:w="2525" w:type="dxa"/>
            <w:gridSpan w:val="2"/>
            <w:tcBorders>
              <w:top w:val="single" w:sz="4" w:space="0" w:color="000000"/>
              <w:left w:val="single" w:sz="6" w:space="0" w:color="000000"/>
              <w:bottom w:val="single" w:sz="4" w:space="0" w:color="000000"/>
              <w:right w:val="single" w:sz="6" w:space="0" w:color="000000"/>
            </w:tcBorders>
          </w:tcPr>
          <w:p w14:paraId="6ED800B8" w14:textId="77777777" w:rsidR="000B3C5C" w:rsidRDefault="00ED192D">
            <w:pPr>
              <w:spacing w:after="0" w:line="259" w:lineRule="auto"/>
              <w:ind w:left="83" w:firstLine="0"/>
              <w:jc w:val="center"/>
            </w:pPr>
            <w:r>
              <w:rPr>
                <w:rFonts w:ascii="Arial" w:eastAsia="Arial" w:hAnsi="Arial" w:cs="Arial"/>
                <w:b/>
                <w:sz w:val="18"/>
              </w:rPr>
              <w:t xml:space="preserve">Safety follow-up Period </w:t>
            </w:r>
          </w:p>
        </w:tc>
        <w:tc>
          <w:tcPr>
            <w:tcW w:w="1409" w:type="dxa"/>
            <w:gridSpan w:val="2"/>
            <w:tcBorders>
              <w:top w:val="single" w:sz="4" w:space="0" w:color="000000"/>
              <w:left w:val="single" w:sz="6" w:space="0" w:color="000000"/>
              <w:bottom w:val="single" w:sz="4" w:space="0" w:color="000000"/>
              <w:right w:val="single" w:sz="6" w:space="0" w:color="000000"/>
            </w:tcBorders>
          </w:tcPr>
          <w:p w14:paraId="6FA07DC4" w14:textId="77777777" w:rsidR="000B3C5C" w:rsidRDefault="00ED192D">
            <w:pPr>
              <w:spacing w:after="0" w:line="259" w:lineRule="auto"/>
              <w:ind w:left="0" w:firstLine="0"/>
              <w:jc w:val="center"/>
            </w:pPr>
            <w:r>
              <w:rPr>
                <w:rFonts w:ascii="Arial" w:eastAsia="Arial" w:hAnsi="Arial" w:cs="Arial"/>
                <w:b/>
                <w:sz w:val="18"/>
              </w:rPr>
              <w:t xml:space="preserve">Survival follow-up </w:t>
            </w:r>
          </w:p>
        </w:tc>
        <w:tc>
          <w:tcPr>
            <w:tcW w:w="0" w:type="auto"/>
            <w:gridSpan w:val="2"/>
            <w:vMerge/>
            <w:tcBorders>
              <w:top w:val="nil"/>
              <w:left w:val="single" w:sz="6" w:space="0" w:color="000000"/>
              <w:bottom w:val="nil"/>
              <w:right w:val="single" w:sz="4" w:space="0" w:color="000000"/>
            </w:tcBorders>
          </w:tcPr>
          <w:p w14:paraId="7B05A9D5" w14:textId="77777777" w:rsidR="000B3C5C" w:rsidRDefault="000B3C5C">
            <w:pPr>
              <w:spacing w:after="160" w:line="259" w:lineRule="auto"/>
              <w:ind w:left="0" w:firstLine="0"/>
            </w:pPr>
          </w:p>
        </w:tc>
      </w:tr>
      <w:tr w:rsidR="000B3C5C" w14:paraId="201322EC" w14:textId="77777777">
        <w:trPr>
          <w:trHeight w:val="1232"/>
        </w:trPr>
        <w:tc>
          <w:tcPr>
            <w:tcW w:w="0" w:type="auto"/>
            <w:vMerge/>
            <w:tcBorders>
              <w:top w:val="nil"/>
              <w:left w:val="single" w:sz="4" w:space="0" w:color="000000"/>
              <w:bottom w:val="single" w:sz="6" w:space="0" w:color="000000"/>
              <w:right w:val="single" w:sz="6" w:space="0" w:color="000000"/>
            </w:tcBorders>
          </w:tcPr>
          <w:p w14:paraId="7FB5CB15" w14:textId="77777777" w:rsidR="000B3C5C" w:rsidRDefault="000B3C5C">
            <w:pPr>
              <w:spacing w:after="160" w:line="259" w:lineRule="auto"/>
              <w:ind w:left="0" w:firstLine="0"/>
            </w:pPr>
          </w:p>
        </w:tc>
        <w:tc>
          <w:tcPr>
            <w:tcW w:w="601" w:type="dxa"/>
            <w:tcBorders>
              <w:top w:val="single" w:sz="4" w:space="0" w:color="000000"/>
              <w:left w:val="single" w:sz="6" w:space="0" w:color="000000"/>
              <w:bottom w:val="single" w:sz="6" w:space="0" w:color="000000"/>
              <w:right w:val="single" w:sz="6" w:space="0" w:color="000000"/>
            </w:tcBorders>
          </w:tcPr>
          <w:p w14:paraId="7C3CDCA9" w14:textId="77777777" w:rsidR="000B3C5C" w:rsidRDefault="00ED192D">
            <w:pPr>
              <w:spacing w:after="59" w:line="241" w:lineRule="auto"/>
              <w:ind w:left="105" w:right="38" w:firstLine="0"/>
            </w:pPr>
            <w:r>
              <w:rPr>
                <w:rFonts w:ascii="Arial" w:eastAsia="Arial" w:hAnsi="Arial" w:cs="Arial"/>
                <w:b/>
                <w:sz w:val="18"/>
              </w:rPr>
              <w:t xml:space="preserve">D28 to </w:t>
            </w:r>
          </w:p>
          <w:p w14:paraId="45EA3F26" w14:textId="77777777" w:rsidR="000B3C5C" w:rsidRDefault="00ED192D">
            <w:pPr>
              <w:spacing w:after="0" w:line="259" w:lineRule="auto"/>
              <w:ind w:left="105" w:right="38" w:firstLine="0"/>
            </w:pPr>
            <w:r>
              <w:rPr>
                <w:rFonts w:ascii="Arial" w:eastAsia="Arial" w:hAnsi="Arial" w:cs="Arial"/>
                <w:b/>
                <w:sz w:val="18"/>
              </w:rPr>
              <w:t xml:space="preserve">D15 </w:t>
            </w:r>
          </w:p>
        </w:tc>
        <w:tc>
          <w:tcPr>
            <w:tcW w:w="735" w:type="dxa"/>
            <w:tcBorders>
              <w:top w:val="single" w:sz="4" w:space="0" w:color="000000"/>
              <w:left w:val="single" w:sz="6" w:space="0" w:color="000000"/>
              <w:bottom w:val="single" w:sz="6" w:space="0" w:color="000000"/>
              <w:right w:val="single" w:sz="6" w:space="0" w:color="000000"/>
            </w:tcBorders>
          </w:tcPr>
          <w:p w14:paraId="4685631B" w14:textId="77777777" w:rsidR="000B3C5C" w:rsidRDefault="00ED192D">
            <w:pPr>
              <w:spacing w:after="0" w:line="259" w:lineRule="auto"/>
              <w:ind w:left="102" w:right="55" w:firstLine="0"/>
            </w:pPr>
            <w:r>
              <w:rPr>
                <w:rFonts w:ascii="Arial" w:eastAsia="Arial" w:hAnsi="Arial" w:cs="Arial"/>
                <w:b/>
                <w:sz w:val="18"/>
              </w:rPr>
              <w:t xml:space="preserve">D-14 to D-1 </w:t>
            </w:r>
          </w:p>
        </w:tc>
        <w:tc>
          <w:tcPr>
            <w:tcW w:w="663" w:type="dxa"/>
            <w:tcBorders>
              <w:top w:val="single" w:sz="6" w:space="0" w:color="000000"/>
              <w:left w:val="single" w:sz="6" w:space="0" w:color="000000"/>
              <w:bottom w:val="single" w:sz="6" w:space="0" w:color="000000"/>
              <w:right w:val="single" w:sz="12" w:space="0" w:color="000000"/>
            </w:tcBorders>
          </w:tcPr>
          <w:p w14:paraId="0637D589" w14:textId="77777777" w:rsidR="000B3C5C" w:rsidRDefault="00ED192D">
            <w:pPr>
              <w:spacing w:after="0" w:line="259" w:lineRule="auto"/>
              <w:ind w:left="94" w:firstLine="0"/>
            </w:pPr>
            <w:r>
              <w:rPr>
                <w:rFonts w:ascii="Arial" w:eastAsia="Arial" w:hAnsi="Arial" w:cs="Arial"/>
                <w:b/>
                <w:sz w:val="18"/>
              </w:rPr>
              <w:t>D1</w:t>
            </w:r>
            <w:r>
              <w:rPr>
                <w:rFonts w:ascii="Arial" w:eastAsia="Arial" w:hAnsi="Arial" w:cs="Arial"/>
                <w:b/>
                <w:sz w:val="20"/>
              </w:rPr>
              <w:t xml:space="preserve"> </w:t>
            </w:r>
          </w:p>
          <w:p w14:paraId="27078A44" w14:textId="77777777" w:rsidR="000B3C5C" w:rsidRDefault="00ED192D">
            <w:pPr>
              <w:spacing w:after="0" w:line="259" w:lineRule="auto"/>
              <w:ind w:left="94" w:firstLine="0"/>
            </w:pPr>
            <w:r>
              <w:rPr>
                <w:rFonts w:ascii="Arial" w:eastAsia="Arial" w:hAnsi="Arial" w:cs="Arial"/>
                <w:b/>
                <w:sz w:val="20"/>
              </w:rPr>
              <w:t>(</w:t>
            </w:r>
            <w:r>
              <w:rPr>
                <w:rFonts w:ascii="Arial" w:eastAsia="Arial" w:hAnsi="Arial" w:cs="Arial"/>
                <w:b/>
                <w:sz w:val="18"/>
              </w:rPr>
              <w:t xml:space="preserve">±1) </w:t>
            </w:r>
          </w:p>
        </w:tc>
        <w:tc>
          <w:tcPr>
            <w:tcW w:w="601" w:type="dxa"/>
            <w:tcBorders>
              <w:top w:val="single" w:sz="6" w:space="0" w:color="000000"/>
              <w:left w:val="single" w:sz="12" w:space="0" w:color="000000"/>
              <w:bottom w:val="single" w:sz="6" w:space="0" w:color="000000"/>
              <w:right w:val="single" w:sz="6" w:space="0" w:color="000000"/>
            </w:tcBorders>
          </w:tcPr>
          <w:p w14:paraId="67500D98" w14:textId="77777777" w:rsidR="000B3C5C" w:rsidRDefault="00ED192D">
            <w:pPr>
              <w:spacing w:after="0" w:line="259" w:lineRule="auto"/>
              <w:ind w:left="113" w:firstLine="0"/>
            </w:pPr>
            <w:r>
              <w:rPr>
                <w:rFonts w:ascii="Arial" w:eastAsia="Arial" w:hAnsi="Arial" w:cs="Arial"/>
                <w:b/>
                <w:sz w:val="18"/>
              </w:rPr>
              <w:t xml:space="preserve">D8 </w:t>
            </w:r>
          </w:p>
          <w:p w14:paraId="05267795" w14:textId="77777777" w:rsidR="000B3C5C" w:rsidRDefault="00ED192D">
            <w:pPr>
              <w:spacing w:after="0" w:line="259" w:lineRule="auto"/>
              <w:ind w:left="113" w:firstLine="0"/>
            </w:pPr>
            <w:r>
              <w:rPr>
                <w:rFonts w:ascii="Arial" w:eastAsia="Arial" w:hAnsi="Arial" w:cs="Arial"/>
                <w:b/>
                <w:sz w:val="18"/>
              </w:rPr>
              <w:t xml:space="preserve">(± 1) </w:t>
            </w:r>
          </w:p>
        </w:tc>
        <w:tc>
          <w:tcPr>
            <w:tcW w:w="588" w:type="dxa"/>
            <w:tcBorders>
              <w:top w:val="single" w:sz="6" w:space="0" w:color="000000"/>
              <w:left w:val="single" w:sz="6" w:space="0" w:color="000000"/>
              <w:bottom w:val="single" w:sz="6" w:space="0" w:color="000000"/>
              <w:right w:val="single" w:sz="6" w:space="0" w:color="000000"/>
            </w:tcBorders>
          </w:tcPr>
          <w:p w14:paraId="2FC6502B" w14:textId="77777777" w:rsidR="000B3C5C" w:rsidRDefault="00ED192D">
            <w:pPr>
              <w:spacing w:after="43" w:line="259" w:lineRule="auto"/>
              <w:ind w:left="108" w:firstLine="0"/>
            </w:pPr>
            <w:r>
              <w:rPr>
                <w:rFonts w:ascii="Arial" w:eastAsia="Arial" w:hAnsi="Arial" w:cs="Arial"/>
                <w:b/>
                <w:sz w:val="18"/>
              </w:rPr>
              <w:t xml:space="preserve">D15 </w:t>
            </w:r>
          </w:p>
          <w:p w14:paraId="65FE4E92" w14:textId="77777777" w:rsidR="000B3C5C" w:rsidRDefault="00ED192D">
            <w:pPr>
              <w:spacing w:after="0" w:line="259" w:lineRule="auto"/>
              <w:ind w:left="108" w:firstLine="0"/>
            </w:pPr>
            <w:r>
              <w:rPr>
                <w:rFonts w:ascii="Arial" w:eastAsia="Arial" w:hAnsi="Arial" w:cs="Arial"/>
                <w:b/>
                <w:sz w:val="18"/>
              </w:rPr>
              <w:t xml:space="preserve">(±1) </w:t>
            </w:r>
          </w:p>
        </w:tc>
        <w:tc>
          <w:tcPr>
            <w:tcW w:w="3170" w:type="dxa"/>
            <w:tcBorders>
              <w:top w:val="single" w:sz="4" w:space="0" w:color="000000"/>
              <w:left w:val="single" w:sz="6" w:space="0" w:color="000000"/>
              <w:bottom w:val="single" w:sz="6" w:space="0" w:color="000000"/>
              <w:right w:val="single" w:sz="10" w:space="0" w:color="000000"/>
            </w:tcBorders>
          </w:tcPr>
          <w:p w14:paraId="681925C8" w14:textId="77777777" w:rsidR="000B3C5C" w:rsidRDefault="00ED192D">
            <w:pPr>
              <w:spacing w:after="0" w:line="259" w:lineRule="auto"/>
              <w:ind w:left="68" w:firstLine="0"/>
              <w:jc w:val="center"/>
            </w:pPr>
            <w:r>
              <w:rPr>
                <w:rFonts w:ascii="Arial" w:eastAsia="Arial" w:hAnsi="Arial" w:cs="Arial"/>
                <w:b/>
                <w:sz w:val="18"/>
              </w:rPr>
              <w:t xml:space="preserve">D1 (± 2) </w:t>
            </w:r>
          </w:p>
        </w:tc>
        <w:tc>
          <w:tcPr>
            <w:tcW w:w="1289" w:type="dxa"/>
            <w:tcBorders>
              <w:top w:val="single" w:sz="4" w:space="0" w:color="000000"/>
              <w:left w:val="single" w:sz="10" w:space="0" w:color="000000"/>
              <w:bottom w:val="single" w:sz="6" w:space="0" w:color="000000"/>
              <w:right w:val="single" w:sz="6" w:space="0" w:color="000000"/>
            </w:tcBorders>
          </w:tcPr>
          <w:p w14:paraId="27CB5554" w14:textId="77777777" w:rsidR="000B3C5C" w:rsidRDefault="00ED192D">
            <w:pPr>
              <w:spacing w:after="2" w:line="239" w:lineRule="auto"/>
              <w:ind w:left="0" w:firstLine="0"/>
              <w:jc w:val="center"/>
            </w:pPr>
            <w:r>
              <w:rPr>
                <w:rFonts w:ascii="Arial" w:eastAsia="Arial" w:hAnsi="Arial" w:cs="Arial"/>
                <w:b/>
                <w:sz w:val="18"/>
              </w:rPr>
              <w:t xml:space="preserve">30 (±7) days after last </w:t>
            </w:r>
          </w:p>
          <w:p w14:paraId="3E955208" w14:textId="77777777" w:rsidR="000B3C5C" w:rsidRDefault="00ED192D">
            <w:pPr>
              <w:spacing w:after="0" w:line="259" w:lineRule="auto"/>
              <w:ind w:left="149" w:firstLine="0"/>
            </w:pPr>
            <w:r>
              <w:rPr>
                <w:rFonts w:ascii="Arial" w:eastAsia="Arial" w:hAnsi="Arial" w:cs="Arial"/>
                <w:b/>
                <w:sz w:val="18"/>
              </w:rPr>
              <w:t xml:space="preserve">IMPs admin </w:t>
            </w:r>
          </w:p>
        </w:tc>
        <w:tc>
          <w:tcPr>
            <w:tcW w:w="1375" w:type="dxa"/>
            <w:tcBorders>
              <w:top w:val="single" w:sz="4" w:space="0" w:color="000000"/>
              <w:left w:val="single" w:sz="6" w:space="0" w:color="000000"/>
              <w:bottom w:val="single" w:sz="6" w:space="0" w:color="000000"/>
              <w:right w:val="single" w:sz="6" w:space="0" w:color="000000"/>
            </w:tcBorders>
          </w:tcPr>
          <w:p w14:paraId="0178C092" w14:textId="77777777" w:rsidR="000B3C5C" w:rsidRDefault="00ED192D">
            <w:pPr>
              <w:spacing w:after="2" w:line="239" w:lineRule="auto"/>
              <w:ind w:left="83" w:firstLine="0"/>
              <w:jc w:val="center"/>
            </w:pPr>
            <w:r>
              <w:rPr>
                <w:rFonts w:ascii="Arial" w:eastAsia="Arial" w:hAnsi="Arial" w:cs="Arial"/>
                <w:b/>
                <w:sz w:val="18"/>
              </w:rPr>
              <w:t xml:space="preserve">At 60 (±7) days after </w:t>
            </w:r>
          </w:p>
          <w:p w14:paraId="10805558" w14:textId="77777777" w:rsidR="000B3C5C" w:rsidRDefault="00ED192D">
            <w:pPr>
              <w:spacing w:after="0" w:line="259" w:lineRule="auto"/>
              <w:ind w:left="32" w:firstLine="0"/>
              <w:jc w:val="center"/>
            </w:pPr>
            <w:r>
              <w:rPr>
                <w:rFonts w:ascii="Arial" w:eastAsia="Arial" w:hAnsi="Arial" w:cs="Arial"/>
                <w:b/>
                <w:sz w:val="18"/>
              </w:rPr>
              <w:t xml:space="preserve">last IMPs admin </w:t>
            </w:r>
          </w:p>
        </w:tc>
        <w:tc>
          <w:tcPr>
            <w:tcW w:w="1150" w:type="dxa"/>
            <w:tcBorders>
              <w:top w:val="single" w:sz="4" w:space="0" w:color="000000"/>
              <w:left w:val="single" w:sz="6" w:space="0" w:color="000000"/>
              <w:bottom w:val="single" w:sz="6" w:space="0" w:color="000000"/>
              <w:right w:val="single" w:sz="6" w:space="0" w:color="000000"/>
            </w:tcBorders>
          </w:tcPr>
          <w:p w14:paraId="2656BC35" w14:textId="77777777" w:rsidR="000B3C5C" w:rsidRDefault="00ED192D">
            <w:pPr>
              <w:spacing w:after="2" w:line="239" w:lineRule="auto"/>
              <w:ind w:left="0" w:firstLine="0"/>
              <w:jc w:val="center"/>
            </w:pPr>
            <w:r>
              <w:rPr>
                <w:rFonts w:ascii="Arial" w:eastAsia="Arial" w:hAnsi="Arial" w:cs="Arial"/>
                <w:b/>
                <w:sz w:val="18"/>
              </w:rPr>
              <w:t xml:space="preserve">At 90 (±7) days after </w:t>
            </w:r>
          </w:p>
          <w:p w14:paraId="687EF4D0" w14:textId="77777777" w:rsidR="000B3C5C" w:rsidRDefault="00ED192D">
            <w:pPr>
              <w:spacing w:after="0" w:line="259" w:lineRule="auto"/>
              <w:ind w:left="0" w:firstLine="0"/>
              <w:jc w:val="center"/>
            </w:pPr>
            <w:r>
              <w:rPr>
                <w:rFonts w:ascii="Arial" w:eastAsia="Arial" w:hAnsi="Arial" w:cs="Arial"/>
                <w:b/>
                <w:sz w:val="18"/>
              </w:rPr>
              <w:t xml:space="preserve">last IMPs admin </w:t>
            </w:r>
          </w:p>
        </w:tc>
        <w:tc>
          <w:tcPr>
            <w:tcW w:w="1409" w:type="dxa"/>
            <w:gridSpan w:val="2"/>
            <w:tcBorders>
              <w:top w:val="single" w:sz="4" w:space="0" w:color="000000"/>
              <w:left w:val="single" w:sz="6" w:space="0" w:color="000000"/>
              <w:bottom w:val="single" w:sz="6" w:space="0" w:color="000000"/>
              <w:right w:val="single" w:sz="6" w:space="0" w:color="000000"/>
            </w:tcBorders>
            <w:vAlign w:val="center"/>
          </w:tcPr>
          <w:p w14:paraId="6982B08E" w14:textId="77777777" w:rsidR="000B3C5C" w:rsidRDefault="00ED192D">
            <w:pPr>
              <w:spacing w:after="2" w:line="239" w:lineRule="auto"/>
              <w:ind w:left="289" w:firstLine="46"/>
              <w:jc w:val="both"/>
            </w:pPr>
            <w:r>
              <w:rPr>
                <w:rFonts w:ascii="Arial" w:eastAsia="Arial" w:hAnsi="Arial" w:cs="Arial"/>
                <w:b/>
                <w:sz w:val="18"/>
              </w:rPr>
              <w:t xml:space="preserve">Every 90 days  (±7)  </w:t>
            </w:r>
          </w:p>
          <w:p w14:paraId="55BC29C7" w14:textId="77777777" w:rsidR="000B3C5C" w:rsidRDefault="00ED192D">
            <w:pPr>
              <w:spacing w:after="0" w:line="259" w:lineRule="auto"/>
              <w:ind w:left="66" w:firstLine="0"/>
              <w:jc w:val="center"/>
            </w:pPr>
            <w:r>
              <w:rPr>
                <w:rFonts w:ascii="Arial" w:eastAsia="Arial" w:hAnsi="Arial" w:cs="Arial"/>
                <w:b/>
                <w:sz w:val="18"/>
              </w:rPr>
              <w:t xml:space="preserve">after last safety follow-up </w:t>
            </w:r>
          </w:p>
        </w:tc>
        <w:tc>
          <w:tcPr>
            <w:tcW w:w="0" w:type="auto"/>
            <w:gridSpan w:val="2"/>
            <w:vMerge/>
            <w:tcBorders>
              <w:top w:val="nil"/>
              <w:left w:val="single" w:sz="6" w:space="0" w:color="000000"/>
              <w:bottom w:val="single" w:sz="6" w:space="0" w:color="000000"/>
              <w:right w:val="single" w:sz="4" w:space="0" w:color="000000"/>
            </w:tcBorders>
          </w:tcPr>
          <w:p w14:paraId="2E9B8A3D" w14:textId="77777777" w:rsidR="000B3C5C" w:rsidRDefault="000B3C5C">
            <w:pPr>
              <w:spacing w:after="160" w:line="259" w:lineRule="auto"/>
              <w:ind w:left="0" w:firstLine="0"/>
            </w:pPr>
          </w:p>
        </w:tc>
      </w:tr>
      <w:tr w:rsidR="000B3C5C" w14:paraId="24E473FA" w14:textId="77777777">
        <w:trPr>
          <w:trHeight w:val="684"/>
        </w:trPr>
        <w:tc>
          <w:tcPr>
            <w:tcW w:w="1580" w:type="dxa"/>
            <w:tcBorders>
              <w:top w:val="single" w:sz="6" w:space="0" w:color="000000"/>
              <w:left w:val="single" w:sz="4" w:space="0" w:color="000000"/>
              <w:bottom w:val="single" w:sz="6" w:space="0" w:color="000000"/>
              <w:right w:val="single" w:sz="6" w:space="0" w:color="000000"/>
            </w:tcBorders>
            <w:vAlign w:val="center"/>
          </w:tcPr>
          <w:p w14:paraId="192F8CA1" w14:textId="77777777" w:rsidR="000B3C5C" w:rsidRDefault="00ED192D">
            <w:pPr>
              <w:spacing w:after="0" w:line="259" w:lineRule="auto"/>
              <w:ind w:left="108" w:firstLine="0"/>
            </w:pPr>
            <w:r>
              <w:rPr>
                <w:rFonts w:ascii="Arial" w:eastAsia="Arial" w:hAnsi="Arial" w:cs="Arial"/>
                <w:sz w:val="16"/>
              </w:rPr>
              <w:t xml:space="preserve">Blood Typing </w:t>
            </w:r>
          </w:p>
          <w:p w14:paraId="5032CE9C" w14:textId="77777777" w:rsidR="000B3C5C" w:rsidRDefault="00ED192D">
            <w:pPr>
              <w:spacing w:after="0" w:line="259" w:lineRule="auto"/>
              <w:ind w:left="108" w:firstLine="0"/>
            </w:pPr>
            <w:r>
              <w:rPr>
                <w:rFonts w:ascii="Arial" w:eastAsia="Arial" w:hAnsi="Arial" w:cs="Arial"/>
                <w:sz w:val="16"/>
              </w:rPr>
              <w:t xml:space="preserve">Interference Test  </w:t>
            </w:r>
          </w:p>
        </w:tc>
        <w:tc>
          <w:tcPr>
            <w:tcW w:w="601" w:type="dxa"/>
            <w:tcBorders>
              <w:top w:val="single" w:sz="6" w:space="0" w:color="000000"/>
              <w:left w:val="single" w:sz="6" w:space="0" w:color="000000"/>
              <w:bottom w:val="single" w:sz="6" w:space="0" w:color="000000"/>
              <w:right w:val="single" w:sz="6" w:space="0" w:color="000000"/>
            </w:tcBorders>
            <w:shd w:val="clear" w:color="auto" w:fill="A6A6A6"/>
          </w:tcPr>
          <w:p w14:paraId="482D1382" w14:textId="77777777" w:rsidR="000B3C5C" w:rsidRDefault="00ED192D">
            <w:pPr>
              <w:spacing w:after="0" w:line="259" w:lineRule="auto"/>
              <w:ind w:left="98" w:firstLine="0"/>
              <w:jc w:val="center"/>
            </w:pPr>
            <w:r>
              <w:rPr>
                <w:rFonts w:ascii="Arial" w:eastAsia="Arial" w:hAnsi="Arial" w:cs="Arial"/>
                <w:sz w:val="16"/>
              </w:rPr>
              <w:t xml:space="preserve"> </w:t>
            </w:r>
          </w:p>
        </w:tc>
        <w:tc>
          <w:tcPr>
            <w:tcW w:w="735" w:type="dxa"/>
            <w:tcBorders>
              <w:top w:val="single" w:sz="6" w:space="0" w:color="000000"/>
              <w:left w:val="single" w:sz="6" w:space="0" w:color="000000"/>
              <w:bottom w:val="single" w:sz="6" w:space="0" w:color="000000"/>
              <w:right w:val="single" w:sz="6" w:space="0" w:color="000000"/>
            </w:tcBorders>
            <w:vAlign w:val="center"/>
          </w:tcPr>
          <w:p w14:paraId="04523E18" w14:textId="77777777" w:rsidR="000B3C5C" w:rsidRDefault="00ED192D">
            <w:pPr>
              <w:spacing w:after="0" w:line="259" w:lineRule="auto"/>
              <w:ind w:left="71" w:firstLine="0"/>
              <w:jc w:val="center"/>
            </w:pPr>
            <w:r>
              <w:rPr>
                <w:rFonts w:ascii="Arial" w:eastAsia="Arial" w:hAnsi="Arial" w:cs="Arial"/>
                <w:sz w:val="16"/>
              </w:rPr>
              <w:t xml:space="preserve">X </w:t>
            </w:r>
          </w:p>
        </w:tc>
        <w:tc>
          <w:tcPr>
            <w:tcW w:w="663" w:type="dxa"/>
            <w:tcBorders>
              <w:top w:val="single" w:sz="6" w:space="0" w:color="000000"/>
              <w:left w:val="single" w:sz="6" w:space="0" w:color="000000"/>
              <w:bottom w:val="single" w:sz="6" w:space="0" w:color="000000"/>
              <w:right w:val="single" w:sz="12" w:space="0" w:color="000000"/>
            </w:tcBorders>
            <w:shd w:val="clear" w:color="auto" w:fill="A6A6A6"/>
            <w:vAlign w:val="center"/>
          </w:tcPr>
          <w:p w14:paraId="6224C65B" w14:textId="77777777" w:rsidR="000B3C5C" w:rsidRDefault="00ED192D">
            <w:pPr>
              <w:spacing w:after="0" w:line="259" w:lineRule="auto"/>
              <w:ind w:left="105" w:firstLine="0"/>
              <w:jc w:val="center"/>
            </w:pPr>
            <w:r>
              <w:rPr>
                <w:rFonts w:ascii="Arial" w:eastAsia="Arial" w:hAnsi="Arial" w:cs="Arial"/>
                <w:sz w:val="16"/>
              </w:rPr>
              <w:t xml:space="preserve"> </w:t>
            </w:r>
          </w:p>
        </w:tc>
        <w:tc>
          <w:tcPr>
            <w:tcW w:w="601" w:type="dxa"/>
            <w:tcBorders>
              <w:top w:val="single" w:sz="6" w:space="0" w:color="000000"/>
              <w:left w:val="single" w:sz="12" w:space="0" w:color="000000"/>
              <w:bottom w:val="single" w:sz="6" w:space="0" w:color="000000"/>
              <w:right w:val="single" w:sz="6" w:space="0" w:color="000000"/>
            </w:tcBorders>
            <w:shd w:val="clear" w:color="auto" w:fill="A6A6A6"/>
            <w:vAlign w:val="center"/>
          </w:tcPr>
          <w:p w14:paraId="37DA6E45" w14:textId="77777777" w:rsidR="000B3C5C" w:rsidRDefault="00ED192D">
            <w:pPr>
              <w:spacing w:after="0" w:line="259" w:lineRule="auto"/>
              <w:ind w:left="90"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51C52568" w14:textId="77777777" w:rsidR="000B3C5C" w:rsidRDefault="00ED192D">
            <w:pPr>
              <w:spacing w:after="0" w:line="259" w:lineRule="auto"/>
              <w:ind w:left="102" w:firstLine="0"/>
              <w:jc w:val="center"/>
            </w:pPr>
            <w:r>
              <w:rPr>
                <w:rFonts w:ascii="Arial" w:eastAsia="Arial" w:hAnsi="Arial" w:cs="Arial"/>
                <w:sz w:val="16"/>
              </w:rPr>
              <w:t xml:space="preserve"> </w:t>
            </w:r>
          </w:p>
        </w:tc>
        <w:tc>
          <w:tcPr>
            <w:tcW w:w="3170" w:type="dxa"/>
            <w:tcBorders>
              <w:top w:val="single" w:sz="6" w:space="0" w:color="000000"/>
              <w:left w:val="single" w:sz="6" w:space="0" w:color="000000"/>
              <w:bottom w:val="single" w:sz="6" w:space="0" w:color="000000"/>
              <w:right w:val="single" w:sz="10" w:space="0" w:color="000000"/>
            </w:tcBorders>
            <w:vAlign w:val="center"/>
          </w:tcPr>
          <w:p w14:paraId="1338E68B" w14:textId="77777777" w:rsidR="000B3C5C" w:rsidRDefault="00ED192D">
            <w:pPr>
              <w:spacing w:after="0" w:line="259" w:lineRule="auto"/>
              <w:ind w:left="66" w:firstLine="0"/>
              <w:jc w:val="center"/>
            </w:pPr>
            <w:r>
              <w:rPr>
                <w:rFonts w:ascii="Arial" w:eastAsia="Arial" w:hAnsi="Arial" w:cs="Arial"/>
                <w:sz w:val="16"/>
              </w:rPr>
              <w:t xml:space="preserve">Cycle 2 Day 1 only </w:t>
            </w:r>
          </w:p>
        </w:tc>
        <w:tc>
          <w:tcPr>
            <w:tcW w:w="1289" w:type="dxa"/>
            <w:tcBorders>
              <w:top w:val="single" w:sz="6" w:space="0" w:color="000000"/>
              <w:left w:val="single" w:sz="10" w:space="0" w:color="000000"/>
              <w:bottom w:val="single" w:sz="6" w:space="0" w:color="000000"/>
              <w:right w:val="single" w:sz="6" w:space="0" w:color="000000"/>
            </w:tcBorders>
            <w:shd w:val="clear" w:color="auto" w:fill="A6A6A6"/>
            <w:vAlign w:val="center"/>
          </w:tcPr>
          <w:p w14:paraId="08F11B38" w14:textId="77777777" w:rsidR="000B3C5C" w:rsidRDefault="00ED192D">
            <w:pPr>
              <w:spacing w:after="0" w:line="259" w:lineRule="auto"/>
              <w:ind w:left="117" w:firstLine="0"/>
              <w:jc w:val="center"/>
            </w:pPr>
            <w:r>
              <w:rPr>
                <w:rFonts w:ascii="Arial" w:eastAsia="Arial" w:hAnsi="Arial" w:cs="Arial"/>
                <w:sz w:val="16"/>
              </w:rPr>
              <w:t xml:space="preserve"> </w:t>
            </w:r>
          </w:p>
        </w:tc>
        <w:tc>
          <w:tcPr>
            <w:tcW w:w="137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24ADFA14" w14:textId="77777777" w:rsidR="000B3C5C" w:rsidRDefault="00ED192D">
            <w:pPr>
              <w:spacing w:after="0" w:line="259" w:lineRule="auto"/>
              <w:ind w:left="108" w:firstLine="0"/>
              <w:jc w:val="center"/>
            </w:pPr>
            <w:r>
              <w:rPr>
                <w:rFonts w:ascii="Arial" w:eastAsia="Arial" w:hAnsi="Arial" w:cs="Arial"/>
                <w:sz w:val="16"/>
              </w:rPr>
              <w:t xml:space="preserve"> </w:t>
            </w:r>
          </w:p>
        </w:tc>
        <w:tc>
          <w:tcPr>
            <w:tcW w:w="1150" w:type="dxa"/>
            <w:tcBorders>
              <w:top w:val="single" w:sz="6" w:space="0" w:color="000000"/>
              <w:left w:val="single" w:sz="6" w:space="0" w:color="000000"/>
              <w:bottom w:val="single" w:sz="6" w:space="0" w:color="000000"/>
              <w:right w:val="single" w:sz="6" w:space="0" w:color="000000"/>
            </w:tcBorders>
            <w:shd w:val="clear" w:color="auto" w:fill="A6A6A6"/>
          </w:tcPr>
          <w:p w14:paraId="415F96B9" w14:textId="77777777" w:rsidR="000B3C5C" w:rsidRDefault="00ED192D">
            <w:pPr>
              <w:spacing w:after="0" w:line="259" w:lineRule="auto"/>
              <w:ind w:left="95" w:firstLine="0"/>
              <w:jc w:val="center"/>
            </w:pPr>
            <w:r>
              <w:rPr>
                <w:rFonts w:ascii="Arial" w:eastAsia="Arial" w:hAnsi="Arial" w:cs="Arial"/>
                <w:sz w:val="16"/>
              </w:rPr>
              <w:t xml:space="preserve"> </w:t>
            </w:r>
          </w:p>
        </w:tc>
        <w:tc>
          <w:tcPr>
            <w:tcW w:w="1409" w:type="dxa"/>
            <w:gridSpan w:val="2"/>
            <w:tcBorders>
              <w:top w:val="single" w:sz="6" w:space="0" w:color="000000"/>
              <w:left w:val="single" w:sz="6" w:space="0" w:color="000000"/>
              <w:bottom w:val="single" w:sz="6" w:space="0" w:color="000000"/>
              <w:right w:val="single" w:sz="6" w:space="0" w:color="000000"/>
            </w:tcBorders>
            <w:shd w:val="clear" w:color="auto" w:fill="A6A6A6"/>
          </w:tcPr>
          <w:p w14:paraId="0B261FA9" w14:textId="77777777" w:rsidR="000B3C5C" w:rsidRDefault="00ED192D">
            <w:pPr>
              <w:spacing w:after="0" w:line="259" w:lineRule="auto"/>
              <w:ind w:left="104" w:firstLine="0"/>
              <w:jc w:val="center"/>
            </w:pPr>
            <w:r>
              <w:rPr>
                <w:rFonts w:ascii="Arial" w:eastAsia="Arial" w:hAnsi="Arial" w:cs="Arial"/>
                <w:sz w:val="16"/>
              </w:rPr>
              <w:t xml:space="preserve"> </w:t>
            </w:r>
          </w:p>
        </w:tc>
        <w:tc>
          <w:tcPr>
            <w:tcW w:w="1177" w:type="dxa"/>
            <w:gridSpan w:val="2"/>
            <w:tcBorders>
              <w:top w:val="single" w:sz="6" w:space="0" w:color="000000"/>
              <w:left w:val="single" w:sz="6" w:space="0" w:color="000000"/>
              <w:bottom w:val="single" w:sz="6" w:space="0" w:color="000000"/>
              <w:right w:val="single" w:sz="4" w:space="0" w:color="000000"/>
            </w:tcBorders>
          </w:tcPr>
          <w:p w14:paraId="509951D0"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10.3</w:t>
            </w:r>
            <w:r>
              <w:rPr>
                <w:rFonts w:ascii="Arial" w:eastAsia="Arial" w:hAnsi="Arial" w:cs="Arial"/>
                <w:sz w:val="16"/>
              </w:rPr>
              <w:t xml:space="preserve"> Before each transfusion. </w:t>
            </w:r>
          </w:p>
        </w:tc>
      </w:tr>
      <w:tr w:rsidR="000B3C5C" w14:paraId="15E5244C" w14:textId="77777777">
        <w:trPr>
          <w:trHeight w:val="503"/>
        </w:trPr>
        <w:tc>
          <w:tcPr>
            <w:tcW w:w="1580" w:type="dxa"/>
            <w:tcBorders>
              <w:top w:val="single" w:sz="6" w:space="0" w:color="000000"/>
              <w:left w:val="single" w:sz="4" w:space="0" w:color="000000"/>
              <w:bottom w:val="single" w:sz="6" w:space="0" w:color="000000"/>
              <w:right w:val="single" w:sz="6" w:space="0" w:color="000000"/>
            </w:tcBorders>
          </w:tcPr>
          <w:p w14:paraId="6B42085F" w14:textId="77777777" w:rsidR="000B3C5C" w:rsidRDefault="00ED192D">
            <w:pPr>
              <w:spacing w:after="0" w:line="259" w:lineRule="auto"/>
              <w:ind w:left="108" w:right="9" w:firstLine="0"/>
            </w:pPr>
            <w:r>
              <w:rPr>
                <w:rFonts w:ascii="Arial" w:eastAsia="Arial" w:hAnsi="Arial" w:cs="Arial"/>
                <w:sz w:val="16"/>
              </w:rPr>
              <w:t xml:space="preserve">Serology HBV and HCV (for HCC only) </w:t>
            </w:r>
          </w:p>
        </w:tc>
        <w:tc>
          <w:tcPr>
            <w:tcW w:w="1336" w:type="dxa"/>
            <w:gridSpan w:val="2"/>
            <w:tcBorders>
              <w:top w:val="single" w:sz="6" w:space="0" w:color="000000"/>
              <w:left w:val="single" w:sz="6" w:space="0" w:color="000000"/>
              <w:bottom w:val="single" w:sz="6" w:space="0" w:color="000000"/>
              <w:right w:val="single" w:sz="6" w:space="0" w:color="000000"/>
            </w:tcBorders>
            <w:vAlign w:val="center"/>
          </w:tcPr>
          <w:p w14:paraId="5F481A72" w14:textId="77777777" w:rsidR="000B3C5C" w:rsidRDefault="00ED192D">
            <w:pPr>
              <w:spacing w:after="0" w:line="259" w:lineRule="auto"/>
              <w:ind w:left="76" w:firstLine="0"/>
              <w:jc w:val="center"/>
            </w:pPr>
            <w:r>
              <w:rPr>
                <w:rFonts w:ascii="Arial" w:eastAsia="Arial" w:hAnsi="Arial" w:cs="Arial"/>
                <w:sz w:val="16"/>
              </w:rPr>
              <w:t xml:space="preserve">X </w:t>
            </w:r>
          </w:p>
        </w:tc>
        <w:tc>
          <w:tcPr>
            <w:tcW w:w="663" w:type="dxa"/>
            <w:tcBorders>
              <w:top w:val="single" w:sz="6" w:space="0" w:color="000000"/>
              <w:left w:val="single" w:sz="6" w:space="0" w:color="000000"/>
              <w:bottom w:val="single" w:sz="6" w:space="0" w:color="000000"/>
              <w:right w:val="single" w:sz="12" w:space="0" w:color="000000"/>
            </w:tcBorders>
            <w:shd w:val="clear" w:color="auto" w:fill="A6A6A6"/>
            <w:vAlign w:val="center"/>
          </w:tcPr>
          <w:p w14:paraId="6C2B83DE" w14:textId="77777777" w:rsidR="000B3C5C" w:rsidRDefault="00ED192D">
            <w:pPr>
              <w:spacing w:after="0" w:line="259" w:lineRule="auto"/>
              <w:ind w:left="105" w:firstLine="0"/>
              <w:jc w:val="center"/>
            </w:pPr>
            <w:r>
              <w:rPr>
                <w:rFonts w:ascii="Arial" w:eastAsia="Arial" w:hAnsi="Arial" w:cs="Arial"/>
                <w:sz w:val="16"/>
              </w:rPr>
              <w:t xml:space="preserve"> </w:t>
            </w:r>
          </w:p>
        </w:tc>
        <w:tc>
          <w:tcPr>
            <w:tcW w:w="601" w:type="dxa"/>
            <w:tcBorders>
              <w:top w:val="single" w:sz="6" w:space="0" w:color="000000"/>
              <w:left w:val="single" w:sz="12" w:space="0" w:color="000000"/>
              <w:bottom w:val="single" w:sz="6" w:space="0" w:color="000000"/>
              <w:right w:val="single" w:sz="6" w:space="0" w:color="000000"/>
            </w:tcBorders>
            <w:shd w:val="clear" w:color="auto" w:fill="A6A6A6"/>
            <w:vAlign w:val="center"/>
          </w:tcPr>
          <w:p w14:paraId="5C6ED089" w14:textId="77777777" w:rsidR="000B3C5C" w:rsidRDefault="00ED192D">
            <w:pPr>
              <w:spacing w:after="0" w:line="259" w:lineRule="auto"/>
              <w:ind w:left="90"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2242FF66" w14:textId="77777777" w:rsidR="000B3C5C" w:rsidRDefault="00ED192D">
            <w:pPr>
              <w:spacing w:after="0" w:line="259" w:lineRule="auto"/>
              <w:ind w:left="102" w:firstLine="0"/>
              <w:jc w:val="center"/>
            </w:pPr>
            <w:r>
              <w:rPr>
                <w:rFonts w:ascii="Arial" w:eastAsia="Arial" w:hAnsi="Arial" w:cs="Arial"/>
                <w:sz w:val="16"/>
              </w:rPr>
              <w:t xml:space="preserve"> </w:t>
            </w:r>
          </w:p>
        </w:tc>
        <w:tc>
          <w:tcPr>
            <w:tcW w:w="3170" w:type="dxa"/>
            <w:tcBorders>
              <w:top w:val="single" w:sz="6" w:space="0" w:color="000000"/>
              <w:left w:val="single" w:sz="6" w:space="0" w:color="000000"/>
              <w:bottom w:val="single" w:sz="6" w:space="0" w:color="000000"/>
              <w:right w:val="single" w:sz="10" w:space="0" w:color="000000"/>
            </w:tcBorders>
            <w:shd w:val="clear" w:color="auto" w:fill="A6A6A6"/>
            <w:vAlign w:val="center"/>
          </w:tcPr>
          <w:p w14:paraId="7F4CA78B" w14:textId="77777777" w:rsidR="000B3C5C" w:rsidRDefault="00ED192D">
            <w:pPr>
              <w:spacing w:after="0" w:line="259" w:lineRule="auto"/>
              <w:ind w:left="102" w:firstLine="0"/>
              <w:jc w:val="center"/>
            </w:pPr>
            <w:r>
              <w:rPr>
                <w:rFonts w:ascii="Arial" w:eastAsia="Arial" w:hAnsi="Arial" w:cs="Arial"/>
                <w:sz w:val="16"/>
              </w:rPr>
              <w:t xml:space="preserve"> </w:t>
            </w:r>
          </w:p>
        </w:tc>
        <w:tc>
          <w:tcPr>
            <w:tcW w:w="1289" w:type="dxa"/>
            <w:tcBorders>
              <w:top w:val="single" w:sz="6" w:space="0" w:color="000000"/>
              <w:left w:val="single" w:sz="10" w:space="0" w:color="000000"/>
              <w:bottom w:val="single" w:sz="6" w:space="0" w:color="000000"/>
              <w:right w:val="single" w:sz="6" w:space="0" w:color="000000"/>
            </w:tcBorders>
            <w:shd w:val="clear" w:color="auto" w:fill="A6A6A6"/>
            <w:vAlign w:val="center"/>
          </w:tcPr>
          <w:p w14:paraId="3AC4883E" w14:textId="77777777" w:rsidR="000B3C5C" w:rsidRDefault="00ED192D">
            <w:pPr>
              <w:spacing w:after="0" w:line="259" w:lineRule="auto"/>
              <w:ind w:left="117" w:firstLine="0"/>
              <w:jc w:val="center"/>
            </w:pPr>
            <w:r>
              <w:rPr>
                <w:rFonts w:ascii="Arial" w:eastAsia="Arial" w:hAnsi="Arial" w:cs="Arial"/>
                <w:sz w:val="16"/>
              </w:rPr>
              <w:t xml:space="preserve"> </w:t>
            </w:r>
          </w:p>
        </w:tc>
        <w:tc>
          <w:tcPr>
            <w:tcW w:w="137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20AB7908" w14:textId="77777777" w:rsidR="000B3C5C" w:rsidRDefault="00ED192D">
            <w:pPr>
              <w:spacing w:after="0" w:line="259" w:lineRule="auto"/>
              <w:ind w:left="108" w:firstLine="0"/>
              <w:jc w:val="center"/>
            </w:pPr>
            <w:r>
              <w:rPr>
                <w:rFonts w:ascii="Arial" w:eastAsia="Arial" w:hAnsi="Arial" w:cs="Arial"/>
                <w:sz w:val="16"/>
              </w:rPr>
              <w:t xml:space="preserve"> </w:t>
            </w:r>
          </w:p>
        </w:tc>
        <w:tc>
          <w:tcPr>
            <w:tcW w:w="1150" w:type="dxa"/>
            <w:tcBorders>
              <w:top w:val="single" w:sz="6" w:space="0" w:color="000000"/>
              <w:left w:val="single" w:sz="6" w:space="0" w:color="000000"/>
              <w:bottom w:val="single" w:sz="6" w:space="0" w:color="000000"/>
              <w:right w:val="single" w:sz="6" w:space="0" w:color="000000"/>
            </w:tcBorders>
            <w:shd w:val="clear" w:color="auto" w:fill="A6A6A6"/>
          </w:tcPr>
          <w:p w14:paraId="6D4EFED2" w14:textId="77777777" w:rsidR="000B3C5C" w:rsidRDefault="00ED192D">
            <w:pPr>
              <w:spacing w:after="0" w:line="259" w:lineRule="auto"/>
              <w:ind w:left="95" w:firstLine="0"/>
              <w:jc w:val="center"/>
            </w:pPr>
            <w:r>
              <w:rPr>
                <w:rFonts w:ascii="Arial" w:eastAsia="Arial" w:hAnsi="Arial" w:cs="Arial"/>
                <w:sz w:val="16"/>
              </w:rPr>
              <w:t xml:space="preserve"> </w:t>
            </w:r>
          </w:p>
        </w:tc>
        <w:tc>
          <w:tcPr>
            <w:tcW w:w="1409" w:type="dxa"/>
            <w:gridSpan w:val="2"/>
            <w:tcBorders>
              <w:top w:val="single" w:sz="6" w:space="0" w:color="000000"/>
              <w:left w:val="single" w:sz="6" w:space="0" w:color="000000"/>
              <w:bottom w:val="single" w:sz="6" w:space="0" w:color="000000"/>
              <w:right w:val="single" w:sz="6" w:space="0" w:color="000000"/>
            </w:tcBorders>
            <w:shd w:val="clear" w:color="auto" w:fill="A6A6A6"/>
          </w:tcPr>
          <w:p w14:paraId="0A92B31B" w14:textId="77777777" w:rsidR="000B3C5C" w:rsidRDefault="00ED192D">
            <w:pPr>
              <w:spacing w:after="0" w:line="259" w:lineRule="auto"/>
              <w:ind w:left="104" w:firstLine="0"/>
              <w:jc w:val="center"/>
            </w:pPr>
            <w:r>
              <w:rPr>
                <w:rFonts w:ascii="Arial" w:eastAsia="Arial" w:hAnsi="Arial" w:cs="Arial"/>
                <w:sz w:val="16"/>
              </w:rPr>
              <w:t xml:space="preserve"> </w:t>
            </w:r>
          </w:p>
        </w:tc>
        <w:tc>
          <w:tcPr>
            <w:tcW w:w="1177" w:type="dxa"/>
            <w:gridSpan w:val="2"/>
            <w:tcBorders>
              <w:top w:val="single" w:sz="6" w:space="0" w:color="000000"/>
              <w:left w:val="single" w:sz="6" w:space="0" w:color="000000"/>
              <w:bottom w:val="single" w:sz="6" w:space="0" w:color="000000"/>
              <w:right w:val="single" w:sz="4" w:space="0" w:color="000000"/>
            </w:tcBorders>
          </w:tcPr>
          <w:p w14:paraId="38EDCD2E"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10.3</w:t>
            </w:r>
            <w:r>
              <w:rPr>
                <w:rFonts w:ascii="Arial" w:eastAsia="Arial" w:hAnsi="Arial" w:cs="Arial"/>
                <w:sz w:val="16"/>
              </w:rPr>
              <w:t xml:space="preserve"> </w:t>
            </w:r>
          </w:p>
        </w:tc>
      </w:tr>
      <w:tr w:rsidR="000B3C5C" w14:paraId="5FBFE579" w14:textId="77777777">
        <w:trPr>
          <w:trHeight w:val="683"/>
        </w:trPr>
        <w:tc>
          <w:tcPr>
            <w:tcW w:w="1580" w:type="dxa"/>
            <w:tcBorders>
              <w:top w:val="single" w:sz="6" w:space="0" w:color="000000"/>
              <w:left w:val="single" w:sz="4" w:space="0" w:color="000000"/>
              <w:bottom w:val="single" w:sz="6" w:space="0" w:color="000000"/>
              <w:right w:val="single" w:sz="6" w:space="0" w:color="000000"/>
            </w:tcBorders>
          </w:tcPr>
          <w:p w14:paraId="12AE2F22" w14:textId="77777777" w:rsidR="000B3C5C" w:rsidRDefault="00ED192D">
            <w:pPr>
              <w:spacing w:after="0" w:line="259" w:lineRule="auto"/>
              <w:ind w:left="108" w:firstLine="0"/>
            </w:pPr>
            <w:r>
              <w:rPr>
                <w:rFonts w:ascii="Arial" w:eastAsia="Arial" w:hAnsi="Arial" w:cs="Arial"/>
                <w:sz w:val="16"/>
              </w:rPr>
              <w:t xml:space="preserve">Urinalysis (at baseline and if required) /urine dipstick </w:t>
            </w:r>
          </w:p>
        </w:tc>
        <w:tc>
          <w:tcPr>
            <w:tcW w:w="601" w:type="dxa"/>
            <w:tcBorders>
              <w:top w:val="single" w:sz="6" w:space="0" w:color="000000"/>
              <w:left w:val="single" w:sz="6" w:space="0" w:color="000000"/>
              <w:bottom w:val="single" w:sz="6" w:space="0" w:color="000000"/>
              <w:right w:val="single" w:sz="6" w:space="0" w:color="000000"/>
            </w:tcBorders>
            <w:shd w:val="clear" w:color="auto" w:fill="A6A6A6"/>
          </w:tcPr>
          <w:p w14:paraId="3F52F5AE" w14:textId="77777777" w:rsidR="000B3C5C" w:rsidRDefault="00ED192D">
            <w:pPr>
              <w:spacing w:after="0" w:line="259" w:lineRule="auto"/>
              <w:ind w:left="98" w:firstLine="0"/>
              <w:jc w:val="center"/>
            </w:pPr>
            <w:r>
              <w:rPr>
                <w:rFonts w:ascii="Arial" w:eastAsia="Arial" w:hAnsi="Arial" w:cs="Arial"/>
                <w:sz w:val="16"/>
              </w:rPr>
              <w:t xml:space="preserve"> </w:t>
            </w:r>
          </w:p>
        </w:tc>
        <w:tc>
          <w:tcPr>
            <w:tcW w:w="735" w:type="dxa"/>
            <w:tcBorders>
              <w:top w:val="single" w:sz="6" w:space="0" w:color="000000"/>
              <w:left w:val="single" w:sz="6" w:space="0" w:color="000000"/>
              <w:bottom w:val="single" w:sz="6" w:space="0" w:color="000000"/>
              <w:right w:val="single" w:sz="6" w:space="0" w:color="000000"/>
            </w:tcBorders>
            <w:vAlign w:val="center"/>
          </w:tcPr>
          <w:p w14:paraId="6CA7F53E" w14:textId="77777777" w:rsidR="000B3C5C" w:rsidRDefault="00ED192D">
            <w:pPr>
              <w:spacing w:after="0" w:line="259" w:lineRule="auto"/>
              <w:ind w:left="71" w:firstLine="0"/>
              <w:jc w:val="center"/>
            </w:pPr>
            <w:r>
              <w:rPr>
                <w:rFonts w:ascii="Arial" w:eastAsia="Arial" w:hAnsi="Arial" w:cs="Arial"/>
                <w:sz w:val="16"/>
              </w:rPr>
              <w:t xml:space="preserve">X </w:t>
            </w:r>
          </w:p>
        </w:tc>
        <w:tc>
          <w:tcPr>
            <w:tcW w:w="663" w:type="dxa"/>
            <w:tcBorders>
              <w:top w:val="single" w:sz="6" w:space="0" w:color="000000"/>
              <w:left w:val="single" w:sz="6" w:space="0" w:color="000000"/>
              <w:bottom w:val="single" w:sz="6" w:space="0" w:color="000000"/>
              <w:right w:val="single" w:sz="6" w:space="0" w:color="000000"/>
            </w:tcBorders>
            <w:vAlign w:val="center"/>
          </w:tcPr>
          <w:p w14:paraId="02782DFC" w14:textId="77777777" w:rsidR="000B3C5C" w:rsidRDefault="00ED192D">
            <w:pPr>
              <w:spacing w:after="0" w:line="259" w:lineRule="auto"/>
              <w:ind w:left="118" w:firstLine="0"/>
            </w:pPr>
            <w:r>
              <w:rPr>
                <w:rFonts w:ascii="Arial" w:eastAsia="Arial" w:hAnsi="Arial" w:cs="Arial"/>
                <w:sz w:val="16"/>
              </w:rPr>
              <w:t xml:space="preserve">    X </w:t>
            </w:r>
          </w:p>
        </w:tc>
        <w:tc>
          <w:tcPr>
            <w:tcW w:w="4359" w:type="dxa"/>
            <w:gridSpan w:val="3"/>
            <w:tcBorders>
              <w:top w:val="single" w:sz="6" w:space="0" w:color="000000"/>
              <w:left w:val="single" w:sz="6" w:space="0" w:color="000000"/>
              <w:bottom w:val="single" w:sz="6" w:space="0" w:color="000000"/>
              <w:right w:val="single" w:sz="10" w:space="0" w:color="000000"/>
            </w:tcBorders>
            <w:vAlign w:val="center"/>
          </w:tcPr>
          <w:p w14:paraId="5788C395" w14:textId="77777777" w:rsidR="000B3C5C" w:rsidRDefault="00ED192D">
            <w:pPr>
              <w:spacing w:after="0" w:line="259" w:lineRule="auto"/>
              <w:ind w:left="121" w:firstLine="0"/>
            </w:pPr>
            <w:r>
              <w:rPr>
                <w:rFonts w:ascii="Arial" w:eastAsia="Arial" w:hAnsi="Arial" w:cs="Arial"/>
                <w:sz w:val="16"/>
              </w:rPr>
              <w:t xml:space="preserve">                                      As clinically indicated </w:t>
            </w:r>
          </w:p>
        </w:tc>
        <w:tc>
          <w:tcPr>
            <w:tcW w:w="1289" w:type="dxa"/>
            <w:tcBorders>
              <w:top w:val="single" w:sz="6" w:space="0" w:color="000000"/>
              <w:left w:val="single" w:sz="10" w:space="0" w:color="000000"/>
              <w:bottom w:val="single" w:sz="6" w:space="0" w:color="000000"/>
              <w:right w:val="single" w:sz="6" w:space="0" w:color="000000"/>
            </w:tcBorders>
            <w:vAlign w:val="center"/>
          </w:tcPr>
          <w:p w14:paraId="34C41D53" w14:textId="77777777" w:rsidR="000B3C5C" w:rsidRDefault="00ED192D">
            <w:pPr>
              <w:spacing w:after="0" w:line="259" w:lineRule="auto"/>
              <w:ind w:left="116" w:firstLine="0"/>
            </w:pPr>
            <w:r>
              <w:rPr>
                <w:rFonts w:ascii="Arial" w:eastAsia="Arial" w:hAnsi="Arial" w:cs="Arial"/>
                <w:sz w:val="16"/>
              </w:rPr>
              <w:t xml:space="preserve">          X </w:t>
            </w:r>
          </w:p>
        </w:tc>
        <w:tc>
          <w:tcPr>
            <w:tcW w:w="1375" w:type="dxa"/>
            <w:tcBorders>
              <w:top w:val="single" w:sz="6" w:space="0" w:color="000000"/>
              <w:left w:val="single" w:sz="6" w:space="0" w:color="000000"/>
              <w:bottom w:val="single" w:sz="6" w:space="0" w:color="000000"/>
              <w:right w:val="single" w:sz="6" w:space="0" w:color="000000"/>
            </w:tcBorders>
            <w:vAlign w:val="center"/>
          </w:tcPr>
          <w:p w14:paraId="62A5BCBC" w14:textId="77777777" w:rsidR="000B3C5C" w:rsidRDefault="00ED192D">
            <w:pPr>
              <w:spacing w:after="0" w:line="259" w:lineRule="auto"/>
              <w:ind w:left="92" w:firstLine="0"/>
            </w:pPr>
            <w:r>
              <w:rPr>
                <w:rFonts w:ascii="Arial" w:eastAsia="Arial" w:hAnsi="Arial" w:cs="Arial"/>
                <w:sz w:val="16"/>
              </w:rPr>
              <w:t xml:space="preserve">             X </w:t>
            </w:r>
          </w:p>
        </w:tc>
        <w:tc>
          <w:tcPr>
            <w:tcW w:w="1150" w:type="dxa"/>
            <w:tcBorders>
              <w:top w:val="single" w:sz="6" w:space="0" w:color="000000"/>
              <w:left w:val="single" w:sz="6" w:space="0" w:color="000000"/>
              <w:bottom w:val="single" w:sz="6" w:space="0" w:color="000000"/>
              <w:right w:val="single" w:sz="6" w:space="0" w:color="000000"/>
            </w:tcBorders>
            <w:vAlign w:val="center"/>
          </w:tcPr>
          <w:p w14:paraId="0B46725C" w14:textId="77777777" w:rsidR="000B3C5C" w:rsidRDefault="00ED192D">
            <w:pPr>
              <w:spacing w:after="0" w:line="259" w:lineRule="auto"/>
              <w:ind w:left="117" w:firstLine="0"/>
            </w:pPr>
            <w:r>
              <w:rPr>
                <w:rFonts w:ascii="Arial" w:eastAsia="Arial" w:hAnsi="Arial" w:cs="Arial"/>
                <w:sz w:val="16"/>
              </w:rPr>
              <w:t xml:space="preserve">         X </w:t>
            </w:r>
          </w:p>
        </w:tc>
        <w:tc>
          <w:tcPr>
            <w:tcW w:w="1409" w:type="dxa"/>
            <w:gridSpan w:val="2"/>
            <w:tcBorders>
              <w:top w:val="single" w:sz="6" w:space="0" w:color="000000"/>
              <w:left w:val="single" w:sz="6" w:space="0" w:color="000000"/>
              <w:bottom w:val="single" w:sz="6" w:space="0" w:color="000000"/>
              <w:right w:val="single" w:sz="6" w:space="0" w:color="000000"/>
            </w:tcBorders>
            <w:shd w:val="clear" w:color="auto" w:fill="A6A6A6"/>
          </w:tcPr>
          <w:p w14:paraId="289DE2C7" w14:textId="77777777" w:rsidR="000B3C5C" w:rsidRDefault="00ED192D">
            <w:pPr>
              <w:spacing w:after="0" w:line="259" w:lineRule="auto"/>
              <w:ind w:left="104" w:firstLine="0"/>
              <w:jc w:val="center"/>
            </w:pPr>
            <w:r>
              <w:rPr>
                <w:rFonts w:ascii="Arial" w:eastAsia="Arial" w:hAnsi="Arial" w:cs="Arial"/>
                <w:sz w:val="16"/>
              </w:rPr>
              <w:t xml:space="preserve"> </w:t>
            </w:r>
          </w:p>
        </w:tc>
        <w:tc>
          <w:tcPr>
            <w:tcW w:w="1177" w:type="dxa"/>
            <w:gridSpan w:val="2"/>
            <w:tcBorders>
              <w:top w:val="single" w:sz="6" w:space="0" w:color="000000"/>
              <w:left w:val="single" w:sz="6" w:space="0" w:color="000000"/>
              <w:bottom w:val="single" w:sz="6" w:space="0" w:color="000000"/>
              <w:right w:val="single" w:sz="4" w:space="0" w:color="000000"/>
            </w:tcBorders>
          </w:tcPr>
          <w:p w14:paraId="4C11BE57"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10.3</w:t>
            </w:r>
            <w:r>
              <w:rPr>
                <w:rFonts w:ascii="Arial" w:eastAsia="Arial" w:hAnsi="Arial" w:cs="Arial"/>
                <w:sz w:val="16"/>
              </w:rPr>
              <w:t xml:space="preserve"> </w:t>
            </w:r>
          </w:p>
        </w:tc>
      </w:tr>
      <w:tr w:rsidR="000B3C5C" w14:paraId="35774015" w14:textId="77777777">
        <w:trPr>
          <w:trHeight w:val="323"/>
        </w:trPr>
        <w:tc>
          <w:tcPr>
            <w:tcW w:w="3579" w:type="dxa"/>
            <w:gridSpan w:val="4"/>
            <w:tcBorders>
              <w:top w:val="single" w:sz="6" w:space="0" w:color="000000"/>
              <w:left w:val="single" w:sz="4" w:space="0" w:color="000000"/>
              <w:bottom w:val="single" w:sz="6" w:space="0" w:color="000000"/>
              <w:right w:val="nil"/>
            </w:tcBorders>
          </w:tcPr>
          <w:p w14:paraId="5FD332F0" w14:textId="77777777" w:rsidR="000B3C5C" w:rsidRDefault="00ED192D">
            <w:pPr>
              <w:spacing w:after="0" w:line="259" w:lineRule="auto"/>
              <w:ind w:left="108" w:firstLine="0"/>
            </w:pPr>
            <w:r>
              <w:rPr>
                <w:rFonts w:ascii="Arial" w:eastAsia="Arial" w:hAnsi="Arial" w:cs="Arial"/>
                <w:b/>
                <w:sz w:val="16"/>
              </w:rPr>
              <w:t xml:space="preserve">Disease Assessment </w:t>
            </w:r>
          </w:p>
        </w:tc>
        <w:tc>
          <w:tcPr>
            <w:tcW w:w="10759" w:type="dxa"/>
            <w:gridSpan w:val="10"/>
            <w:tcBorders>
              <w:top w:val="single" w:sz="6" w:space="0" w:color="000000"/>
              <w:left w:val="nil"/>
              <w:bottom w:val="single" w:sz="6" w:space="0" w:color="000000"/>
              <w:right w:val="single" w:sz="4" w:space="0" w:color="000000"/>
            </w:tcBorders>
          </w:tcPr>
          <w:p w14:paraId="4456152D" w14:textId="77777777" w:rsidR="000B3C5C" w:rsidRDefault="000B3C5C">
            <w:pPr>
              <w:spacing w:after="160" w:line="259" w:lineRule="auto"/>
              <w:ind w:left="0" w:firstLine="0"/>
            </w:pPr>
          </w:p>
        </w:tc>
      </w:tr>
      <w:tr w:rsidR="000B3C5C" w14:paraId="6C4F081F" w14:textId="77777777">
        <w:trPr>
          <w:trHeight w:val="500"/>
        </w:trPr>
        <w:tc>
          <w:tcPr>
            <w:tcW w:w="1580" w:type="dxa"/>
            <w:tcBorders>
              <w:top w:val="single" w:sz="6" w:space="0" w:color="000000"/>
              <w:left w:val="single" w:sz="4" w:space="0" w:color="000000"/>
              <w:bottom w:val="single" w:sz="6" w:space="0" w:color="000000"/>
              <w:right w:val="single" w:sz="6" w:space="0" w:color="000000"/>
            </w:tcBorders>
          </w:tcPr>
          <w:p w14:paraId="3AE22C36" w14:textId="77777777" w:rsidR="000B3C5C" w:rsidRDefault="00ED192D">
            <w:pPr>
              <w:spacing w:after="0" w:line="259" w:lineRule="auto"/>
              <w:ind w:left="108" w:firstLine="0"/>
              <w:jc w:val="both"/>
            </w:pPr>
            <w:r>
              <w:rPr>
                <w:rFonts w:ascii="Arial" w:eastAsia="Arial" w:hAnsi="Arial" w:cs="Arial"/>
                <w:sz w:val="16"/>
              </w:rPr>
              <w:t xml:space="preserve">CT/MRI (for HCC, SCCHN, and EOC) </w:t>
            </w:r>
          </w:p>
        </w:tc>
        <w:tc>
          <w:tcPr>
            <w:tcW w:w="1336" w:type="dxa"/>
            <w:gridSpan w:val="2"/>
            <w:tcBorders>
              <w:top w:val="single" w:sz="6" w:space="0" w:color="000000"/>
              <w:left w:val="single" w:sz="6" w:space="0" w:color="000000"/>
              <w:bottom w:val="single" w:sz="6" w:space="0" w:color="000000"/>
              <w:right w:val="single" w:sz="6" w:space="0" w:color="000000"/>
            </w:tcBorders>
            <w:vAlign w:val="center"/>
          </w:tcPr>
          <w:p w14:paraId="11C6F181" w14:textId="77777777" w:rsidR="000B3C5C" w:rsidRDefault="00ED192D">
            <w:pPr>
              <w:spacing w:after="0" w:line="259" w:lineRule="auto"/>
              <w:ind w:left="62" w:firstLine="0"/>
              <w:jc w:val="center"/>
            </w:pPr>
            <w:r>
              <w:rPr>
                <w:rFonts w:ascii="Arial" w:eastAsia="Arial" w:hAnsi="Arial" w:cs="Arial"/>
                <w:sz w:val="16"/>
              </w:rPr>
              <w:t xml:space="preserve">X </w:t>
            </w:r>
          </w:p>
        </w:tc>
        <w:tc>
          <w:tcPr>
            <w:tcW w:w="663"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182BAC32" w14:textId="77777777" w:rsidR="000B3C5C" w:rsidRDefault="00ED192D">
            <w:pPr>
              <w:spacing w:after="0" w:line="259" w:lineRule="auto"/>
              <w:ind w:left="100" w:firstLine="0"/>
              <w:jc w:val="center"/>
            </w:pPr>
            <w:r>
              <w:rPr>
                <w:rFonts w:ascii="Arial" w:eastAsia="Arial" w:hAnsi="Arial" w:cs="Arial"/>
                <w:sz w:val="16"/>
              </w:rPr>
              <w:t xml:space="preserve"> </w:t>
            </w:r>
          </w:p>
        </w:tc>
        <w:tc>
          <w:tcPr>
            <w:tcW w:w="60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5E79B4D5" w14:textId="77777777" w:rsidR="000B3C5C" w:rsidRDefault="00ED192D">
            <w:pPr>
              <w:spacing w:after="0" w:line="259" w:lineRule="auto"/>
              <w:ind w:left="105"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E1B31D5" w14:textId="77777777" w:rsidR="000B3C5C" w:rsidRDefault="00ED192D">
            <w:pPr>
              <w:spacing w:after="0" w:line="259" w:lineRule="auto"/>
              <w:ind w:left="102" w:firstLine="0"/>
              <w:jc w:val="center"/>
            </w:pPr>
            <w:r>
              <w:rPr>
                <w:rFonts w:ascii="Arial" w:eastAsia="Arial" w:hAnsi="Arial" w:cs="Arial"/>
                <w:sz w:val="16"/>
              </w:rPr>
              <w:t xml:space="preserve"> </w:t>
            </w:r>
          </w:p>
        </w:tc>
        <w:tc>
          <w:tcPr>
            <w:tcW w:w="3170" w:type="dxa"/>
            <w:tcBorders>
              <w:top w:val="single" w:sz="6" w:space="0" w:color="000000"/>
              <w:left w:val="single" w:sz="6" w:space="0" w:color="000000"/>
              <w:bottom w:val="single" w:sz="6" w:space="0" w:color="000000"/>
              <w:right w:val="single" w:sz="6" w:space="0" w:color="000000"/>
            </w:tcBorders>
            <w:vAlign w:val="center"/>
          </w:tcPr>
          <w:p w14:paraId="7453AC24" w14:textId="77777777" w:rsidR="000B3C5C" w:rsidRDefault="00ED192D">
            <w:pPr>
              <w:spacing w:after="0" w:line="259" w:lineRule="auto"/>
              <w:ind w:left="63" w:firstLine="0"/>
              <w:jc w:val="center"/>
            </w:pPr>
            <w:r>
              <w:rPr>
                <w:rFonts w:ascii="Arial" w:eastAsia="Arial" w:hAnsi="Arial" w:cs="Arial"/>
                <w:sz w:val="16"/>
              </w:rPr>
              <w:t xml:space="preserve">X (Weeks 9, 18, 27, and then every 12 weeks) </w:t>
            </w:r>
          </w:p>
        </w:tc>
        <w:tc>
          <w:tcPr>
            <w:tcW w:w="1289" w:type="dxa"/>
            <w:tcBorders>
              <w:top w:val="single" w:sz="6" w:space="0" w:color="000000"/>
              <w:left w:val="single" w:sz="6" w:space="0" w:color="000000"/>
              <w:bottom w:val="single" w:sz="6" w:space="0" w:color="000000"/>
              <w:right w:val="single" w:sz="6" w:space="0" w:color="000000"/>
            </w:tcBorders>
            <w:vAlign w:val="center"/>
          </w:tcPr>
          <w:p w14:paraId="48FFD358" w14:textId="77777777" w:rsidR="000B3C5C" w:rsidRDefault="00ED192D">
            <w:pPr>
              <w:spacing w:after="0" w:line="259" w:lineRule="auto"/>
              <w:ind w:left="81" w:firstLine="0"/>
              <w:jc w:val="center"/>
            </w:pPr>
            <w:r>
              <w:rPr>
                <w:rFonts w:ascii="Arial" w:eastAsia="Arial" w:hAnsi="Arial" w:cs="Arial"/>
                <w:sz w:val="16"/>
              </w:rPr>
              <w:t xml:space="preserve">X (if necessary) </w:t>
            </w:r>
          </w:p>
        </w:tc>
        <w:tc>
          <w:tcPr>
            <w:tcW w:w="137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195BB0F6" w14:textId="77777777" w:rsidR="000B3C5C" w:rsidRDefault="00ED192D">
            <w:pPr>
              <w:spacing w:after="0" w:line="259" w:lineRule="auto"/>
              <w:ind w:left="108" w:firstLine="0"/>
              <w:jc w:val="center"/>
            </w:pPr>
            <w:r>
              <w:rPr>
                <w:rFonts w:ascii="Arial" w:eastAsia="Arial" w:hAnsi="Arial" w:cs="Arial"/>
                <w:sz w:val="16"/>
              </w:rPr>
              <w:t xml:space="preserve"> </w:t>
            </w:r>
          </w:p>
        </w:tc>
        <w:tc>
          <w:tcPr>
            <w:tcW w:w="2560" w:type="dxa"/>
            <w:gridSpan w:val="3"/>
            <w:tcBorders>
              <w:top w:val="single" w:sz="6" w:space="0" w:color="000000"/>
              <w:left w:val="single" w:sz="6" w:space="0" w:color="000000"/>
              <w:bottom w:val="single" w:sz="6" w:space="0" w:color="000000"/>
              <w:right w:val="single" w:sz="6" w:space="0" w:color="000000"/>
            </w:tcBorders>
          </w:tcPr>
          <w:p w14:paraId="6DA0869C" w14:textId="77777777" w:rsidR="000B3C5C" w:rsidRDefault="00ED192D">
            <w:pPr>
              <w:spacing w:after="0" w:line="259" w:lineRule="auto"/>
              <w:ind w:left="0" w:firstLine="0"/>
              <w:jc w:val="center"/>
            </w:pPr>
            <w:r>
              <w:rPr>
                <w:rFonts w:ascii="Arial" w:eastAsia="Arial" w:hAnsi="Arial" w:cs="Arial"/>
                <w:sz w:val="16"/>
              </w:rPr>
              <w:t xml:space="preserve">X (until PD is confirmed if no PD documented &amp; confirmed) </w:t>
            </w:r>
          </w:p>
        </w:tc>
        <w:tc>
          <w:tcPr>
            <w:tcW w:w="1177" w:type="dxa"/>
            <w:gridSpan w:val="2"/>
            <w:tcBorders>
              <w:top w:val="single" w:sz="6" w:space="0" w:color="000000"/>
              <w:left w:val="single" w:sz="6" w:space="0" w:color="000000"/>
              <w:bottom w:val="single" w:sz="6" w:space="0" w:color="000000"/>
              <w:right w:val="single" w:sz="4" w:space="0" w:color="000000"/>
            </w:tcBorders>
          </w:tcPr>
          <w:p w14:paraId="4259062F"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8.1</w:t>
            </w:r>
            <w:r>
              <w:rPr>
                <w:rFonts w:ascii="Arial" w:eastAsia="Arial" w:hAnsi="Arial" w:cs="Arial"/>
                <w:sz w:val="16"/>
              </w:rPr>
              <w:t xml:space="preserve"> </w:t>
            </w:r>
          </w:p>
        </w:tc>
      </w:tr>
      <w:tr w:rsidR="000B3C5C" w14:paraId="3D264B97" w14:textId="77777777">
        <w:trPr>
          <w:trHeight w:val="1054"/>
        </w:trPr>
        <w:tc>
          <w:tcPr>
            <w:tcW w:w="1580" w:type="dxa"/>
            <w:tcBorders>
              <w:top w:val="single" w:sz="6" w:space="0" w:color="000000"/>
              <w:left w:val="single" w:sz="4" w:space="0" w:color="000000"/>
              <w:bottom w:val="single" w:sz="6" w:space="0" w:color="000000"/>
              <w:right w:val="single" w:sz="6" w:space="0" w:color="000000"/>
            </w:tcBorders>
            <w:vAlign w:val="center"/>
          </w:tcPr>
          <w:p w14:paraId="2EF77F4E" w14:textId="77777777" w:rsidR="000B3C5C" w:rsidRDefault="00ED192D">
            <w:pPr>
              <w:spacing w:after="0" w:line="259" w:lineRule="auto"/>
              <w:ind w:left="108" w:firstLine="0"/>
            </w:pPr>
            <w:r>
              <w:rPr>
                <w:rFonts w:ascii="Arial" w:eastAsia="Arial" w:hAnsi="Arial" w:cs="Arial"/>
                <w:sz w:val="16"/>
              </w:rPr>
              <w:t xml:space="preserve">Brain MRI (for GBM only) </w:t>
            </w:r>
          </w:p>
        </w:tc>
        <w:tc>
          <w:tcPr>
            <w:tcW w:w="601" w:type="dxa"/>
            <w:tcBorders>
              <w:top w:val="single" w:sz="6" w:space="0" w:color="000000"/>
              <w:left w:val="single" w:sz="6" w:space="0" w:color="000000"/>
              <w:bottom w:val="single" w:sz="6" w:space="0" w:color="000000"/>
              <w:right w:val="single" w:sz="6" w:space="0" w:color="000000"/>
            </w:tcBorders>
            <w:shd w:val="clear" w:color="auto" w:fill="A6A6A6"/>
          </w:tcPr>
          <w:p w14:paraId="67DB9858" w14:textId="77777777" w:rsidR="000B3C5C" w:rsidRDefault="00ED192D">
            <w:pPr>
              <w:spacing w:after="0" w:line="259" w:lineRule="auto"/>
              <w:ind w:left="107" w:firstLine="0"/>
              <w:jc w:val="center"/>
            </w:pPr>
            <w:r>
              <w:rPr>
                <w:rFonts w:ascii="Arial" w:eastAsia="Arial" w:hAnsi="Arial" w:cs="Arial"/>
                <w:sz w:val="16"/>
              </w:rPr>
              <w:t xml:space="preserve"> </w:t>
            </w:r>
          </w:p>
        </w:tc>
        <w:tc>
          <w:tcPr>
            <w:tcW w:w="735" w:type="dxa"/>
            <w:tcBorders>
              <w:top w:val="single" w:sz="6" w:space="0" w:color="000000"/>
              <w:left w:val="single" w:sz="6" w:space="0" w:color="000000"/>
              <w:bottom w:val="single" w:sz="6" w:space="0" w:color="000000"/>
              <w:right w:val="single" w:sz="6" w:space="0" w:color="000000"/>
            </w:tcBorders>
          </w:tcPr>
          <w:p w14:paraId="6E704CF8" w14:textId="77777777" w:rsidR="000B3C5C" w:rsidRDefault="00ED192D">
            <w:pPr>
              <w:spacing w:after="0" w:line="259" w:lineRule="auto"/>
              <w:ind w:left="66" w:firstLine="0"/>
              <w:jc w:val="center"/>
            </w:pPr>
            <w:r>
              <w:rPr>
                <w:rFonts w:ascii="Arial" w:eastAsia="Arial" w:hAnsi="Arial" w:cs="Arial"/>
                <w:sz w:val="16"/>
              </w:rPr>
              <w:t xml:space="preserve">X (within </w:t>
            </w:r>
          </w:p>
          <w:p w14:paraId="6545C099" w14:textId="77777777" w:rsidR="000B3C5C" w:rsidRDefault="00ED192D">
            <w:pPr>
              <w:spacing w:after="0" w:line="238" w:lineRule="auto"/>
              <w:ind w:left="57" w:firstLine="0"/>
              <w:jc w:val="center"/>
            </w:pPr>
            <w:r>
              <w:rPr>
                <w:rFonts w:ascii="Arial" w:eastAsia="Arial" w:hAnsi="Arial" w:cs="Arial"/>
                <w:sz w:val="16"/>
              </w:rPr>
              <w:t xml:space="preserve">14 days prior to first </w:t>
            </w:r>
          </w:p>
          <w:p w14:paraId="3FFAAD2F" w14:textId="77777777" w:rsidR="000B3C5C" w:rsidRDefault="00ED192D">
            <w:pPr>
              <w:spacing w:after="0" w:line="259" w:lineRule="auto"/>
              <w:ind w:left="70" w:firstLine="0"/>
              <w:jc w:val="center"/>
            </w:pPr>
            <w:r>
              <w:rPr>
                <w:rFonts w:ascii="Arial" w:eastAsia="Arial" w:hAnsi="Arial" w:cs="Arial"/>
                <w:sz w:val="16"/>
              </w:rPr>
              <w:t xml:space="preserve">dose) </w:t>
            </w:r>
          </w:p>
        </w:tc>
        <w:tc>
          <w:tcPr>
            <w:tcW w:w="663"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0ED2CABB" w14:textId="77777777" w:rsidR="000B3C5C" w:rsidRDefault="00ED192D">
            <w:pPr>
              <w:spacing w:after="0" w:line="259" w:lineRule="auto"/>
              <w:ind w:left="100" w:firstLine="0"/>
              <w:jc w:val="center"/>
            </w:pPr>
            <w:r>
              <w:rPr>
                <w:rFonts w:ascii="Arial" w:eastAsia="Arial" w:hAnsi="Arial" w:cs="Arial"/>
                <w:sz w:val="16"/>
              </w:rPr>
              <w:t xml:space="preserve"> </w:t>
            </w:r>
          </w:p>
        </w:tc>
        <w:tc>
          <w:tcPr>
            <w:tcW w:w="60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47B81591" w14:textId="77777777" w:rsidR="000B3C5C" w:rsidRDefault="00ED192D">
            <w:pPr>
              <w:spacing w:after="0" w:line="259" w:lineRule="auto"/>
              <w:ind w:left="105"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C2026E7" w14:textId="77777777" w:rsidR="000B3C5C" w:rsidRDefault="00ED192D">
            <w:pPr>
              <w:spacing w:after="0" w:line="259" w:lineRule="auto"/>
              <w:ind w:left="102" w:firstLine="0"/>
              <w:jc w:val="center"/>
            </w:pPr>
            <w:r>
              <w:rPr>
                <w:rFonts w:ascii="Arial" w:eastAsia="Arial" w:hAnsi="Arial" w:cs="Arial"/>
                <w:sz w:val="16"/>
              </w:rPr>
              <w:t xml:space="preserve"> </w:t>
            </w:r>
          </w:p>
        </w:tc>
        <w:tc>
          <w:tcPr>
            <w:tcW w:w="3170" w:type="dxa"/>
            <w:tcBorders>
              <w:top w:val="single" w:sz="6" w:space="0" w:color="000000"/>
              <w:left w:val="single" w:sz="6" w:space="0" w:color="000000"/>
              <w:bottom w:val="single" w:sz="6" w:space="0" w:color="000000"/>
              <w:right w:val="single" w:sz="6" w:space="0" w:color="000000"/>
            </w:tcBorders>
            <w:vAlign w:val="center"/>
          </w:tcPr>
          <w:p w14:paraId="788153D7" w14:textId="77777777" w:rsidR="000B3C5C" w:rsidRDefault="00ED192D">
            <w:pPr>
              <w:spacing w:after="0" w:line="259" w:lineRule="auto"/>
              <w:ind w:left="65" w:firstLine="0"/>
              <w:jc w:val="center"/>
            </w:pPr>
            <w:r>
              <w:rPr>
                <w:rFonts w:ascii="Arial" w:eastAsia="Arial" w:hAnsi="Arial" w:cs="Arial"/>
                <w:sz w:val="16"/>
              </w:rPr>
              <w:t xml:space="preserve">X (Weeks 6, 12, 18, 24, and then every 9 weeks) </w:t>
            </w:r>
          </w:p>
        </w:tc>
        <w:tc>
          <w:tcPr>
            <w:tcW w:w="1289" w:type="dxa"/>
            <w:tcBorders>
              <w:top w:val="single" w:sz="6" w:space="0" w:color="000000"/>
              <w:left w:val="single" w:sz="6" w:space="0" w:color="000000"/>
              <w:bottom w:val="single" w:sz="6" w:space="0" w:color="000000"/>
              <w:right w:val="single" w:sz="6" w:space="0" w:color="000000"/>
            </w:tcBorders>
            <w:vAlign w:val="center"/>
          </w:tcPr>
          <w:p w14:paraId="147A5CEA" w14:textId="77777777" w:rsidR="000B3C5C" w:rsidRDefault="00ED192D">
            <w:pPr>
              <w:spacing w:after="0" w:line="259" w:lineRule="auto"/>
              <w:ind w:left="81" w:firstLine="0"/>
              <w:jc w:val="center"/>
            </w:pPr>
            <w:r>
              <w:rPr>
                <w:rFonts w:ascii="Arial" w:eastAsia="Arial" w:hAnsi="Arial" w:cs="Arial"/>
                <w:sz w:val="16"/>
              </w:rPr>
              <w:t xml:space="preserve">X (if necessary) </w:t>
            </w:r>
          </w:p>
        </w:tc>
        <w:tc>
          <w:tcPr>
            <w:tcW w:w="137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354B2F96" w14:textId="77777777" w:rsidR="000B3C5C" w:rsidRDefault="00ED192D">
            <w:pPr>
              <w:spacing w:after="0" w:line="259" w:lineRule="auto"/>
              <w:ind w:left="108" w:firstLine="0"/>
              <w:jc w:val="center"/>
            </w:pPr>
            <w:r>
              <w:rPr>
                <w:rFonts w:ascii="Arial" w:eastAsia="Arial" w:hAnsi="Arial" w:cs="Arial"/>
                <w:sz w:val="16"/>
              </w:rPr>
              <w:t xml:space="preserve"> </w:t>
            </w:r>
          </w:p>
        </w:tc>
        <w:tc>
          <w:tcPr>
            <w:tcW w:w="2560" w:type="dxa"/>
            <w:gridSpan w:val="3"/>
            <w:tcBorders>
              <w:top w:val="single" w:sz="6" w:space="0" w:color="000000"/>
              <w:left w:val="single" w:sz="6" w:space="0" w:color="000000"/>
              <w:bottom w:val="single" w:sz="6" w:space="0" w:color="000000"/>
              <w:right w:val="single" w:sz="6" w:space="0" w:color="000000"/>
            </w:tcBorders>
            <w:vAlign w:val="center"/>
          </w:tcPr>
          <w:p w14:paraId="206D5846" w14:textId="77777777" w:rsidR="000B3C5C" w:rsidRDefault="00ED192D">
            <w:pPr>
              <w:spacing w:after="0" w:line="259" w:lineRule="auto"/>
              <w:ind w:left="0" w:firstLine="0"/>
              <w:jc w:val="center"/>
            </w:pPr>
            <w:r>
              <w:rPr>
                <w:rFonts w:ascii="Arial" w:eastAsia="Arial" w:hAnsi="Arial" w:cs="Arial"/>
                <w:sz w:val="16"/>
              </w:rPr>
              <w:t xml:space="preserve">X </w:t>
            </w:r>
            <w:r>
              <w:rPr>
                <w:rFonts w:ascii="Arial" w:eastAsia="Arial" w:hAnsi="Arial" w:cs="Arial"/>
                <w:sz w:val="16"/>
              </w:rPr>
              <w:t xml:space="preserve">(until PD is confirmed if no PD documented &amp; confirmed) </w:t>
            </w:r>
          </w:p>
        </w:tc>
        <w:tc>
          <w:tcPr>
            <w:tcW w:w="1177" w:type="dxa"/>
            <w:gridSpan w:val="2"/>
            <w:tcBorders>
              <w:top w:val="single" w:sz="6" w:space="0" w:color="000000"/>
              <w:left w:val="single" w:sz="6" w:space="0" w:color="000000"/>
              <w:bottom w:val="single" w:sz="6" w:space="0" w:color="000000"/>
              <w:right w:val="single" w:sz="4" w:space="0" w:color="000000"/>
            </w:tcBorders>
          </w:tcPr>
          <w:p w14:paraId="1DE0338C"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8.1</w:t>
            </w:r>
            <w:r>
              <w:rPr>
                <w:rFonts w:ascii="Arial" w:eastAsia="Arial" w:hAnsi="Arial" w:cs="Arial"/>
                <w:sz w:val="16"/>
              </w:rPr>
              <w:t xml:space="preserve"> </w:t>
            </w:r>
          </w:p>
        </w:tc>
      </w:tr>
      <w:tr w:rsidR="000B3C5C" w14:paraId="4D9F2046" w14:textId="77777777">
        <w:trPr>
          <w:trHeight w:val="502"/>
        </w:trPr>
        <w:tc>
          <w:tcPr>
            <w:tcW w:w="1580" w:type="dxa"/>
            <w:tcBorders>
              <w:top w:val="single" w:sz="6" w:space="0" w:color="000000"/>
              <w:left w:val="single" w:sz="4" w:space="0" w:color="000000"/>
              <w:bottom w:val="single" w:sz="6" w:space="0" w:color="000000"/>
              <w:right w:val="single" w:sz="6" w:space="0" w:color="000000"/>
            </w:tcBorders>
          </w:tcPr>
          <w:p w14:paraId="012EAF82" w14:textId="77777777" w:rsidR="000B3C5C" w:rsidRDefault="00ED192D">
            <w:pPr>
              <w:spacing w:after="0" w:line="259" w:lineRule="auto"/>
              <w:ind w:left="108" w:firstLine="0"/>
            </w:pPr>
            <w:r>
              <w:rPr>
                <w:rFonts w:ascii="Arial" w:eastAsia="Arial" w:hAnsi="Arial" w:cs="Arial"/>
                <w:sz w:val="16"/>
              </w:rPr>
              <w:t xml:space="preserve">AFP (for HCC) / CA125 (for EOC) </w:t>
            </w:r>
          </w:p>
        </w:tc>
        <w:tc>
          <w:tcPr>
            <w:tcW w:w="601" w:type="dxa"/>
            <w:tcBorders>
              <w:top w:val="single" w:sz="6" w:space="0" w:color="000000"/>
              <w:left w:val="single" w:sz="6" w:space="0" w:color="000000"/>
              <w:bottom w:val="single" w:sz="6" w:space="0" w:color="000000"/>
              <w:right w:val="single" w:sz="6" w:space="0" w:color="000000"/>
            </w:tcBorders>
            <w:shd w:val="clear" w:color="auto" w:fill="A6A6A6"/>
          </w:tcPr>
          <w:p w14:paraId="770FC4EC" w14:textId="77777777" w:rsidR="000B3C5C" w:rsidRDefault="00ED192D">
            <w:pPr>
              <w:spacing w:after="0" w:line="259" w:lineRule="auto"/>
              <w:ind w:left="107" w:firstLine="0"/>
              <w:jc w:val="center"/>
            </w:pPr>
            <w:r>
              <w:rPr>
                <w:rFonts w:ascii="Arial" w:eastAsia="Arial" w:hAnsi="Arial" w:cs="Arial"/>
                <w:sz w:val="16"/>
              </w:rPr>
              <w:t xml:space="preserve"> </w:t>
            </w:r>
          </w:p>
        </w:tc>
        <w:tc>
          <w:tcPr>
            <w:tcW w:w="73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33028281" w14:textId="77777777" w:rsidR="000B3C5C" w:rsidRDefault="00ED192D">
            <w:pPr>
              <w:spacing w:after="0" w:line="259" w:lineRule="auto"/>
              <w:ind w:left="101" w:firstLine="0"/>
              <w:jc w:val="center"/>
            </w:pPr>
            <w:r>
              <w:rPr>
                <w:rFonts w:ascii="Arial" w:eastAsia="Arial" w:hAnsi="Arial" w:cs="Arial"/>
                <w:sz w:val="16"/>
              </w:rPr>
              <w:t xml:space="preserve"> </w:t>
            </w:r>
          </w:p>
        </w:tc>
        <w:tc>
          <w:tcPr>
            <w:tcW w:w="663" w:type="dxa"/>
            <w:tcBorders>
              <w:top w:val="single" w:sz="6" w:space="0" w:color="000000"/>
              <w:left w:val="single" w:sz="6" w:space="0" w:color="000000"/>
              <w:bottom w:val="single" w:sz="6" w:space="0" w:color="000000"/>
              <w:right w:val="single" w:sz="6" w:space="0" w:color="000000"/>
            </w:tcBorders>
            <w:vAlign w:val="center"/>
          </w:tcPr>
          <w:p w14:paraId="02555BF8" w14:textId="77777777" w:rsidR="000B3C5C" w:rsidRDefault="00ED192D">
            <w:pPr>
              <w:spacing w:after="0" w:line="259" w:lineRule="auto"/>
              <w:ind w:left="65" w:firstLine="0"/>
              <w:jc w:val="center"/>
            </w:pPr>
            <w:r>
              <w:rPr>
                <w:rFonts w:ascii="Arial" w:eastAsia="Arial" w:hAnsi="Arial" w:cs="Arial"/>
                <w:sz w:val="16"/>
              </w:rPr>
              <w:t xml:space="preserve">X </w:t>
            </w:r>
          </w:p>
        </w:tc>
        <w:tc>
          <w:tcPr>
            <w:tcW w:w="60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1FB5E90D" w14:textId="77777777" w:rsidR="000B3C5C" w:rsidRDefault="00ED192D">
            <w:pPr>
              <w:spacing w:after="0" w:line="259" w:lineRule="auto"/>
              <w:ind w:left="105"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20BA54CB" w14:textId="77777777" w:rsidR="000B3C5C" w:rsidRDefault="00ED192D">
            <w:pPr>
              <w:spacing w:after="0" w:line="259" w:lineRule="auto"/>
              <w:ind w:left="108" w:firstLine="0"/>
            </w:pPr>
            <w:r>
              <w:rPr>
                <w:rFonts w:ascii="Arial" w:eastAsia="Arial" w:hAnsi="Arial" w:cs="Arial"/>
                <w:sz w:val="16"/>
              </w:rPr>
              <w:t xml:space="preserve"> </w:t>
            </w:r>
          </w:p>
        </w:tc>
        <w:tc>
          <w:tcPr>
            <w:tcW w:w="3170" w:type="dxa"/>
            <w:tcBorders>
              <w:top w:val="single" w:sz="6" w:space="0" w:color="000000"/>
              <w:left w:val="single" w:sz="6" w:space="0" w:color="000000"/>
              <w:bottom w:val="single" w:sz="6" w:space="0" w:color="000000"/>
              <w:right w:val="single" w:sz="6" w:space="0" w:color="000000"/>
            </w:tcBorders>
            <w:vAlign w:val="center"/>
          </w:tcPr>
          <w:p w14:paraId="2753BBA6" w14:textId="77777777" w:rsidR="000B3C5C" w:rsidRDefault="00ED192D">
            <w:pPr>
              <w:spacing w:after="0" w:line="259" w:lineRule="auto"/>
              <w:ind w:left="63" w:firstLine="0"/>
              <w:jc w:val="center"/>
            </w:pPr>
            <w:r>
              <w:rPr>
                <w:rFonts w:ascii="Arial" w:eastAsia="Arial" w:hAnsi="Arial" w:cs="Arial"/>
                <w:sz w:val="16"/>
              </w:rPr>
              <w:t xml:space="preserve">X (Weeks 9, 18, 27, and then every 12 weeks) </w:t>
            </w:r>
          </w:p>
        </w:tc>
        <w:tc>
          <w:tcPr>
            <w:tcW w:w="1289" w:type="dxa"/>
            <w:tcBorders>
              <w:top w:val="single" w:sz="6" w:space="0" w:color="000000"/>
              <w:left w:val="single" w:sz="6" w:space="0" w:color="000000"/>
              <w:bottom w:val="single" w:sz="6" w:space="0" w:color="000000"/>
              <w:right w:val="single" w:sz="6" w:space="0" w:color="000000"/>
            </w:tcBorders>
            <w:vAlign w:val="center"/>
          </w:tcPr>
          <w:p w14:paraId="5252A938" w14:textId="77777777" w:rsidR="000B3C5C" w:rsidRDefault="00ED192D">
            <w:pPr>
              <w:spacing w:after="0" w:line="259" w:lineRule="auto"/>
              <w:ind w:left="81" w:firstLine="0"/>
              <w:jc w:val="center"/>
            </w:pPr>
            <w:r>
              <w:rPr>
                <w:rFonts w:ascii="Arial" w:eastAsia="Arial" w:hAnsi="Arial" w:cs="Arial"/>
                <w:sz w:val="16"/>
              </w:rPr>
              <w:t xml:space="preserve">X (if necessary) </w:t>
            </w:r>
          </w:p>
        </w:tc>
        <w:tc>
          <w:tcPr>
            <w:tcW w:w="137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4832A1FC" w14:textId="77777777" w:rsidR="000B3C5C" w:rsidRDefault="00ED192D">
            <w:pPr>
              <w:spacing w:after="0" w:line="259" w:lineRule="auto"/>
              <w:ind w:left="108" w:firstLine="0"/>
              <w:jc w:val="center"/>
            </w:pPr>
            <w:r>
              <w:rPr>
                <w:rFonts w:ascii="Arial" w:eastAsia="Arial" w:hAnsi="Arial" w:cs="Arial"/>
                <w:sz w:val="16"/>
              </w:rPr>
              <w:t xml:space="preserve"> </w:t>
            </w:r>
          </w:p>
        </w:tc>
        <w:tc>
          <w:tcPr>
            <w:tcW w:w="2560" w:type="dxa"/>
            <w:gridSpan w:val="3"/>
            <w:tcBorders>
              <w:top w:val="single" w:sz="6" w:space="0" w:color="000000"/>
              <w:left w:val="single" w:sz="6" w:space="0" w:color="000000"/>
              <w:bottom w:val="single" w:sz="6" w:space="0" w:color="000000"/>
              <w:right w:val="single" w:sz="6" w:space="0" w:color="000000"/>
            </w:tcBorders>
          </w:tcPr>
          <w:p w14:paraId="597D15D0" w14:textId="77777777" w:rsidR="000B3C5C" w:rsidRDefault="00ED192D">
            <w:pPr>
              <w:spacing w:after="0" w:line="259" w:lineRule="auto"/>
              <w:ind w:left="0" w:firstLine="0"/>
              <w:jc w:val="center"/>
            </w:pPr>
            <w:r>
              <w:rPr>
                <w:rFonts w:ascii="Arial" w:eastAsia="Arial" w:hAnsi="Arial" w:cs="Arial"/>
                <w:sz w:val="16"/>
              </w:rPr>
              <w:t xml:space="preserve">X </w:t>
            </w:r>
            <w:r>
              <w:rPr>
                <w:rFonts w:ascii="Arial" w:eastAsia="Arial" w:hAnsi="Arial" w:cs="Arial"/>
                <w:sz w:val="16"/>
              </w:rPr>
              <w:t xml:space="preserve">(until PD is confirmed if no PD documented &amp; confirmed) </w:t>
            </w:r>
          </w:p>
        </w:tc>
        <w:tc>
          <w:tcPr>
            <w:tcW w:w="1177" w:type="dxa"/>
            <w:gridSpan w:val="2"/>
            <w:tcBorders>
              <w:top w:val="single" w:sz="6" w:space="0" w:color="000000"/>
              <w:left w:val="single" w:sz="6" w:space="0" w:color="000000"/>
              <w:bottom w:val="single" w:sz="6" w:space="0" w:color="000000"/>
              <w:right w:val="single" w:sz="4" w:space="0" w:color="000000"/>
            </w:tcBorders>
          </w:tcPr>
          <w:p w14:paraId="2EBAC187" w14:textId="77777777" w:rsidR="000B3C5C" w:rsidRDefault="00ED192D">
            <w:pPr>
              <w:spacing w:after="0" w:line="259" w:lineRule="auto"/>
              <w:ind w:left="109" w:firstLine="0"/>
            </w:pPr>
            <w:r>
              <w:rPr>
                <w:rFonts w:ascii="Arial" w:eastAsia="Arial" w:hAnsi="Arial" w:cs="Arial"/>
                <w:color w:val="0000FF"/>
                <w:sz w:val="16"/>
              </w:rPr>
              <w:t>Section</w:t>
            </w:r>
            <w:r>
              <w:rPr>
                <w:rFonts w:ascii="Arial" w:eastAsia="Arial" w:hAnsi="Arial" w:cs="Arial"/>
                <w:sz w:val="16"/>
              </w:rPr>
              <w:t xml:space="preserve"> </w:t>
            </w:r>
            <w:r>
              <w:rPr>
                <w:rFonts w:ascii="Arial" w:eastAsia="Arial" w:hAnsi="Arial" w:cs="Arial"/>
                <w:color w:val="0000FF"/>
                <w:sz w:val="16"/>
              </w:rPr>
              <w:t>8.1</w:t>
            </w:r>
            <w:r>
              <w:rPr>
                <w:rFonts w:ascii="Arial" w:eastAsia="Arial" w:hAnsi="Arial" w:cs="Arial"/>
                <w:sz w:val="16"/>
              </w:rPr>
              <w:t xml:space="preserve"> </w:t>
            </w:r>
          </w:p>
        </w:tc>
      </w:tr>
      <w:tr w:rsidR="000B3C5C" w14:paraId="287816FE" w14:textId="77777777">
        <w:trPr>
          <w:trHeight w:val="1169"/>
        </w:trPr>
        <w:tc>
          <w:tcPr>
            <w:tcW w:w="1580" w:type="dxa"/>
            <w:tcBorders>
              <w:top w:val="single" w:sz="6" w:space="0" w:color="000000"/>
              <w:left w:val="single" w:sz="4" w:space="0" w:color="000000"/>
              <w:bottom w:val="single" w:sz="6" w:space="0" w:color="000000"/>
              <w:right w:val="single" w:sz="6" w:space="0" w:color="000000"/>
            </w:tcBorders>
            <w:vAlign w:val="center"/>
          </w:tcPr>
          <w:p w14:paraId="6CA5FB2A" w14:textId="77777777" w:rsidR="000B3C5C" w:rsidRDefault="00ED192D">
            <w:pPr>
              <w:spacing w:after="0" w:line="259" w:lineRule="auto"/>
              <w:ind w:left="108" w:firstLine="0"/>
            </w:pPr>
            <w:r>
              <w:rPr>
                <w:rFonts w:ascii="Arial" w:eastAsia="Arial" w:hAnsi="Arial" w:cs="Arial"/>
                <w:b/>
                <w:sz w:val="16"/>
              </w:rPr>
              <w:t xml:space="preserve">Isatuximab </w:t>
            </w:r>
          </w:p>
          <w:p w14:paraId="36A15D04" w14:textId="77777777" w:rsidR="000B3C5C" w:rsidRDefault="00ED192D">
            <w:pPr>
              <w:spacing w:after="0" w:line="259" w:lineRule="auto"/>
              <w:ind w:left="108" w:firstLine="0"/>
            </w:pPr>
            <w:r>
              <w:rPr>
                <w:rFonts w:ascii="Arial" w:eastAsia="Arial" w:hAnsi="Arial" w:cs="Arial"/>
                <w:b/>
                <w:sz w:val="16"/>
              </w:rPr>
              <w:t>Administration</w:t>
            </w:r>
            <w:r>
              <w:rPr>
                <w:rFonts w:ascii="Arial" w:eastAsia="Arial" w:hAnsi="Arial" w:cs="Arial"/>
                <w:b/>
                <w:color w:val="FF00FF"/>
                <w:sz w:val="16"/>
              </w:rPr>
              <w:t xml:space="preserve"> </w:t>
            </w:r>
          </w:p>
        </w:tc>
        <w:tc>
          <w:tcPr>
            <w:tcW w:w="601" w:type="dxa"/>
            <w:tcBorders>
              <w:top w:val="single" w:sz="6" w:space="0" w:color="000000"/>
              <w:left w:val="single" w:sz="6" w:space="0" w:color="000000"/>
              <w:bottom w:val="single" w:sz="6" w:space="0" w:color="000000"/>
              <w:right w:val="single" w:sz="6" w:space="0" w:color="000000"/>
            </w:tcBorders>
            <w:shd w:val="clear" w:color="auto" w:fill="A6A6A6"/>
          </w:tcPr>
          <w:p w14:paraId="677A255D" w14:textId="77777777" w:rsidR="000B3C5C" w:rsidRDefault="00ED192D">
            <w:pPr>
              <w:spacing w:after="0" w:line="259" w:lineRule="auto"/>
              <w:ind w:left="107" w:firstLine="0"/>
              <w:jc w:val="center"/>
            </w:pPr>
            <w:r>
              <w:rPr>
                <w:rFonts w:ascii="Arial" w:eastAsia="Arial" w:hAnsi="Arial" w:cs="Arial"/>
                <w:sz w:val="16"/>
              </w:rPr>
              <w:t xml:space="preserve"> </w:t>
            </w:r>
          </w:p>
        </w:tc>
        <w:tc>
          <w:tcPr>
            <w:tcW w:w="73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53F8427E" w14:textId="77777777" w:rsidR="000B3C5C" w:rsidRDefault="00ED192D">
            <w:pPr>
              <w:spacing w:after="0" w:line="259" w:lineRule="auto"/>
              <w:ind w:left="101" w:firstLine="0"/>
              <w:jc w:val="center"/>
            </w:pPr>
            <w:r>
              <w:rPr>
                <w:rFonts w:ascii="Arial" w:eastAsia="Arial" w:hAnsi="Arial" w:cs="Arial"/>
                <w:sz w:val="16"/>
              </w:rPr>
              <w:t xml:space="preserve"> </w:t>
            </w:r>
          </w:p>
        </w:tc>
        <w:tc>
          <w:tcPr>
            <w:tcW w:w="663" w:type="dxa"/>
            <w:tcBorders>
              <w:top w:val="single" w:sz="6" w:space="0" w:color="000000"/>
              <w:left w:val="single" w:sz="6" w:space="0" w:color="000000"/>
              <w:bottom w:val="single" w:sz="6" w:space="0" w:color="000000"/>
              <w:right w:val="single" w:sz="6" w:space="0" w:color="000000"/>
            </w:tcBorders>
            <w:vAlign w:val="center"/>
          </w:tcPr>
          <w:p w14:paraId="761BB037" w14:textId="77777777" w:rsidR="000B3C5C" w:rsidRDefault="00ED192D">
            <w:pPr>
              <w:spacing w:after="0" w:line="259" w:lineRule="auto"/>
              <w:ind w:left="65" w:firstLine="0"/>
              <w:jc w:val="center"/>
            </w:pPr>
            <w:r>
              <w:rPr>
                <w:rFonts w:ascii="Arial" w:eastAsia="Arial" w:hAnsi="Arial" w:cs="Arial"/>
                <w:sz w:val="16"/>
              </w:rPr>
              <w:t xml:space="preserve">X </w:t>
            </w:r>
          </w:p>
        </w:tc>
        <w:tc>
          <w:tcPr>
            <w:tcW w:w="601" w:type="dxa"/>
            <w:tcBorders>
              <w:top w:val="single" w:sz="6" w:space="0" w:color="000000"/>
              <w:left w:val="single" w:sz="6" w:space="0" w:color="000000"/>
              <w:bottom w:val="single" w:sz="6" w:space="0" w:color="000000"/>
              <w:right w:val="single" w:sz="6" w:space="0" w:color="000000"/>
            </w:tcBorders>
            <w:vAlign w:val="center"/>
          </w:tcPr>
          <w:p w14:paraId="1F442305" w14:textId="77777777" w:rsidR="000B3C5C" w:rsidRDefault="00ED192D">
            <w:pPr>
              <w:spacing w:after="0" w:line="259" w:lineRule="auto"/>
              <w:ind w:left="72"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vAlign w:val="center"/>
          </w:tcPr>
          <w:p w14:paraId="14004605" w14:textId="77777777" w:rsidR="000B3C5C" w:rsidRDefault="00ED192D">
            <w:pPr>
              <w:spacing w:after="0" w:line="259" w:lineRule="auto"/>
              <w:ind w:left="69" w:firstLine="0"/>
              <w:jc w:val="center"/>
            </w:pPr>
            <w:r>
              <w:rPr>
                <w:rFonts w:ascii="Arial" w:eastAsia="Arial" w:hAnsi="Arial" w:cs="Arial"/>
                <w:sz w:val="16"/>
              </w:rPr>
              <w:t>X</w:t>
            </w:r>
            <w:r>
              <w:rPr>
                <w:rFonts w:ascii="Arial" w:eastAsia="Arial" w:hAnsi="Arial" w:cs="Arial"/>
                <w:i/>
                <w:color w:val="0000FF"/>
                <w:sz w:val="28"/>
                <w:vertAlign w:val="superscript"/>
              </w:rPr>
              <w:t>c</w:t>
            </w:r>
            <w:r>
              <w:rPr>
                <w:rFonts w:ascii="Arial" w:eastAsia="Arial" w:hAnsi="Arial" w:cs="Arial"/>
                <w:sz w:val="16"/>
              </w:rPr>
              <w:t xml:space="preserve"> </w:t>
            </w:r>
          </w:p>
        </w:tc>
        <w:tc>
          <w:tcPr>
            <w:tcW w:w="3170" w:type="dxa"/>
            <w:tcBorders>
              <w:top w:val="single" w:sz="6" w:space="0" w:color="000000"/>
              <w:left w:val="single" w:sz="6" w:space="0" w:color="000000"/>
              <w:bottom w:val="single" w:sz="6" w:space="0" w:color="000000"/>
              <w:right w:val="single" w:sz="6" w:space="0" w:color="000000"/>
            </w:tcBorders>
            <w:vAlign w:val="center"/>
          </w:tcPr>
          <w:p w14:paraId="698AE111" w14:textId="77777777" w:rsidR="000B3C5C" w:rsidRDefault="00ED192D">
            <w:pPr>
              <w:spacing w:after="0" w:line="259" w:lineRule="auto"/>
              <w:ind w:left="67" w:firstLine="0"/>
              <w:jc w:val="center"/>
            </w:pPr>
            <w:r>
              <w:rPr>
                <w:rFonts w:ascii="Arial" w:eastAsia="Arial" w:hAnsi="Arial" w:cs="Arial"/>
                <w:sz w:val="16"/>
              </w:rPr>
              <w:t xml:space="preserve">X </w:t>
            </w:r>
          </w:p>
        </w:tc>
        <w:tc>
          <w:tcPr>
            <w:tcW w:w="1289"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0FE92C4F" w14:textId="77777777" w:rsidR="000B3C5C" w:rsidRDefault="00ED192D">
            <w:pPr>
              <w:spacing w:after="0" w:line="259" w:lineRule="auto"/>
              <w:ind w:left="117" w:firstLine="0"/>
              <w:jc w:val="center"/>
            </w:pPr>
            <w:r>
              <w:rPr>
                <w:rFonts w:ascii="Arial" w:eastAsia="Arial" w:hAnsi="Arial" w:cs="Arial"/>
                <w:sz w:val="16"/>
              </w:rPr>
              <w:t xml:space="preserve"> </w:t>
            </w:r>
          </w:p>
        </w:tc>
        <w:tc>
          <w:tcPr>
            <w:tcW w:w="137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F559216" w14:textId="77777777" w:rsidR="000B3C5C" w:rsidRDefault="00ED192D">
            <w:pPr>
              <w:spacing w:after="0" w:line="259" w:lineRule="auto"/>
              <w:ind w:left="108" w:firstLine="0"/>
              <w:jc w:val="center"/>
            </w:pPr>
            <w:r>
              <w:rPr>
                <w:rFonts w:ascii="Arial" w:eastAsia="Arial" w:hAnsi="Arial" w:cs="Arial"/>
                <w:sz w:val="16"/>
              </w:rPr>
              <w:t xml:space="preserve"> </w:t>
            </w:r>
          </w:p>
        </w:tc>
        <w:tc>
          <w:tcPr>
            <w:tcW w:w="1609" w:type="dxa"/>
            <w:gridSpan w:val="2"/>
            <w:tcBorders>
              <w:top w:val="single" w:sz="6" w:space="0" w:color="000000"/>
              <w:left w:val="single" w:sz="6" w:space="0" w:color="000000"/>
              <w:bottom w:val="single" w:sz="6" w:space="0" w:color="000000"/>
              <w:right w:val="single" w:sz="6" w:space="0" w:color="000000"/>
            </w:tcBorders>
            <w:shd w:val="clear" w:color="auto" w:fill="A6A6A6"/>
            <w:vAlign w:val="center"/>
          </w:tcPr>
          <w:p w14:paraId="10D24976" w14:textId="77777777" w:rsidR="000B3C5C" w:rsidRDefault="00ED192D">
            <w:pPr>
              <w:spacing w:after="0" w:line="259" w:lineRule="auto"/>
              <w:ind w:left="93" w:firstLine="0"/>
              <w:jc w:val="center"/>
            </w:pPr>
            <w:r>
              <w:rPr>
                <w:rFonts w:ascii="Arial" w:eastAsia="Arial" w:hAnsi="Arial" w:cs="Arial"/>
                <w:sz w:val="16"/>
              </w:rPr>
              <w:t xml:space="preserve"> </w:t>
            </w:r>
          </w:p>
        </w:tc>
        <w:tc>
          <w:tcPr>
            <w:tcW w:w="951" w:type="dxa"/>
            <w:tcBorders>
              <w:top w:val="single" w:sz="6" w:space="0" w:color="000000"/>
              <w:left w:val="single" w:sz="6" w:space="0" w:color="000000"/>
              <w:bottom w:val="single" w:sz="6" w:space="0" w:color="000000"/>
              <w:right w:val="single" w:sz="6" w:space="0" w:color="000000"/>
            </w:tcBorders>
            <w:shd w:val="clear" w:color="auto" w:fill="A6A6A6"/>
          </w:tcPr>
          <w:p w14:paraId="6E58E3E5" w14:textId="77777777" w:rsidR="000B3C5C" w:rsidRDefault="00ED192D">
            <w:pPr>
              <w:spacing w:after="0" w:line="259" w:lineRule="auto"/>
              <w:ind w:left="107" w:firstLine="0"/>
            </w:pPr>
            <w:r>
              <w:rPr>
                <w:rFonts w:ascii="Arial" w:eastAsia="Arial" w:hAnsi="Arial" w:cs="Arial"/>
                <w:sz w:val="16"/>
              </w:rPr>
              <w:t xml:space="preserve"> </w:t>
            </w:r>
          </w:p>
        </w:tc>
        <w:tc>
          <w:tcPr>
            <w:tcW w:w="1177" w:type="dxa"/>
            <w:gridSpan w:val="2"/>
            <w:tcBorders>
              <w:top w:val="single" w:sz="6" w:space="0" w:color="000000"/>
              <w:left w:val="single" w:sz="6" w:space="0" w:color="000000"/>
              <w:bottom w:val="single" w:sz="6" w:space="0" w:color="000000"/>
              <w:right w:val="single" w:sz="4" w:space="0" w:color="000000"/>
            </w:tcBorders>
          </w:tcPr>
          <w:p w14:paraId="632BB296" w14:textId="77777777" w:rsidR="000B3C5C" w:rsidRDefault="00ED192D">
            <w:pPr>
              <w:spacing w:after="6" w:line="240" w:lineRule="auto"/>
              <w:ind w:left="354" w:right="83" w:hanging="245"/>
              <w:jc w:val="both"/>
            </w:pPr>
            <w:r>
              <w:rPr>
                <w:rFonts w:ascii="Arial" w:eastAsia="Arial" w:hAnsi="Arial" w:cs="Arial"/>
                <w:i/>
                <w:sz w:val="18"/>
              </w:rPr>
              <w:t xml:space="preserve">c </w:t>
            </w:r>
            <w:r>
              <w:rPr>
                <w:rFonts w:ascii="Arial" w:eastAsia="Arial" w:hAnsi="Arial" w:cs="Arial"/>
                <w:sz w:val="18"/>
              </w:rPr>
              <w:t xml:space="preserve">evaluation not applicable for Cohort </w:t>
            </w:r>
          </w:p>
          <w:p w14:paraId="1E6F2200" w14:textId="77777777" w:rsidR="000B3C5C" w:rsidRDefault="00ED192D">
            <w:pPr>
              <w:spacing w:after="0" w:line="259" w:lineRule="auto"/>
              <w:ind w:left="353" w:firstLine="0"/>
            </w:pPr>
            <w:r>
              <w:rPr>
                <w:rFonts w:ascii="Arial" w:eastAsia="Arial" w:hAnsi="Arial" w:cs="Arial"/>
                <w:sz w:val="18"/>
              </w:rPr>
              <w:t>E</w:t>
            </w:r>
            <w:r>
              <w:rPr>
                <w:rFonts w:ascii="Arial" w:eastAsia="Arial" w:hAnsi="Arial" w:cs="Arial"/>
                <w:sz w:val="16"/>
              </w:rPr>
              <w:t xml:space="preserve"> </w:t>
            </w:r>
          </w:p>
        </w:tc>
      </w:tr>
      <w:tr w:rsidR="000B3C5C" w14:paraId="37B56B7F" w14:textId="77777777">
        <w:trPr>
          <w:trHeight w:val="500"/>
        </w:trPr>
        <w:tc>
          <w:tcPr>
            <w:tcW w:w="1580" w:type="dxa"/>
            <w:tcBorders>
              <w:top w:val="single" w:sz="6" w:space="0" w:color="000000"/>
              <w:left w:val="single" w:sz="4" w:space="0" w:color="000000"/>
              <w:bottom w:val="single" w:sz="6" w:space="0" w:color="000000"/>
              <w:right w:val="single" w:sz="6" w:space="0" w:color="000000"/>
            </w:tcBorders>
          </w:tcPr>
          <w:p w14:paraId="2216E292" w14:textId="77777777" w:rsidR="000B3C5C" w:rsidRDefault="00ED192D">
            <w:pPr>
              <w:spacing w:after="0" w:line="259" w:lineRule="auto"/>
              <w:ind w:left="108" w:firstLine="0"/>
            </w:pPr>
            <w:r>
              <w:rPr>
                <w:rFonts w:ascii="Arial" w:eastAsia="Arial" w:hAnsi="Arial" w:cs="Arial"/>
                <w:b/>
                <w:sz w:val="16"/>
              </w:rPr>
              <w:t>Atezolizumab Administration</w:t>
            </w:r>
            <w:r>
              <w:rPr>
                <w:rFonts w:ascii="Arial" w:eastAsia="Arial" w:hAnsi="Arial" w:cs="Arial"/>
                <w:b/>
                <w:color w:val="FF00FF"/>
                <w:sz w:val="16"/>
              </w:rPr>
              <w:t xml:space="preserve"> </w:t>
            </w:r>
          </w:p>
        </w:tc>
        <w:tc>
          <w:tcPr>
            <w:tcW w:w="601" w:type="dxa"/>
            <w:tcBorders>
              <w:top w:val="single" w:sz="6" w:space="0" w:color="000000"/>
              <w:left w:val="single" w:sz="6" w:space="0" w:color="000000"/>
              <w:bottom w:val="single" w:sz="6" w:space="0" w:color="000000"/>
              <w:right w:val="single" w:sz="6" w:space="0" w:color="000000"/>
            </w:tcBorders>
            <w:shd w:val="clear" w:color="auto" w:fill="A6A6A6"/>
          </w:tcPr>
          <w:p w14:paraId="62FEBBC6" w14:textId="77777777" w:rsidR="000B3C5C" w:rsidRDefault="00ED192D">
            <w:pPr>
              <w:spacing w:after="0" w:line="259" w:lineRule="auto"/>
              <w:ind w:left="107" w:firstLine="0"/>
              <w:jc w:val="center"/>
            </w:pPr>
            <w:r>
              <w:rPr>
                <w:rFonts w:ascii="Arial" w:eastAsia="Arial" w:hAnsi="Arial" w:cs="Arial"/>
                <w:sz w:val="16"/>
              </w:rPr>
              <w:t xml:space="preserve"> </w:t>
            </w:r>
          </w:p>
        </w:tc>
        <w:tc>
          <w:tcPr>
            <w:tcW w:w="73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617698BC" w14:textId="77777777" w:rsidR="000B3C5C" w:rsidRDefault="00ED192D">
            <w:pPr>
              <w:spacing w:after="0" w:line="259" w:lineRule="auto"/>
              <w:ind w:left="101" w:firstLine="0"/>
              <w:jc w:val="center"/>
            </w:pPr>
            <w:r>
              <w:rPr>
                <w:rFonts w:ascii="Arial" w:eastAsia="Arial" w:hAnsi="Arial" w:cs="Arial"/>
                <w:sz w:val="16"/>
              </w:rPr>
              <w:t xml:space="preserve"> </w:t>
            </w:r>
          </w:p>
        </w:tc>
        <w:tc>
          <w:tcPr>
            <w:tcW w:w="663" w:type="dxa"/>
            <w:tcBorders>
              <w:top w:val="single" w:sz="6" w:space="0" w:color="000000"/>
              <w:left w:val="single" w:sz="6" w:space="0" w:color="000000"/>
              <w:bottom w:val="single" w:sz="6" w:space="0" w:color="000000"/>
              <w:right w:val="single" w:sz="6" w:space="0" w:color="000000"/>
            </w:tcBorders>
            <w:vAlign w:val="center"/>
          </w:tcPr>
          <w:p w14:paraId="1DCE3D2A" w14:textId="77777777" w:rsidR="000B3C5C" w:rsidRDefault="00ED192D">
            <w:pPr>
              <w:spacing w:after="0" w:line="259" w:lineRule="auto"/>
              <w:ind w:left="65" w:firstLine="0"/>
              <w:jc w:val="center"/>
            </w:pPr>
            <w:r>
              <w:rPr>
                <w:rFonts w:ascii="Arial" w:eastAsia="Arial" w:hAnsi="Arial" w:cs="Arial"/>
                <w:sz w:val="16"/>
              </w:rPr>
              <w:t xml:space="preserve">X </w:t>
            </w:r>
          </w:p>
        </w:tc>
        <w:tc>
          <w:tcPr>
            <w:tcW w:w="60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0C0D3812" w14:textId="77777777" w:rsidR="000B3C5C" w:rsidRDefault="00ED192D">
            <w:pPr>
              <w:spacing w:after="0" w:line="259" w:lineRule="auto"/>
              <w:ind w:left="105"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722CCCC6" w14:textId="77777777" w:rsidR="000B3C5C" w:rsidRDefault="00ED192D">
            <w:pPr>
              <w:spacing w:after="0" w:line="259" w:lineRule="auto"/>
              <w:ind w:left="102" w:firstLine="0"/>
              <w:jc w:val="center"/>
            </w:pPr>
            <w:r>
              <w:rPr>
                <w:rFonts w:ascii="Arial" w:eastAsia="Arial" w:hAnsi="Arial" w:cs="Arial"/>
                <w:sz w:val="16"/>
              </w:rPr>
              <w:t xml:space="preserve"> </w:t>
            </w:r>
          </w:p>
        </w:tc>
        <w:tc>
          <w:tcPr>
            <w:tcW w:w="3170" w:type="dxa"/>
            <w:tcBorders>
              <w:top w:val="single" w:sz="6" w:space="0" w:color="000000"/>
              <w:left w:val="single" w:sz="6" w:space="0" w:color="000000"/>
              <w:bottom w:val="single" w:sz="6" w:space="0" w:color="000000"/>
              <w:right w:val="single" w:sz="6" w:space="0" w:color="000000"/>
            </w:tcBorders>
            <w:vAlign w:val="center"/>
          </w:tcPr>
          <w:p w14:paraId="3BB8B7A6" w14:textId="77777777" w:rsidR="000B3C5C" w:rsidRDefault="00ED192D">
            <w:pPr>
              <w:spacing w:after="0" w:line="259" w:lineRule="auto"/>
              <w:ind w:left="67" w:firstLine="0"/>
              <w:jc w:val="center"/>
            </w:pPr>
            <w:r>
              <w:rPr>
                <w:rFonts w:ascii="Arial" w:eastAsia="Arial" w:hAnsi="Arial" w:cs="Arial"/>
                <w:sz w:val="16"/>
              </w:rPr>
              <w:t xml:space="preserve">X </w:t>
            </w:r>
          </w:p>
        </w:tc>
        <w:tc>
          <w:tcPr>
            <w:tcW w:w="1289"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386A2E8D" w14:textId="77777777" w:rsidR="000B3C5C" w:rsidRDefault="00ED192D">
            <w:pPr>
              <w:spacing w:after="0" w:line="259" w:lineRule="auto"/>
              <w:ind w:left="117" w:firstLine="0"/>
              <w:jc w:val="center"/>
            </w:pPr>
            <w:r>
              <w:rPr>
                <w:rFonts w:ascii="Arial" w:eastAsia="Arial" w:hAnsi="Arial" w:cs="Arial"/>
                <w:sz w:val="16"/>
              </w:rPr>
              <w:t xml:space="preserve"> </w:t>
            </w:r>
          </w:p>
        </w:tc>
        <w:tc>
          <w:tcPr>
            <w:tcW w:w="137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5C88A97E" w14:textId="77777777" w:rsidR="000B3C5C" w:rsidRDefault="00ED192D">
            <w:pPr>
              <w:spacing w:after="0" w:line="259" w:lineRule="auto"/>
              <w:ind w:left="108" w:firstLine="0"/>
              <w:jc w:val="center"/>
            </w:pPr>
            <w:r>
              <w:rPr>
                <w:rFonts w:ascii="Arial" w:eastAsia="Arial" w:hAnsi="Arial" w:cs="Arial"/>
                <w:sz w:val="16"/>
              </w:rPr>
              <w:t xml:space="preserve"> </w:t>
            </w:r>
          </w:p>
        </w:tc>
        <w:tc>
          <w:tcPr>
            <w:tcW w:w="1609" w:type="dxa"/>
            <w:gridSpan w:val="2"/>
            <w:tcBorders>
              <w:top w:val="single" w:sz="6" w:space="0" w:color="000000"/>
              <w:left w:val="single" w:sz="6" w:space="0" w:color="000000"/>
              <w:bottom w:val="single" w:sz="6" w:space="0" w:color="000000"/>
              <w:right w:val="single" w:sz="6" w:space="0" w:color="000000"/>
            </w:tcBorders>
            <w:shd w:val="clear" w:color="auto" w:fill="A6A6A6"/>
            <w:vAlign w:val="center"/>
          </w:tcPr>
          <w:p w14:paraId="01DB318D" w14:textId="77777777" w:rsidR="000B3C5C" w:rsidRDefault="00ED192D">
            <w:pPr>
              <w:spacing w:after="0" w:line="259" w:lineRule="auto"/>
              <w:ind w:left="93" w:firstLine="0"/>
              <w:jc w:val="center"/>
            </w:pPr>
            <w:r>
              <w:rPr>
                <w:rFonts w:ascii="Arial" w:eastAsia="Arial" w:hAnsi="Arial" w:cs="Arial"/>
                <w:sz w:val="16"/>
              </w:rPr>
              <w:t xml:space="preserve"> </w:t>
            </w:r>
          </w:p>
        </w:tc>
        <w:tc>
          <w:tcPr>
            <w:tcW w:w="95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51089B7B" w14:textId="77777777" w:rsidR="000B3C5C" w:rsidRDefault="00ED192D">
            <w:pPr>
              <w:spacing w:after="0" w:line="259" w:lineRule="auto"/>
              <w:ind w:left="101" w:firstLine="0"/>
              <w:jc w:val="center"/>
            </w:pPr>
            <w:r>
              <w:rPr>
                <w:rFonts w:ascii="Arial" w:eastAsia="Arial" w:hAnsi="Arial" w:cs="Arial"/>
                <w:sz w:val="16"/>
              </w:rPr>
              <w:t xml:space="preserve"> </w:t>
            </w:r>
          </w:p>
        </w:tc>
        <w:tc>
          <w:tcPr>
            <w:tcW w:w="1177" w:type="dxa"/>
            <w:gridSpan w:val="2"/>
            <w:tcBorders>
              <w:top w:val="single" w:sz="6" w:space="0" w:color="000000"/>
              <w:left w:val="single" w:sz="6" w:space="0" w:color="000000"/>
              <w:bottom w:val="single" w:sz="6" w:space="0" w:color="000000"/>
              <w:right w:val="single" w:sz="4" w:space="0" w:color="000000"/>
            </w:tcBorders>
          </w:tcPr>
          <w:p w14:paraId="52418C6F" w14:textId="77777777" w:rsidR="000B3C5C" w:rsidRDefault="00ED192D">
            <w:pPr>
              <w:spacing w:after="0" w:line="259" w:lineRule="auto"/>
              <w:ind w:left="109" w:firstLine="0"/>
            </w:pPr>
            <w:r>
              <w:rPr>
                <w:rFonts w:ascii="Arial" w:eastAsia="Arial" w:hAnsi="Arial" w:cs="Arial"/>
                <w:sz w:val="16"/>
              </w:rPr>
              <w:t xml:space="preserve"> </w:t>
            </w:r>
          </w:p>
        </w:tc>
      </w:tr>
      <w:tr w:rsidR="000B3C5C" w14:paraId="30BD194C" w14:textId="77777777">
        <w:trPr>
          <w:trHeight w:val="415"/>
        </w:trPr>
        <w:tc>
          <w:tcPr>
            <w:tcW w:w="1580" w:type="dxa"/>
            <w:vMerge w:val="restart"/>
            <w:tcBorders>
              <w:top w:val="single" w:sz="4" w:space="0" w:color="000000"/>
              <w:left w:val="single" w:sz="4" w:space="0" w:color="000000"/>
              <w:bottom w:val="single" w:sz="6" w:space="0" w:color="000000"/>
              <w:right w:val="single" w:sz="9" w:space="0" w:color="000000"/>
            </w:tcBorders>
            <w:vAlign w:val="center"/>
          </w:tcPr>
          <w:p w14:paraId="45E9B390" w14:textId="77777777" w:rsidR="000B3C5C" w:rsidRDefault="00ED192D">
            <w:pPr>
              <w:spacing w:after="0" w:line="259" w:lineRule="auto"/>
              <w:ind w:left="54" w:firstLine="0"/>
              <w:jc w:val="center"/>
            </w:pPr>
            <w:r>
              <w:rPr>
                <w:rFonts w:ascii="Arial" w:eastAsia="Arial" w:hAnsi="Arial" w:cs="Arial"/>
                <w:b/>
                <w:sz w:val="18"/>
              </w:rPr>
              <w:t xml:space="preserve">Evaluation </w:t>
            </w:r>
          </w:p>
        </w:tc>
        <w:tc>
          <w:tcPr>
            <w:tcW w:w="1336" w:type="dxa"/>
            <w:gridSpan w:val="2"/>
            <w:vMerge w:val="restart"/>
            <w:tcBorders>
              <w:top w:val="single" w:sz="4" w:space="0" w:color="000000"/>
              <w:left w:val="single" w:sz="9" w:space="0" w:color="000000"/>
              <w:bottom w:val="single" w:sz="4" w:space="0" w:color="000000"/>
              <w:right w:val="single" w:sz="9" w:space="0" w:color="000000"/>
            </w:tcBorders>
          </w:tcPr>
          <w:p w14:paraId="319A7FA5" w14:textId="77777777" w:rsidR="000B3C5C" w:rsidRDefault="00ED192D">
            <w:pPr>
              <w:spacing w:after="0" w:line="259" w:lineRule="auto"/>
              <w:ind w:left="54" w:firstLine="0"/>
              <w:jc w:val="center"/>
            </w:pPr>
            <w:r>
              <w:rPr>
                <w:rFonts w:ascii="Arial" w:eastAsia="Arial" w:hAnsi="Arial" w:cs="Arial"/>
                <w:b/>
                <w:sz w:val="18"/>
              </w:rPr>
              <w:t xml:space="preserve">Screening  </w:t>
            </w:r>
          </w:p>
          <w:p w14:paraId="0F1F98BD" w14:textId="77777777" w:rsidR="000B3C5C" w:rsidRDefault="00ED192D">
            <w:pPr>
              <w:spacing w:after="128" w:line="241" w:lineRule="auto"/>
              <w:ind w:left="154" w:right="103" w:firstLine="130"/>
              <w:jc w:val="both"/>
            </w:pPr>
            <w:r>
              <w:rPr>
                <w:rFonts w:ascii="Arial" w:eastAsia="Arial" w:hAnsi="Arial" w:cs="Arial"/>
                <w:b/>
                <w:sz w:val="18"/>
              </w:rPr>
              <w:t xml:space="preserve">(up to 28 days before Day 1) </w:t>
            </w:r>
          </w:p>
          <w:p w14:paraId="4A333C30" w14:textId="77777777" w:rsidR="000B3C5C" w:rsidRDefault="00ED192D">
            <w:pPr>
              <w:spacing w:after="0" w:line="259" w:lineRule="auto"/>
              <w:ind w:left="101" w:firstLine="0"/>
              <w:jc w:val="center"/>
            </w:pPr>
            <w:r>
              <w:rPr>
                <w:rFonts w:ascii="Arial" w:eastAsia="Arial" w:hAnsi="Arial" w:cs="Arial"/>
                <w:b/>
                <w:sz w:val="18"/>
              </w:rPr>
              <w:t xml:space="preserve"> </w:t>
            </w:r>
          </w:p>
        </w:tc>
        <w:tc>
          <w:tcPr>
            <w:tcW w:w="663" w:type="dxa"/>
            <w:vMerge w:val="restart"/>
            <w:tcBorders>
              <w:top w:val="single" w:sz="4" w:space="0" w:color="000000"/>
              <w:left w:val="single" w:sz="9" w:space="0" w:color="000000"/>
              <w:bottom w:val="single" w:sz="4" w:space="0" w:color="000000"/>
              <w:right w:val="nil"/>
            </w:tcBorders>
          </w:tcPr>
          <w:p w14:paraId="2A98D9C0" w14:textId="77777777" w:rsidR="000B3C5C" w:rsidRDefault="000B3C5C">
            <w:pPr>
              <w:spacing w:after="160" w:line="259" w:lineRule="auto"/>
              <w:ind w:left="0" w:firstLine="0"/>
            </w:pPr>
          </w:p>
        </w:tc>
        <w:tc>
          <w:tcPr>
            <w:tcW w:w="4359" w:type="dxa"/>
            <w:gridSpan w:val="3"/>
            <w:vMerge w:val="restart"/>
            <w:tcBorders>
              <w:top w:val="single" w:sz="4" w:space="0" w:color="000000"/>
              <w:left w:val="nil"/>
              <w:bottom w:val="single" w:sz="4" w:space="0" w:color="000000"/>
              <w:right w:val="single" w:sz="6" w:space="0" w:color="000000"/>
            </w:tcBorders>
          </w:tcPr>
          <w:p w14:paraId="44E66C32" w14:textId="77777777" w:rsidR="000B3C5C" w:rsidRDefault="00ED192D">
            <w:pPr>
              <w:spacing w:after="0" w:line="259" w:lineRule="auto"/>
              <w:ind w:left="1068" w:firstLine="0"/>
            </w:pPr>
            <w:r>
              <w:rPr>
                <w:rFonts w:ascii="Arial" w:eastAsia="Arial" w:hAnsi="Arial" w:cs="Arial"/>
                <w:b/>
                <w:sz w:val="18"/>
              </w:rPr>
              <w:t>Treatment Phase</w:t>
            </w:r>
            <w:r>
              <w:rPr>
                <w:rFonts w:ascii="Arial" w:eastAsia="Arial" w:hAnsi="Arial" w:cs="Arial"/>
                <w:b/>
                <w:i/>
                <w:color w:val="0000FF"/>
                <w:sz w:val="28"/>
                <w:vertAlign w:val="superscript"/>
              </w:rPr>
              <w:t>a</w:t>
            </w:r>
            <w:r>
              <w:rPr>
                <w:rFonts w:ascii="Arial" w:eastAsia="Arial" w:hAnsi="Arial" w:cs="Arial"/>
                <w:b/>
                <w:sz w:val="20"/>
              </w:rPr>
              <w:t xml:space="preserve"> </w:t>
            </w:r>
          </w:p>
        </w:tc>
        <w:tc>
          <w:tcPr>
            <w:tcW w:w="1289" w:type="dxa"/>
            <w:vMerge w:val="restart"/>
            <w:tcBorders>
              <w:top w:val="single" w:sz="4" w:space="0" w:color="000000"/>
              <w:left w:val="single" w:sz="6" w:space="0" w:color="000000"/>
              <w:bottom w:val="single" w:sz="4" w:space="0" w:color="000000"/>
              <w:right w:val="single" w:sz="6" w:space="0" w:color="000000"/>
            </w:tcBorders>
          </w:tcPr>
          <w:p w14:paraId="56D1A503" w14:textId="77777777" w:rsidR="000B3C5C" w:rsidRDefault="00ED192D">
            <w:pPr>
              <w:spacing w:after="0" w:line="259" w:lineRule="auto"/>
              <w:ind w:left="54" w:firstLine="0"/>
              <w:jc w:val="center"/>
            </w:pPr>
            <w:r>
              <w:rPr>
                <w:rFonts w:ascii="Arial" w:eastAsia="Arial" w:hAnsi="Arial" w:cs="Arial"/>
                <w:b/>
                <w:sz w:val="18"/>
              </w:rPr>
              <w:t xml:space="preserve">End of </w:t>
            </w:r>
          </w:p>
          <w:p w14:paraId="43B43EAE" w14:textId="77777777" w:rsidR="000B3C5C" w:rsidRDefault="00ED192D">
            <w:pPr>
              <w:spacing w:after="0" w:line="259" w:lineRule="auto"/>
              <w:ind w:left="53" w:firstLine="0"/>
              <w:jc w:val="center"/>
            </w:pPr>
            <w:r>
              <w:rPr>
                <w:rFonts w:ascii="Arial" w:eastAsia="Arial" w:hAnsi="Arial" w:cs="Arial"/>
                <w:b/>
                <w:sz w:val="18"/>
              </w:rPr>
              <w:t xml:space="preserve">Treatment  </w:t>
            </w:r>
          </w:p>
          <w:p w14:paraId="74D563D6" w14:textId="77777777" w:rsidR="000B3C5C" w:rsidRDefault="00ED192D">
            <w:pPr>
              <w:spacing w:after="0" w:line="259" w:lineRule="auto"/>
              <w:ind w:left="54" w:firstLine="0"/>
              <w:jc w:val="center"/>
            </w:pPr>
            <w:r>
              <w:rPr>
                <w:rFonts w:ascii="Arial" w:eastAsia="Arial" w:hAnsi="Arial" w:cs="Arial"/>
                <w:b/>
                <w:sz w:val="18"/>
              </w:rPr>
              <w:t xml:space="preserve">(EOT) </w:t>
            </w:r>
          </w:p>
        </w:tc>
        <w:tc>
          <w:tcPr>
            <w:tcW w:w="3934" w:type="dxa"/>
            <w:gridSpan w:val="4"/>
            <w:vMerge w:val="restart"/>
            <w:tcBorders>
              <w:top w:val="single" w:sz="4" w:space="0" w:color="000000"/>
              <w:left w:val="single" w:sz="6" w:space="0" w:color="000000"/>
              <w:bottom w:val="single" w:sz="4" w:space="0" w:color="000000"/>
              <w:right w:val="single" w:sz="6" w:space="0" w:color="000000"/>
            </w:tcBorders>
            <w:vAlign w:val="center"/>
          </w:tcPr>
          <w:p w14:paraId="396405A6" w14:textId="77777777" w:rsidR="000B3C5C" w:rsidRDefault="00ED192D">
            <w:pPr>
              <w:spacing w:after="0" w:line="259" w:lineRule="auto"/>
              <w:ind w:left="75" w:firstLine="0"/>
              <w:jc w:val="center"/>
            </w:pPr>
            <w:r>
              <w:rPr>
                <w:rFonts w:ascii="Arial" w:eastAsia="Arial" w:hAnsi="Arial" w:cs="Arial"/>
                <w:b/>
                <w:sz w:val="18"/>
              </w:rPr>
              <w:t xml:space="preserve">Post Treatment Follow-up Phase </w:t>
            </w:r>
          </w:p>
        </w:tc>
        <w:tc>
          <w:tcPr>
            <w:tcW w:w="310" w:type="dxa"/>
            <w:tcBorders>
              <w:top w:val="single" w:sz="4" w:space="0" w:color="000000"/>
              <w:left w:val="single" w:sz="6" w:space="0" w:color="000000"/>
              <w:bottom w:val="single" w:sz="4" w:space="0" w:color="000000"/>
              <w:right w:val="nil"/>
            </w:tcBorders>
          </w:tcPr>
          <w:p w14:paraId="4D39835A" w14:textId="77777777" w:rsidR="000B3C5C" w:rsidRDefault="000B3C5C">
            <w:pPr>
              <w:spacing w:after="160" w:line="259" w:lineRule="auto"/>
              <w:ind w:left="0" w:firstLine="0"/>
            </w:pPr>
          </w:p>
        </w:tc>
        <w:tc>
          <w:tcPr>
            <w:tcW w:w="867" w:type="dxa"/>
            <w:tcBorders>
              <w:top w:val="single" w:sz="4" w:space="0" w:color="000000"/>
              <w:left w:val="nil"/>
              <w:bottom w:val="single" w:sz="4" w:space="0" w:color="000000"/>
              <w:right w:val="single" w:sz="4" w:space="0" w:color="000000"/>
            </w:tcBorders>
          </w:tcPr>
          <w:p w14:paraId="3270E990" w14:textId="77777777" w:rsidR="000B3C5C" w:rsidRDefault="00ED192D">
            <w:pPr>
              <w:spacing w:after="0" w:line="259" w:lineRule="auto"/>
              <w:ind w:left="0" w:firstLine="0"/>
            </w:pPr>
            <w:r>
              <w:rPr>
                <w:rFonts w:ascii="Arial" w:eastAsia="Arial" w:hAnsi="Arial" w:cs="Arial"/>
                <w:b/>
                <w:sz w:val="20"/>
              </w:rPr>
              <w:t xml:space="preserve">Notes </w:t>
            </w:r>
          </w:p>
        </w:tc>
      </w:tr>
      <w:tr w:rsidR="000B3C5C" w14:paraId="28B775D6" w14:textId="77777777">
        <w:trPr>
          <w:trHeight w:val="542"/>
        </w:trPr>
        <w:tc>
          <w:tcPr>
            <w:tcW w:w="0" w:type="auto"/>
            <w:vMerge/>
            <w:tcBorders>
              <w:top w:val="nil"/>
              <w:left w:val="single" w:sz="4" w:space="0" w:color="000000"/>
              <w:bottom w:val="nil"/>
              <w:right w:val="single" w:sz="9" w:space="0" w:color="000000"/>
            </w:tcBorders>
          </w:tcPr>
          <w:p w14:paraId="6180463C" w14:textId="77777777" w:rsidR="000B3C5C" w:rsidRDefault="000B3C5C">
            <w:pPr>
              <w:spacing w:after="160" w:line="259" w:lineRule="auto"/>
              <w:ind w:left="0" w:firstLine="0"/>
            </w:pPr>
          </w:p>
        </w:tc>
        <w:tc>
          <w:tcPr>
            <w:tcW w:w="0" w:type="auto"/>
            <w:gridSpan w:val="2"/>
            <w:vMerge/>
            <w:tcBorders>
              <w:top w:val="nil"/>
              <w:left w:val="single" w:sz="9" w:space="0" w:color="000000"/>
              <w:bottom w:val="nil"/>
              <w:right w:val="single" w:sz="9" w:space="0" w:color="000000"/>
            </w:tcBorders>
          </w:tcPr>
          <w:p w14:paraId="11134C88" w14:textId="77777777" w:rsidR="000B3C5C" w:rsidRDefault="000B3C5C">
            <w:pPr>
              <w:spacing w:after="160" w:line="259" w:lineRule="auto"/>
              <w:ind w:left="0" w:firstLine="0"/>
            </w:pPr>
          </w:p>
        </w:tc>
        <w:tc>
          <w:tcPr>
            <w:tcW w:w="0" w:type="auto"/>
            <w:vMerge/>
            <w:tcBorders>
              <w:top w:val="nil"/>
              <w:left w:val="single" w:sz="9" w:space="0" w:color="000000"/>
              <w:bottom w:val="single" w:sz="4" w:space="0" w:color="000000"/>
              <w:right w:val="nil"/>
            </w:tcBorders>
          </w:tcPr>
          <w:p w14:paraId="2C6BC3FD" w14:textId="77777777" w:rsidR="000B3C5C" w:rsidRDefault="000B3C5C">
            <w:pPr>
              <w:spacing w:after="160" w:line="259" w:lineRule="auto"/>
              <w:ind w:left="0" w:firstLine="0"/>
            </w:pPr>
          </w:p>
        </w:tc>
        <w:tc>
          <w:tcPr>
            <w:tcW w:w="0" w:type="auto"/>
            <w:gridSpan w:val="3"/>
            <w:vMerge/>
            <w:tcBorders>
              <w:top w:val="nil"/>
              <w:left w:val="nil"/>
              <w:bottom w:val="single" w:sz="4" w:space="0" w:color="000000"/>
              <w:right w:val="single" w:sz="6" w:space="0" w:color="000000"/>
            </w:tcBorders>
          </w:tcPr>
          <w:p w14:paraId="3D4A9ECC" w14:textId="77777777" w:rsidR="000B3C5C" w:rsidRDefault="000B3C5C">
            <w:pPr>
              <w:spacing w:after="160" w:line="259" w:lineRule="auto"/>
              <w:ind w:left="0" w:firstLine="0"/>
            </w:pPr>
          </w:p>
        </w:tc>
        <w:tc>
          <w:tcPr>
            <w:tcW w:w="0" w:type="auto"/>
            <w:vMerge/>
            <w:tcBorders>
              <w:top w:val="nil"/>
              <w:left w:val="single" w:sz="6" w:space="0" w:color="000000"/>
              <w:bottom w:val="single" w:sz="4" w:space="0" w:color="000000"/>
              <w:right w:val="single" w:sz="6" w:space="0" w:color="000000"/>
            </w:tcBorders>
          </w:tcPr>
          <w:p w14:paraId="72BAC26F" w14:textId="77777777" w:rsidR="000B3C5C" w:rsidRDefault="000B3C5C">
            <w:pPr>
              <w:spacing w:after="160" w:line="259" w:lineRule="auto"/>
              <w:ind w:left="0" w:firstLine="0"/>
            </w:pPr>
          </w:p>
        </w:tc>
        <w:tc>
          <w:tcPr>
            <w:tcW w:w="0" w:type="auto"/>
            <w:gridSpan w:val="4"/>
            <w:vMerge/>
            <w:tcBorders>
              <w:top w:val="nil"/>
              <w:left w:val="single" w:sz="6" w:space="0" w:color="000000"/>
              <w:bottom w:val="single" w:sz="4" w:space="0" w:color="000000"/>
              <w:right w:val="single" w:sz="6" w:space="0" w:color="000000"/>
            </w:tcBorders>
          </w:tcPr>
          <w:p w14:paraId="01C223B9" w14:textId="77777777" w:rsidR="000B3C5C" w:rsidRDefault="000B3C5C">
            <w:pPr>
              <w:spacing w:after="160" w:line="259" w:lineRule="auto"/>
              <w:ind w:left="0" w:firstLine="0"/>
            </w:pPr>
          </w:p>
        </w:tc>
        <w:tc>
          <w:tcPr>
            <w:tcW w:w="310" w:type="dxa"/>
            <w:vMerge w:val="restart"/>
            <w:tcBorders>
              <w:top w:val="single" w:sz="4" w:space="0" w:color="000000"/>
              <w:left w:val="single" w:sz="6" w:space="0" w:color="000000"/>
              <w:bottom w:val="single" w:sz="6" w:space="0" w:color="000000"/>
              <w:right w:val="nil"/>
            </w:tcBorders>
          </w:tcPr>
          <w:p w14:paraId="0FE12C61" w14:textId="77777777" w:rsidR="000B3C5C" w:rsidRDefault="00ED192D">
            <w:pPr>
              <w:spacing w:after="300" w:line="259" w:lineRule="auto"/>
              <w:ind w:left="121" w:firstLine="0"/>
            </w:pPr>
            <w:r>
              <w:rPr>
                <w:rFonts w:ascii="Arial" w:eastAsia="Arial" w:hAnsi="Arial" w:cs="Arial"/>
                <w:i/>
                <w:sz w:val="18"/>
              </w:rPr>
              <w:t xml:space="preserve">a </w:t>
            </w:r>
          </w:p>
          <w:p w14:paraId="4C70333F" w14:textId="77777777" w:rsidR="000B3C5C" w:rsidRDefault="00ED192D">
            <w:pPr>
              <w:spacing w:after="0" w:line="259" w:lineRule="auto"/>
              <w:ind w:left="25" w:firstLine="0"/>
              <w:jc w:val="center"/>
            </w:pPr>
            <w:r>
              <w:rPr>
                <w:rFonts w:ascii="Arial" w:eastAsia="Arial" w:hAnsi="Arial" w:cs="Arial"/>
                <w:sz w:val="16"/>
              </w:rPr>
              <w:t xml:space="preserve"> </w:t>
            </w:r>
          </w:p>
        </w:tc>
        <w:tc>
          <w:tcPr>
            <w:tcW w:w="867" w:type="dxa"/>
            <w:vMerge w:val="restart"/>
            <w:tcBorders>
              <w:top w:val="single" w:sz="4" w:space="0" w:color="000000"/>
              <w:left w:val="nil"/>
              <w:bottom w:val="single" w:sz="6" w:space="0" w:color="000000"/>
              <w:right w:val="single" w:sz="4" w:space="0" w:color="000000"/>
            </w:tcBorders>
          </w:tcPr>
          <w:p w14:paraId="076AD69A" w14:textId="77777777" w:rsidR="000B3C5C" w:rsidRDefault="00ED192D">
            <w:pPr>
              <w:spacing w:after="0" w:line="259" w:lineRule="auto"/>
              <w:ind w:left="43" w:firstLine="0"/>
            </w:pPr>
            <w:r>
              <w:rPr>
                <w:rFonts w:ascii="Arial" w:eastAsia="Arial" w:hAnsi="Arial" w:cs="Arial"/>
                <w:sz w:val="18"/>
              </w:rPr>
              <w:t xml:space="preserve"> A cycle is 21 days </w:t>
            </w:r>
          </w:p>
        </w:tc>
      </w:tr>
      <w:tr w:rsidR="000B3C5C" w14:paraId="61A34DF7" w14:textId="77777777">
        <w:trPr>
          <w:trHeight w:val="547"/>
        </w:trPr>
        <w:tc>
          <w:tcPr>
            <w:tcW w:w="0" w:type="auto"/>
            <w:vMerge/>
            <w:tcBorders>
              <w:top w:val="nil"/>
              <w:left w:val="single" w:sz="4" w:space="0" w:color="000000"/>
              <w:bottom w:val="nil"/>
              <w:right w:val="single" w:sz="9" w:space="0" w:color="000000"/>
            </w:tcBorders>
          </w:tcPr>
          <w:p w14:paraId="21306CCF" w14:textId="77777777" w:rsidR="000B3C5C" w:rsidRDefault="000B3C5C">
            <w:pPr>
              <w:spacing w:after="160" w:line="259" w:lineRule="auto"/>
              <w:ind w:left="0" w:firstLine="0"/>
            </w:pPr>
          </w:p>
        </w:tc>
        <w:tc>
          <w:tcPr>
            <w:tcW w:w="0" w:type="auto"/>
            <w:gridSpan w:val="2"/>
            <w:vMerge/>
            <w:tcBorders>
              <w:top w:val="nil"/>
              <w:left w:val="single" w:sz="9" w:space="0" w:color="000000"/>
              <w:bottom w:val="single" w:sz="4" w:space="0" w:color="000000"/>
              <w:right w:val="single" w:sz="9" w:space="0" w:color="000000"/>
            </w:tcBorders>
          </w:tcPr>
          <w:p w14:paraId="59CB0169" w14:textId="77777777" w:rsidR="000B3C5C" w:rsidRDefault="000B3C5C">
            <w:pPr>
              <w:spacing w:after="160" w:line="259" w:lineRule="auto"/>
              <w:ind w:left="0" w:firstLine="0"/>
            </w:pPr>
          </w:p>
        </w:tc>
        <w:tc>
          <w:tcPr>
            <w:tcW w:w="663" w:type="dxa"/>
            <w:tcBorders>
              <w:top w:val="single" w:sz="4" w:space="0" w:color="000000"/>
              <w:left w:val="single" w:sz="9" w:space="0" w:color="000000"/>
              <w:bottom w:val="single" w:sz="6" w:space="0" w:color="000000"/>
              <w:right w:val="nil"/>
            </w:tcBorders>
          </w:tcPr>
          <w:p w14:paraId="5C020C88" w14:textId="77777777" w:rsidR="000B3C5C" w:rsidRDefault="000B3C5C">
            <w:pPr>
              <w:spacing w:after="160" w:line="259" w:lineRule="auto"/>
              <w:ind w:left="0" w:firstLine="0"/>
            </w:pPr>
          </w:p>
        </w:tc>
        <w:tc>
          <w:tcPr>
            <w:tcW w:w="1189" w:type="dxa"/>
            <w:gridSpan w:val="2"/>
            <w:tcBorders>
              <w:top w:val="single" w:sz="4" w:space="0" w:color="000000"/>
              <w:left w:val="nil"/>
              <w:bottom w:val="single" w:sz="6" w:space="0" w:color="000000"/>
              <w:right w:val="single" w:sz="6" w:space="0" w:color="000000"/>
            </w:tcBorders>
          </w:tcPr>
          <w:p w14:paraId="55A7B31E" w14:textId="77777777" w:rsidR="000B3C5C" w:rsidRDefault="00ED192D">
            <w:pPr>
              <w:spacing w:after="0" w:line="259" w:lineRule="auto"/>
              <w:ind w:left="-65" w:firstLine="0"/>
            </w:pPr>
            <w:r>
              <w:rPr>
                <w:rFonts w:ascii="Arial" w:eastAsia="Arial" w:hAnsi="Arial" w:cs="Arial"/>
                <w:b/>
                <w:sz w:val="18"/>
              </w:rPr>
              <w:t xml:space="preserve">Cycle 1 </w:t>
            </w:r>
          </w:p>
        </w:tc>
        <w:tc>
          <w:tcPr>
            <w:tcW w:w="3170" w:type="dxa"/>
            <w:tcBorders>
              <w:top w:val="single" w:sz="4" w:space="0" w:color="000000"/>
              <w:left w:val="single" w:sz="6" w:space="0" w:color="000000"/>
              <w:bottom w:val="single" w:sz="4" w:space="0" w:color="000000"/>
              <w:right w:val="single" w:sz="6" w:space="0" w:color="000000"/>
            </w:tcBorders>
          </w:tcPr>
          <w:p w14:paraId="1D8F6D74" w14:textId="77777777" w:rsidR="000B3C5C" w:rsidRDefault="00ED192D">
            <w:pPr>
              <w:spacing w:after="0" w:line="259" w:lineRule="auto"/>
              <w:ind w:left="55" w:firstLine="0"/>
              <w:jc w:val="center"/>
            </w:pPr>
            <w:r>
              <w:rPr>
                <w:rFonts w:ascii="Arial" w:eastAsia="Arial" w:hAnsi="Arial" w:cs="Arial"/>
                <w:b/>
                <w:sz w:val="18"/>
              </w:rPr>
              <w:t xml:space="preserve">Cycle 2 and Beyond </w:t>
            </w:r>
          </w:p>
        </w:tc>
        <w:tc>
          <w:tcPr>
            <w:tcW w:w="1289" w:type="dxa"/>
            <w:tcBorders>
              <w:top w:val="single" w:sz="4" w:space="0" w:color="000000"/>
              <w:left w:val="single" w:sz="6" w:space="0" w:color="000000"/>
              <w:bottom w:val="single" w:sz="4" w:space="0" w:color="000000"/>
              <w:right w:val="single" w:sz="6" w:space="0" w:color="000000"/>
            </w:tcBorders>
          </w:tcPr>
          <w:p w14:paraId="2266AFAB" w14:textId="77777777" w:rsidR="000B3C5C" w:rsidRDefault="00ED192D">
            <w:pPr>
              <w:spacing w:after="0" w:line="259" w:lineRule="auto"/>
              <w:ind w:left="104" w:firstLine="0"/>
              <w:jc w:val="center"/>
            </w:pPr>
            <w:r>
              <w:rPr>
                <w:rFonts w:ascii="Arial" w:eastAsia="Arial" w:hAnsi="Arial" w:cs="Arial"/>
                <w:b/>
                <w:sz w:val="18"/>
              </w:rPr>
              <w:t xml:space="preserve"> </w:t>
            </w:r>
          </w:p>
        </w:tc>
        <w:tc>
          <w:tcPr>
            <w:tcW w:w="2525" w:type="dxa"/>
            <w:gridSpan w:val="2"/>
            <w:tcBorders>
              <w:top w:val="single" w:sz="4" w:space="0" w:color="000000"/>
              <w:left w:val="single" w:sz="6" w:space="0" w:color="000000"/>
              <w:bottom w:val="single" w:sz="4" w:space="0" w:color="000000"/>
              <w:right w:val="single" w:sz="6" w:space="0" w:color="000000"/>
            </w:tcBorders>
          </w:tcPr>
          <w:p w14:paraId="586DF342" w14:textId="77777777" w:rsidR="000B3C5C" w:rsidRDefault="00ED192D">
            <w:pPr>
              <w:spacing w:after="0" w:line="259" w:lineRule="auto"/>
              <w:ind w:left="58" w:firstLine="0"/>
              <w:jc w:val="center"/>
            </w:pPr>
            <w:r>
              <w:rPr>
                <w:rFonts w:ascii="Arial" w:eastAsia="Arial" w:hAnsi="Arial" w:cs="Arial"/>
                <w:b/>
                <w:sz w:val="18"/>
              </w:rPr>
              <w:t xml:space="preserve">Safety follow-up Period </w:t>
            </w:r>
          </w:p>
        </w:tc>
        <w:tc>
          <w:tcPr>
            <w:tcW w:w="1409" w:type="dxa"/>
            <w:gridSpan w:val="2"/>
            <w:tcBorders>
              <w:top w:val="single" w:sz="4" w:space="0" w:color="000000"/>
              <w:left w:val="single" w:sz="6" w:space="0" w:color="000000"/>
              <w:bottom w:val="single" w:sz="4" w:space="0" w:color="000000"/>
              <w:right w:val="single" w:sz="6" w:space="0" w:color="000000"/>
            </w:tcBorders>
          </w:tcPr>
          <w:p w14:paraId="0D1A1767" w14:textId="77777777" w:rsidR="000B3C5C" w:rsidRDefault="00ED192D">
            <w:pPr>
              <w:spacing w:after="0" w:line="259" w:lineRule="auto"/>
              <w:ind w:left="0" w:firstLine="0"/>
              <w:jc w:val="center"/>
            </w:pPr>
            <w:r>
              <w:rPr>
                <w:rFonts w:ascii="Arial" w:eastAsia="Arial" w:hAnsi="Arial" w:cs="Arial"/>
                <w:b/>
                <w:sz w:val="18"/>
              </w:rPr>
              <w:t xml:space="preserve">Survival follow-up </w:t>
            </w:r>
          </w:p>
        </w:tc>
        <w:tc>
          <w:tcPr>
            <w:tcW w:w="0" w:type="auto"/>
            <w:vMerge/>
            <w:tcBorders>
              <w:top w:val="nil"/>
              <w:left w:val="single" w:sz="6" w:space="0" w:color="000000"/>
              <w:bottom w:val="nil"/>
              <w:right w:val="nil"/>
            </w:tcBorders>
          </w:tcPr>
          <w:p w14:paraId="3D007786" w14:textId="77777777" w:rsidR="000B3C5C" w:rsidRDefault="000B3C5C">
            <w:pPr>
              <w:spacing w:after="160" w:line="259" w:lineRule="auto"/>
              <w:ind w:left="0" w:firstLine="0"/>
            </w:pPr>
          </w:p>
        </w:tc>
        <w:tc>
          <w:tcPr>
            <w:tcW w:w="0" w:type="auto"/>
            <w:vMerge/>
            <w:tcBorders>
              <w:top w:val="nil"/>
              <w:left w:val="nil"/>
              <w:bottom w:val="nil"/>
              <w:right w:val="single" w:sz="4" w:space="0" w:color="000000"/>
            </w:tcBorders>
          </w:tcPr>
          <w:p w14:paraId="55F636DB" w14:textId="77777777" w:rsidR="000B3C5C" w:rsidRDefault="000B3C5C">
            <w:pPr>
              <w:spacing w:after="160" w:line="259" w:lineRule="auto"/>
              <w:ind w:left="0" w:firstLine="0"/>
            </w:pPr>
          </w:p>
        </w:tc>
      </w:tr>
      <w:tr w:rsidR="000B3C5C" w14:paraId="509FCC3D" w14:textId="77777777">
        <w:trPr>
          <w:trHeight w:val="1229"/>
        </w:trPr>
        <w:tc>
          <w:tcPr>
            <w:tcW w:w="0" w:type="auto"/>
            <w:vMerge/>
            <w:tcBorders>
              <w:top w:val="nil"/>
              <w:left w:val="single" w:sz="4" w:space="0" w:color="000000"/>
              <w:bottom w:val="single" w:sz="6" w:space="0" w:color="000000"/>
              <w:right w:val="single" w:sz="9" w:space="0" w:color="000000"/>
            </w:tcBorders>
          </w:tcPr>
          <w:p w14:paraId="50F2F7D6" w14:textId="77777777" w:rsidR="000B3C5C" w:rsidRDefault="000B3C5C">
            <w:pPr>
              <w:spacing w:after="160" w:line="259" w:lineRule="auto"/>
              <w:ind w:left="0" w:firstLine="0"/>
            </w:pPr>
          </w:p>
        </w:tc>
        <w:tc>
          <w:tcPr>
            <w:tcW w:w="601" w:type="dxa"/>
            <w:tcBorders>
              <w:top w:val="single" w:sz="4" w:space="0" w:color="000000"/>
              <w:left w:val="single" w:sz="9" w:space="0" w:color="000000"/>
              <w:bottom w:val="single" w:sz="6" w:space="0" w:color="000000"/>
              <w:right w:val="single" w:sz="6" w:space="0" w:color="000000"/>
            </w:tcBorders>
          </w:tcPr>
          <w:p w14:paraId="141AB74B" w14:textId="77777777" w:rsidR="000B3C5C" w:rsidRDefault="00ED192D">
            <w:pPr>
              <w:spacing w:after="59" w:line="241" w:lineRule="auto"/>
              <w:ind w:left="104" w:right="46" w:firstLine="0"/>
            </w:pPr>
            <w:r>
              <w:rPr>
                <w:rFonts w:ascii="Arial" w:eastAsia="Arial" w:hAnsi="Arial" w:cs="Arial"/>
                <w:b/>
                <w:sz w:val="18"/>
              </w:rPr>
              <w:t xml:space="preserve">D28 to </w:t>
            </w:r>
          </w:p>
          <w:p w14:paraId="5FF676F6" w14:textId="77777777" w:rsidR="000B3C5C" w:rsidRDefault="00ED192D">
            <w:pPr>
              <w:spacing w:after="0" w:line="259" w:lineRule="auto"/>
              <w:ind w:left="104" w:right="46" w:firstLine="0"/>
            </w:pPr>
            <w:r>
              <w:rPr>
                <w:rFonts w:ascii="Arial" w:eastAsia="Arial" w:hAnsi="Arial" w:cs="Arial"/>
                <w:b/>
                <w:sz w:val="18"/>
              </w:rPr>
              <w:t xml:space="preserve">D15 </w:t>
            </w:r>
          </w:p>
        </w:tc>
        <w:tc>
          <w:tcPr>
            <w:tcW w:w="735" w:type="dxa"/>
            <w:tcBorders>
              <w:top w:val="single" w:sz="4" w:space="0" w:color="000000"/>
              <w:left w:val="single" w:sz="6" w:space="0" w:color="000000"/>
              <w:bottom w:val="single" w:sz="6" w:space="0" w:color="000000"/>
              <w:right w:val="single" w:sz="9" w:space="0" w:color="000000"/>
            </w:tcBorders>
          </w:tcPr>
          <w:p w14:paraId="0D3E967C" w14:textId="77777777" w:rsidR="000B3C5C" w:rsidRDefault="00ED192D">
            <w:pPr>
              <w:spacing w:after="0" w:line="259" w:lineRule="auto"/>
              <w:ind w:left="100" w:right="54" w:firstLine="0"/>
            </w:pPr>
            <w:r>
              <w:rPr>
                <w:rFonts w:ascii="Arial" w:eastAsia="Arial" w:hAnsi="Arial" w:cs="Arial"/>
                <w:b/>
                <w:sz w:val="18"/>
              </w:rPr>
              <w:t xml:space="preserve">D-14 </w:t>
            </w:r>
            <w:r>
              <w:rPr>
                <w:rFonts w:ascii="Arial" w:eastAsia="Arial" w:hAnsi="Arial" w:cs="Arial"/>
                <w:b/>
                <w:sz w:val="18"/>
              </w:rPr>
              <w:t xml:space="preserve">to D-1 </w:t>
            </w:r>
          </w:p>
        </w:tc>
        <w:tc>
          <w:tcPr>
            <w:tcW w:w="663" w:type="dxa"/>
            <w:tcBorders>
              <w:top w:val="single" w:sz="6" w:space="0" w:color="000000"/>
              <w:left w:val="single" w:sz="9" w:space="0" w:color="000000"/>
              <w:bottom w:val="single" w:sz="6" w:space="0" w:color="000000"/>
              <w:right w:val="single" w:sz="6" w:space="0" w:color="000000"/>
            </w:tcBorders>
          </w:tcPr>
          <w:p w14:paraId="351FC1BA" w14:textId="77777777" w:rsidR="000B3C5C" w:rsidRDefault="00ED192D">
            <w:pPr>
              <w:spacing w:after="0" w:line="259" w:lineRule="auto"/>
              <w:ind w:left="102" w:firstLine="0"/>
            </w:pPr>
            <w:r>
              <w:rPr>
                <w:rFonts w:ascii="Arial" w:eastAsia="Arial" w:hAnsi="Arial" w:cs="Arial"/>
                <w:b/>
                <w:sz w:val="18"/>
              </w:rPr>
              <w:t>D1</w:t>
            </w:r>
            <w:r>
              <w:rPr>
                <w:rFonts w:ascii="Arial" w:eastAsia="Arial" w:hAnsi="Arial" w:cs="Arial"/>
                <w:b/>
                <w:sz w:val="20"/>
              </w:rPr>
              <w:t xml:space="preserve"> </w:t>
            </w:r>
          </w:p>
          <w:p w14:paraId="1E57DCA1" w14:textId="77777777" w:rsidR="000B3C5C" w:rsidRDefault="00ED192D">
            <w:pPr>
              <w:spacing w:after="0" w:line="259" w:lineRule="auto"/>
              <w:ind w:left="102" w:firstLine="0"/>
            </w:pPr>
            <w:r>
              <w:rPr>
                <w:rFonts w:ascii="Arial" w:eastAsia="Arial" w:hAnsi="Arial" w:cs="Arial"/>
                <w:b/>
                <w:sz w:val="20"/>
              </w:rPr>
              <w:t>(</w:t>
            </w:r>
            <w:r>
              <w:rPr>
                <w:rFonts w:ascii="Arial" w:eastAsia="Arial" w:hAnsi="Arial" w:cs="Arial"/>
                <w:b/>
                <w:sz w:val="18"/>
              </w:rPr>
              <w:t xml:space="preserve">±1) </w:t>
            </w:r>
          </w:p>
        </w:tc>
        <w:tc>
          <w:tcPr>
            <w:tcW w:w="601" w:type="dxa"/>
            <w:tcBorders>
              <w:top w:val="single" w:sz="6" w:space="0" w:color="000000"/>
              <w:left w:val="single" w:sz="6" w:space="0" w:color="000000"/>
              <w:bottom w:val="single" w:sz="6" w:space="0" w:color="000000"/>
              <w:right w:val="single" w:sz="6" w:space="0" w:color="000000"/>
            </w:tcBorders>
          </w:tcPr>
          <w:p w14:paraId="2BB7E115" w14:textId="77777777" w:rsidR="000B3C5C" w:rsidRDefault="00ED192D">
            <w:pPr>
              <w:spacing w:after="0" w:line="259" w:lineRule="auto"/>
              <w:ind w:left="108" w:firstLine="0"/>
            </w:pPr>
            <w:r>
              <w:rPr>
                <w:rFonts w:ascii="Arial" w:eastAsia="Arial" w:hAnsi="Arial" w:cs="Arial"/>
                <w:b/>
                <w:sz w:val="18"/>
              </w:rPr>
              <w:t xml:space="preserve">D8 </w:t>
            </w:r>
          </w:p>
          <w:p w14:paraId="4842BF3D" w14:textId="77777777" w:rsidR="000B3C5C" w:rsidRDefault="00ED192D">
            <w:pPr>
              <w:spacing w:after="0" w:line="259" w:lineRule="auto"/>
              <w:ind w:left="108" w:firstLine="0"/>
            </w:pPr>
            <w:r>
              <w:rPr>
                <w:rFonts w:ascii="Arial" w:eastAsia="Arial" w:hAnsi="Arial" w:cs="Arial"/>
                <w:b/>
                <w:sz w:val="18"/>
              </w:rPr>
              <w:t xml:space="preserve">(± 1) </w:t>
            </w:r>
          </w:p>
        </w:tc>
        <w:tc>
          <w:tcPr>
            <w:tcW w:w="588" w:type="dxa"/>
            <w:tcBorders>
              <w:top w:val="single" w:sz="6" w:space="0" w:color="000000"/>
              <w:left w:val="single" w:sz="6" w:space="0" w:color="000000"/>
              <w:bottom w:val="single" w:sz="6" w:space="0" w:color="000000"/>
              <w:right w:val="single" w:sz="6" w:space="0" w:color="000000"/>
            </w:tcBorders>
          </w:tcPr>
          <w:p w14:paraId="43AF747B" w14:textId="77777777" w:rsidR="000B3C5C" w:rsidRDefault="00ED192D">
            <w:pPr>
              <w:spacing w:after="43" w:line="259" w:lineRule="auto"/>
              <w:ind w:left="115" w:firstLine="0"/>
            </w:pPr>
            <w:r>
              <w:rPr>
                <w:rFonts w:ascii="Arial" w:eastAsia="Arial" w:hAnsi="Arial" w:cs="Arial"/>
                <w:b/>
                <w:sz w:val="18"/>
              </w:rPr>
              <w:t xml:space="preserve">D15 </w:t>
            </w:r>
          </w:p>
          <w:p w14:paraId="3D146D0C" w14:textId="77777777" w:rsidR="000B3C5C" w:rsidRDefault="00ED192D">
            <w:pPr>
              <w:spacing w:after="0" w:line="259" w:lineRule="auto"/>
              <w:ind w:left="115" w:firstLine="0"/>
            </w:pPr>
            <w:r>
              <w:rPr>
                <w:rFonts w:ascii="Arial" w:eastAsia="Arial" w:hAnsi="Arial" w:cs="Arial"/>
                <w:b/>
                <w:sz w:val="18"/>
              </w:rPr>
              <w:t xml:space="preserve">(±1) </w:t>
            </w:r>
          </w:p>
        </w:tc>
        <w:tc>
          <w:tcPr>
            <w:tcW w:w="3170" w:type="dxa"/>
            <w:tcBorders>
              <w:top w:val="single" w:sz="4" w:space="0" w:color="000000"/>
              <w:left w:val="single" w:sz="6" w:space="0" w:color="000000"/>
              <w:bottom w:val="single" w:sz="6" w:space="0" w:color="000000"/>
              <w:right w:val="single" w:sz="6" w:space="0" w:color="000000"/>
            </w:tcBorders>
          </w:tcPr>
          <w:p w14:paraId="53A84172" w14:textId="77777777" w:rsidR="000B3C5C" w:rsidRDefault="00ED192D">
            <w:pPr>
              <w:spacing w:after="0" w:line="259" w:lineRule="auto"/>
              <w:ind w:left="63" w:firstLine="0"/>
              <w:jc w:val="center"/>
            </w:pPr>
            <w:r>
              <w:rPr>
                <w:rFonts w:ascii="Arial" w:eastAsia="Arial" w:hAnsi="Arial" w:cs="Arial"/>
                <w:b/>
                <w:sz w:val="18"/>
              </w:rPr>
              <w:t xml:space="preserve">D1 (± 2) </w:t>
            </w:r>
          </w:p>
        </w:tc>
        <w:tc>
          <w:tcPr>
            <w:tcW w:w="1289" w:type="dxa"/>
            <w:tcBorders>
              <w:top w:val="single" w:sz="4" w:space="0" w:color="000000"/>
              <w:left w:val="single" w:sz="6" w:space="0" w:color="000000"/>
              <w:bottom w:val="single" w:sz="6" w:space="0" w:color="000000"/>
              <w:right w:val="single" w:sz="6" w:space="0" w:color="000000"/>
            </w:tcBorders>
          </w:tcPr>
          <w:p w14:paraId="78E39551" w14:textId="77777777" w:rsidR="000B3C5C" w:rsidRDefault="00ED192D">
            <w:pPr>
              <w:spacing w:after="2" w:line="239" w:lineRule="auto"/>
              <w:ind w:left="0" w:firstLine="0"/>
              <w:jc w:val="center"/>
            </w:pPr>
            <w:r>
              <w:rPr>
                <w:rFonts w:ascii="Arial" w:eastAsia="Arial" w:hAnsi="Arial" w:cs="Arial"/>
                <w:b/>
                <w:sz w:val="18"/>
              </w:rPr>
              <w:t xml:space="preserve">30 (±7) days after last </w:t>
            </w:r>
          </w:p>
          <w:p w14:paraId="4DE43BA3" w14:textId="77777777" w:rsidR="000B3C5C" w:rsidRDefault="00ED192D">
            <w:pPr>
              <w:spacing w:after="0" w:line="259" w:lineRule="auto"/>
              <w:ind w:left="145" w:firstLine="0"/>
            </w:pPr>
            <w:r>
              <w:rPr>
                <w:rFonts w:ascii="Arial" w:eastAsia="Arial" w:hAnsi="Arial" w:cs="Arial"/>
                <w:b/>
                <w:sz w:val="18"/>
              </w:rPr>
              <w:t xml:space="preserve">IMPs admin </w:t>
            </w:r>
          </w:p>
        </w:tc>
        <w:tc>
          <w:tcPr>
            <w:tcW w:w="1375" w:type="dxa"/>
            <w:tcBorders>
              <w:top w:val="single" w:sz="4" w:space="0" w:color="000000"/>
              <w:left w:val="single" w:sz="6" w:space="0" w:color="000000"/>
              <w:bottom w:val="single" w:sz="6" w:space="0" w:color="000000"/>
              <w:right w:val="single" w:sz="6" w:space="0" w:color="000000"/>
            </w:tcBorders>
          </w:tcPr>
          <w:p w14:paraId="47D0B5C1" w14:textId="77777777" w:rsidR="000B3C5C" w:rsidRDefault="00ED192D">
            <w:pPr>
              <w:spacing w:after="2" w:line="239" w:lineRule="auto"/>
              <w:ind w:left="68" w:firstLine="0"/>
              <w:jc w:val="center"/>
            </w:pPr>
            <w:r>
              <w:rPr>
                <w:rFonts w:ascii="Arial" w:eastAsia="Arial" w:hAnsi="Arial" w:cs="Arial"/>
                <w:b/>
                <w:sz w:val="18"/>
              </w:rPr>
              <w:t xml:space="preserve">At 60 (±7) days after </w:t>
            </w:r>
          </w:p>
          <w:p w14:paraId="2CD98947" w14:textId="77777777" w:rsidR="000B3C5C" w:rsidRDefault="00ED192D">
            <w:pPr>
              <w:spacing w:after="0" w:line="259" w:lineRule="auto"/>
              <w:ind w:left="17" w:firstLine="0"/>
              <w:jc w:val="center"/>
            </w:pPr>
            <w:r>
              <w:rPr>
                <w:rFonts w:ascii="Arial" w:eastAsia="Arial" w:hAnsi="Arial" w:cs="Arial"/>
                <w:b/>
                <w:sz w:val="18"/>
              </w:rPr>
              <w:t xml:space="preserve">last IMPs admin </w:t>
            </w:r>
          </w:p>
        </w:tc>
        <w:tc>
          <w:tcPr>
            <w:tcW w:w="1150" w:type="dxa"/>
            <w:tcBorders>
              <w:top w:val="single" w:sz="4" w:space="0" w:color="000000"/>
              <w:left w:val="single" w:sz="6" w:space="0" w:color="000000"/>
              <w:bottom w:val="single" w:sz="6" w:space="0" w:color="000000"/>
              <w:right w:val="single" w:sz="6" w:space="0" w:color="000000"/>
            </w:tcBorders>
          </w:tcPr>
          <w:p w14:paraId="30742C4E" w14:textId="77777777" w:rsidR="000B3C5C" w:rsidRDefault="00ED192D">
            <w:pPr>
              <w:spacing w:after="2" w:line="239" w:lineRule="auto"/>
              <w:ind w:left="0" w:firstLine="0"/>
              <w:jc w:val="center"/>
            </w:pPr>
            <w:r>
              <w:rPr>
                <w:rFonts w:ascii="Arial" w:eastAsia="Arial" w:hAnsi="Arial" w:cs="Arial"/>
                <w:b/>
                <w:sz w:val="18"/>
              </w:rPr>
              <w:t xml:space="preserve">At 90 (±7) days after </w:t>
            </w:r>
          </w:p>
          <w:p w14:paraId="73D4790F" w14:textId="77777777" w:rsidR="000B3C5C" w:rsidRDefault="00ED192D">
            <w:pPr>
              <w:spacing w:after="0" w:line="259" w:lineRule="auto"/>
              <w:ind w:left="0" w:firstLine="0"/>
              <w:jc w:val="center"/>
            </w:pPr>
            <w:r>
              <w:rPr>
                <w:rFonts w:ascii="Arial" w:eastAsia="Arial" w:hAnsi="Arial" w:cs="Arial"/>
                <w:b/>
                <w:sz w:val="18"/>
              </w:rPr>
              <w:t xml:space="preserve">last IMPs admin </w:t>
            </w:r>
          </w:p>
        </w:tc>
        <w:tc>
          <w:tcPr>
            <w:tcW w:w="1409" w:type="dxa"/>
            <w:gridSpan w:val="2"/>
            <w:tcBorders>
              <w:top w:val="single" w:sz="4" w:space="0" w:color="000000"/>
              <w:left w:val="single" w:sz="6" w:space="0" w:color="000000"/>
              <w:bottom w:val="single" w:sz="6" w:space="0" w:color="000000"/>
              <w:right w:val="single" w:sz="6" w:space="0" w:color="000000"/>
            </w:tcBorders>
            <w:vAlign w:val="center"/>
          </w:tcPr>
          <w:p w14:paraId="393534A7" w14:textId="77777777" w:rsidR="000B3C5C" w:rsidRDefault="00ED192D">
            <w:pPr>
              <w:spacing w:after="2" w:line="239" w:lineRule="auto"/>
              <w:ind w:left="286" w:firstLine="46"/>
              <w:jc w:val="both"/>
            </w:pPr>
            <w:r>
              <w:rPr>
                <w:rFonts w:ascii="Arial" w:eastAsia="Arial" w:hAnsi="Arial" w:cs="Arial"/>
                <w:b/>
                <w:sz w:val="18"/>
              </w:rPr>
              <w:t xml:space="preserve">Every 90 days  (±7)  </w:t>
            </w:r>
          </w:p>
          <w:p w14:paraId="4931BC6A" w14:textId="77777777" w:rsidR="000B3C5C" w:rsidRDefault="00ED192D">
            <w:pPr>
              <w:spacing w:after="0" w:line="259" w:lineRule="auto"/>
              <w:ind w:left="62" w:firstLine="0"/>
              <w:jc w:val="center"/>
            </w:pPr>
            <w:r>
              <w:rPr>
                <w:rFonts w:ascii="Arial" w:eastAsia="Arial" w:hAnsi="Arial" w:cs="Arial"/>
                <w:b/>
                <w:sz w:val="18"/>
              </w:rPr>
              <w:t xml:space="preserve">after last safety follow-up </w:t>
            </w:r>
          </w:p>
        </w:tc>
        <w:tc>
          <w:tcPr>
            <w:tcW w:w="0" w:type="auto"/>
            <w:vMerge/>
            <w:tcBorders>
              <w:top w:val="nil"/>
              <w:left w:val="single" w:sz="6" w:space="0" w:color="000000"/>
              <w:bottom w:val="single" w:sz="6" w:space="0" w:color="000000"/>
              <w:right w:val="nil"/>
            </w:tcBorders>
          </w:tcPr>
          <w:p w14:paraId="14160EDE" w14:textId="77777777" w:rsidR="000B3C5C" w:rsidRDefault="000B3C5C">
            <w:pPr>
              <w:spacing w:after="160" w:line="259" w:lineRule="auto"/>
              <w:ind w:left="0" w:firstLine="0"/>
            </w:pPr>
          </w:p>
        </w:tc>
        <w:tc>
          <w:tcPr>
            <w:tcW w:w="0" w:type="auto"/>
            <w:vMerge/>
            <w:tcBorders>
              <w:top w:val="nil"/>
              <w:left w:val="nil"/>
              <w:bottom w:val="single" w:sz="6" w:space="0" w:color="000000"/>
              <w:right w:val="single" w:sz="4" w:space="0" w:color="000000"/>
            </w:tcBorders>
          </w:tcPr>
          <w:p w14:paraId="2D4524C1" w14:textId="77777777" w:rsidR="000B3C5C" w:rsidRDefault="000B3C5C">
            <w:pPr>
              <w:spacing w:after="160" w:line="259" w:lineRule="auto"/>
              <w:ind w:left="0" w:firstLine="0"/>
            </w:pPr>
          </w:p>
        </w:tc>
      </w:tr>
      <w:tr w:rsidR="000B3C5C" w14:paraId="7BF175D0" w14:textId="77777777">
        <w:trPr>
          <w:trHeight w:val="504"/>
        </w:trPr>
        <w:tc>
          <w:tcPr>
            <w:tcW w:w="1580" w:type="dxa"/>
            <w:tcBorders>
              <w:top w:val="single" w:sz="6" w:space="0" w:color="000000"/>
              <w:left w:val="single" w:sz="4" w:space="0" w:color="000000"/>
              <w:bottom w:val="single" w:sz="6" w:space="0" w:color="000000"/>
              <w:right w:val="single" w:sz="9" w:space="0" w:color="000000"/>
            </w:tcBorders>
            <w:vAlign w:val="center"/>
          </w:tcPr>
          <w:p w14:paraId="1D6B2EFB" w14:textId="77777777" w:rsidR="000B3C5C" w:rsidRDefault="00ED192D">
            <w:pPr>
              <w:spacing w:after="0" w:line="259" w:lineRule="auto"/>
              <w:ind w:left="108" w:firstLine="0"/>
            </w:pPr>
            <w:r>
              <w:rPr>
                <w:rFonts w:ascii="Arial" w:eastAsia="Arial" w:hAnsi="Arial" w:cs="Arial"/>
                <w:sz w:val="16"/>
              </w:rPr>
              <w:t>AE/SAE Assessment</w:t>
            </w:r>
            <w:r>
              <w:rPr>
                <w:rFonts w:ascii="Arial" w:eastAsia="Arial" w:hAnsi="Arial" w:cs="Arial"/>
                <w:color w:val="FF00FF"/>
                <w:sz w:val="16"/>
              </w:rPr>
              <w:t xml:space="preserve"> </w:t>
            </w:r>
          </w:p>
        </w:tc>
        <w:tc>
          <w:tcPr>
            <w:tcW w:w="1336" w:type="dxa"/>
            <w:gridSpan w:val="2"/>
            <w:tcBorders>
              <w:top w:val="single" w:sz="6" w:space="0" w:color="000000"/>
              <w:left w:val="single" w:sz="9" w:space="0" w:color="000000"/>
              <w:bottom w:val="single" w:sz="6" w:space="0" w:color="000000"/>
              <w:right w:val="single" w:sz="9" w:space="0" w:color="000000"/>
            </w:tcBorders>
            <w:vAlign w:val="center"/>
          </w:tcPr>
          <w:p w14:paraId="33F61F76" w14:textId="77777777" w:rsidR="000B3C5C" w:rsidRDefault="00ED192D">
            <w:pPr>
              <w:spacing w:after="0" w:line="259" w:lineRule="auto"/>
              <w:ind w:left="62" w:firstLine="0"/>
              <w:jc w:val="center"/>
            </w:pPr>
            <w:r>
              <w:rPr>
                <w:rFonts w:ascii="Arial" w:eastAsia="Arial" w:hAnsi="Arial" w:cs="Arial"/>
                <w:sz w:val="16"/>
              </w:rPr>
              <w:t xml:space="preserve">X </w:t>
            </w:r>
          </w:p>
        </w:tc>
        <w:tc>
          <w:tcPr>
            <w:tcW w:w="663" w:type="dxa"/>
            <w:tcBorders>
              <w:top w:val="single" w:sz="6" w:space="0" w:color="000000"/>
              <w:left w:val="single" w:sz="9" w:space="0" w:color="000000"/>
              <w:bottom w:val="single" w:sz="6" w:space="0" w:color="000000"/>
              <w:right w:val="nil"/>
            </w:tcBorders>
          </w:tcPr>
          <w:p w14:paraId="0421C843" w14:textId="77777777" w:rsidR="000B3C5C" w:rsidRDefault="000B3C5C">
            <w:pPr>
              <w:spacing w:after="160" w:line="259" w:lineRule="auto"/>
              <w:ind w:left="0" w:firstLine="0"/>
            </w:pPr>
          </w:p>
        </w:tc>
        <w:tc>
          <w:tcPr>
            <w:tcW w:w="5648" w:type="dxa"/>
            <w:gridSpan w:val="4"/>
            <w:tcBorders>
              <w:top w:val="single" w:sz="6" w:space="0" w:color="000000"/>
              <w:left w:val="nil"/>
              <w:bottom w:val="single" w:sz="6" w:space="0" w:color="000000"/>
              <w:right w:val="single" w:sz="6" w:space="0" w:color="000000"/>
            </w:tcBorders>
            <w:vAlign w:val="center"/>
          </w:tcPr>
          <w:p w14:paraId="1F0C7661" w14:textId="77777777" w:rsidR="000B3C5C" w:rsidRDefault="00ED192D">
            <w:pPr>
              <w:spacing w:after="0" w:line="259" w:lineRule="auto"/>
              <w:ind w:left="1579" w:firstLine="0"/>
            </w:pPr>
            <w:r>
              <w:rPr>
                <w:rFonts w:ascii="Arial" w:eastAsia="Arial" w:hAnsi="Arial" w:cs="Arial"/>
                <w:sz w:val="16"/>
              </w:rPr>
              <w:t xml:space="preserve">Continuously throughout period </w:t>
            </w:r>
          </w:p>
        </w:tc>
        <w:tc>
          <w:tcPr>
            <w:tcW w:w="3934" w:type="dxa"/>
            <w:gridSpan w:val="4"/>
            <w:tcBorders>
              <w:top w:val="single" w:sz="6" w:space="0" w:color="000000"/>
              <w:left w:val="single" w:sz="6" w:space="0" w:color="000000"/>
              <w:bottom w:val="single" w:sz="6" w:space="0" w:color="000000"/>
              <w:right w:val="single" w:sz="6" w:space="0" w:color="000000"/>
            </w:tcBorders>
          </w:tcPr>
          <w:p w14:paraId="3C261804" w14:textId="77777777" w:rsidR="000B3C5C" w:rsidRDefault="00ED192D">
            <w:pPr>
              <w:spacing w:after="0" w:line="259" w:lineRule="auto"/>
              <w:ind w:left="120" w:firstLine="0"/>
            </w:pPr>
            <w:r>
              <w:rPr>
                <w:rFonts w:ascii="Arial" w:eastAsia="Arial" w:hAnsi="Arial" w:cs="Arial"/>
                <w:sz w:val="16"/>
              </w:rPr>
              <w:t xml:space="preserve">X (ongoing related AEs, ongoing SAEs at EOT and new related </w:t>
            </w:r>
          </w:p>
          <w:p w14:paraId="1C7434CF" w14:textId="77777777" w:rsidR="000B3C5C" w:rsidRDefault="00ED192D">
            <w:pPr>
              <w:spacing w:after="0" w:line="259" w:lineRule="auto"/>
              <w:ind w:left="77" w:firstLine="0"/>
              <w:jc w:val="center"/>
            </w:pPr>
            <w:r>
              <w:rPr>
                <w:rFonts w:ascii="Arial" w:eastAsia="Arial" w:hAnsi="Arial" w:cs="Arial"/>
                <w:sz w:val="16"/>
              </w:rPr>
              <w:t xml:space="preserve">AE/SAEs) </w:t>
            </w:r>
          </w:p>
        </w:tc>
        <w:tc>
          <w:tcPr>
            <w:tcW w:w="310" w:type="dxa"/>
            <w:tcBorders>
              <w:top w:val="single" w:sz="6" w:space="0" w:color="000000"/>
              <w:left w:val="single" w:sz="6" w:space="0" w:color="000000"/>
              <w:bottom w:val="single" w:sz="6" w:space="0" w:color="000000"/>
              <w:right w:val="nil"/>
            </w:tcBorders>
          </w:tcPr>
          <w:p w14:paraId="311ABD7F" w14:textId="77777777" w:rsidR="000B3C5C" w:rsidRDefault="00ED192D">
            <w:pPr>
              <w:spacing w:after="0" w:line="259" w:lineRule="auto"/>
              <w:ind w:left="121" w:firstLine="0"/>
            </w:pPr>
            <w:r>
              <w:rPr>
                <w:rFonts w:ascii="Arial" w:eastAsia="Arial" w:hAnsi="Arial" w:cs="Arial"/>
                <w:sz w:val="16"/>
              </w:rPr>
              <w:t xml:space="preserve"> </w:t>
            </w:r>
          </w:p>
        </w:tc>
        <w:tc>
          <w:tcPr>
            <w:tcW w:w="867" w:type="dxa"/>
            <w:tcBorders>
              <w:top w:val="single" w:sz="6" w:space="0" w:color="000000"/>
              <w:left w:val="nil"/>
              <w:bottom w:val="single" w:sz="6" w:space="0" w:color="000000"/>
              <w:right w:val="single" w:sz="4" w:space="0" w:color="000000"/>
            </w:tcBorders>
          </w:tcPr>
          <w:p w14:paraId="69E471DF" w14:textId="77777777" w:rsidR="000B3C5C" w:rsidRDefault="000B3C5C">
            <w:pPr>
              <w:spacing w:after="160" w:line="259" w:lineRule="auto"/>
              <w:ind w:left="0" w:firstLine="0"/>
            </w:pPr>
          </w:p>
        </w:tc>
      </w:tr>
      <w:tr w:rsidR="000B3C5C" w14:paraId="3D879A27" w14:textId="77777777">
        <w:trPr>
          <w:trHeight w:val="502"/>
        </w:trPr>
        <w:tc>
          <w:tcPr>
            <w:tcW w:w="1580" w:type="dxa"/>
            <w:tcBorders>
              <w:top w:val="single" w:sz="6" w:space="0" w:color="000000"/>
              <w:left w:val="single" w:sz="4" w:space="0" w:color="000000"/>
              <w:bottom w:val="single" w:sz="6" w:space="0" w:color="000000"/>
              <w:right w:val="single" w:sz="9" w:space="0" w:color="000000"/>
            </w:tcBorders>
          </w:tcPr>
          <w:p w14:paraId="7941ABCA" w14:textId="77777777" w:rsidR="000B3C5C" w:rsidRDefault="00ED192D">
            <w:pPr>
              <w:spacing w:after="0" w:line="259" w:lineRule="auto"/>
              <w:ind w:left="108" w:firstLine="0"/>
            </w:pPr>
            <w:r>
              <w:rPr>
                <w:rFonts w:ascii="Arial" w:eastAsia="Arial" w:hAnsi="Arial" w:cs="Arial"/>
                <w:sz w:val="16"/>
              </w:rPr>
              <w:t>Prior/Concomitant Medication</w:t>
            </w:r>
            <w:r>
              <w:rPr>
                <w:rFonts w:ascii="Arial" w:eastAsia="Arial" w:hAnsi="Arial" w:cs="Arial"/>
                <w:color w:val="FF00FF"/>
                <w:sz w:val="16"/>
              </w:rPr>
              <w:t xml:space="preserve"> </w:t>
            </w:r>
          </w:p>
        </w:tc>
        <w:tc>
          <w:tcPr>
            <w:tcW w:w="1336" w:type="dxa"/>
            <w:gridSpan w:val="2"/>
            <w:tcBorders>
              <w:top w:val="single" w:sz="6" w:space="0" w:color="000000"/>
              <w:left w:val="single" w:sz="9" w:space="0" w:color="000000"/>
              <w:bottom w:val="single" w:sz="6" w:space="0" w:color="000000"/>
              <w:right w:val="single" w:sz="9" w:space="0" w:color="000000"/>
            </w:tcBorders>
          </w:tcPr>
          <w:p w14:paraId="67684E8E" w14:textId="77777777" w:rsidR="000B3C5C" w:rsidRDefault="00ED192D">
            <w:pPr>
              <w:spacing w:after="0" w:line="259" w:lineRule="auto"/>
              <w:ind w:left="32" w:firstLine="0"/>
              <w:jc w:val="center"/>
            </w:pPr>
            <w:r>
              <w:rPr>
                <w:rFonts w:ascii="Arial" w:eastAsia="Arial" w:hAnsi="Arial" w:cs="Arial"/>
                <w:sz w:val="16"/>
              </w:rPr>
              <w:t xml:space="preserve">X (within 14 days prior to first dose) </w:t>
            </w:r>
          </w:p>
        </w:tc>
        <w:tc>
          <w:tcPr>
            <w:tcW w:w="663" w:type="dxa"/>
            <w:tcBorders>
              <w:top w:val="single" w:sz="6" w:space="0" w:color="000000"/>
              <w:left w:val="single" w:sz="9" w:space="0" w:color="000000"/>
              <w:bottom w:val="single" w:sz="6" w:space="0" w:color="000000"/>
              <w:right w:val="nil"/>
            </w:tcBorders>
          </w:tcPr>
          <w:p w14:paraId="279A8643" w14:textId="77777777" w:rsidR="000B3C5C" w:rsidRDefault="000B3C5C">
            <w:pPr>
              <w:spacing w:after="160" w:line="259" w:lineRule="auto"/>
              <w:ind w:left="0" w:firstLine="0"/>
            </w:pPr>
          </w:p>
        </w:tc>
        <w:tc>
          <w:tcPr>
            <w:tcW w:w="5648" w:type="dxa"/>
            <w:gridSpan w:val="4"/>
            <w:tcBorders>
              <w:top w:val="single" w:sz="6" w:space="0" w:color="000000"/>
              <w:left w:val="nil"/>
              <w:bottom w:val="single" w:sz="6" w:space="0" w:color="000000"/>
              <w:right w:val="single" w:sz="6" w:space="0" w:color="000000"/>
            </w:tcBorders>
            <w:vAlign w:val="center"/>
          </w:tcPr>
          <w:p w14:paraId="6E1D88A9" w14:textId="77777777" w:rsidR="000B3C5C" w:rsidRDefault="00ED192D">
            <w:pPr>
              <w:spacing w:after="0" w:line="259" w:lineRule="auto"/>
              <w:ind w:left="1579" w:firstLine="0"/>
            </w:pPr>
            <w:r>
              <w:rPr>
                <w:rFonts w:ascii="Arial" w:eastAsia="Arial" w:hAnsi="Arial" w:cs="Arial"/>
                <w:sz w:val="16"/>
              </w:rPr>
              <w:t xml:space="preserve">Continuously throughout period </w:t>
            </w:r>
          </w:p>
        </w:tc>
        <w:tc>
          <w:tcPr>
            <w:tcW w:w="3934" w:type="dxa"/>
            <w:gridSpan w:val="4"/>
            <w:tcBorders>
              <w:top w:val="single" w:sz="6" w:space="0" w:color="000000"/>
              <w:left w:val="single" w:sz="6" w:space="0" w:color="000000"/>
              <w:bottom w:val="single" w:sz="6" w:space="0" w:color="000000"/>
              <w:right w:val="single" w:sz="6" w:space="0" w:color="000000"/>
            </w:tcBorders>
            <w:vAlign w:val="center"/>
          </w:tcPr>
          <w:p w14:paraId="7E10B0CE" w14:textId="77777777" w:rsidR="000B3C5C" w:rsidRDefault="00ED192D">
            <w:pPr>
              <w:spacing w:after="0" w:line="259" w:lineRule="auto"/>
              <w:ind w:left="108" w:firstLine="0"/>
            </w:pPr>
            <w:r>
              <w:rPr>
                <w:rFonts w:ascii="Arial" w:eastAsia="Arial" w:hAnsi="Arial" w:cs="Arial"/>
                <w:sz w:val="16"/>
              </w:rPr>
              <w:t xml:space="preserve">       X (related to AE/SAEs listed above) </w:t>
            </w:r>
          </w:p>
        </w:tc>
        <w:tc>
          <w:tcPr>
            <w:tcW w:w="310" w:type="dxa"/>
            <w:tcBorders>
              <w:top w:val="single" w:sz="6" w:space="0" w:color="000000"/>
              <w:left w:val="single" w:sz="6" w:space="0" w:color="000000"/>
              <w:bottom w:val="single" w:sz="6" w:space="0" w:color="000000"/>
              <w:right w:val="nil"/>
            </w:tcBorders>
          </w:tcPr>
          <w:p w14:paraId="615BC0F3" w14:textId="77777777" w:rsidR="000B3C5C" w:rsidRDefault="00ED192D">
            <w:pPr>
              <w:spacing w:after="0" w:line="259" w:lineRule="auto"/>
              <w:ind w:left="121" w:firstLine="0"/>
            </w:pPr>
            <w:r>
              <w:rPr>
                <w:rFonts w:ascii="Arial" w:eastAsia="Arial" w:hAnsi="Arial" w:cs="Arial"/>
                <w:sz w:val="16"/>
              </w:rPr>
              <w:t xml:space="preserve"> </w:t>
            </w:r>
          </w:p>
        </w:tc>
        <w:tc>
          <w:tcPr>
            <w:tcW w:w="867" w:type="dxa"/>
            <w:tcBorders>
              <w:top w:val="single" w:sz="6" w:space="0" w:color="000000"/>
              <w:left w:val="nil"/>
              <w:bottom w:val="single" w:sz="6" w:space="0" w:color="000000"/>
              <w:right w:val="single" w:sz="4" w:space="0" w:color="000000"/>
            </w:tcBorders>
          </w:tcPr>
          <w:p w14:paraId="18061CB2" w14:textId="77777777" w:rsidR="000B3C5C" w:rsidRDefault="000B3C5C">
            <w:pPr>
              <w:spacing w:after="160" w:line="259" w:lineRule="auto"/>
              <w:ind w:left="0" w:firstLine="0"/>
            </w:pPr>
          </w:p>
        </w:tc>
      </w:tr>
      <w:tr w:rsidR="000B3C5C" w14:paraId="64C118FA" w14:textId="77777777">
        <w:trPr>
          <w:trHeight w:val="319"/>
        </w:trPr>
        <w:tc>
          <w:tcPr>
            <w:tcW w:w="1580" w:type="dxa"/>
            <w:tcBorders>
              <w:top w:val="single" w:sz="6" w:space="0" w:color="000000"/>
              <w:left w:val="single" w:sz="4" w:space="0" w:color="000000"/>
              <w:bottom w:val="single" w:sz="6" w:space="0" w:color="000000"/>
              <w:right w:val="single" w:sz="9" w:space="0" w:color="000000"/>
            </w:tcBorders>
          </w:tcPr>
          <w:p w14:paraId="16319A92" w14:textId="77777777" w:rsidR="000B3C5C" w:rsidRDefault="00ED192D">
            <w:pPr>
              <w:spacing w:after="0" w:line="259" w:lineRule="auto"/>
              <w:ind w:left="108" w:firstLine="0"/>
            </w:pPr>
            <w:r>
              <w:rPr>
                <w:rFonts w:ascii="Arial" w:eastAsia="Arial" w:hAnsi="Arial" w:cs="Arial"/>
                <w:sz w:val="16"/>
              </w:rPr>
              <w:t>PK</w:t>
            </w:r>
            <w:r>
              <w:rPr>
                <w:rFonts w:ascii="Arial" w:eastAsia="Arial" w:hAnsi="Arial" w:cs="Arial"/>
                <w:color w:val="FF00FF"/>
                <w:sz w:val="16"/>
              </w:rPr>
              <w:t xml:space="preserve"> </w:t>
            </w:r>
          </w:p>
        </w:tc>
        <w:tc>
          <w:tcPr>
            <w:tcW w:w="1336" w:type="dxa"/>
            <w:gridSpan w:val="2"/>
            <w:tcBorders>
              <w:top w:val="single" w:sz="6" w:space="0" w:color="000000"/>
              <w:left w:val="single" w:sz="9" w:space="0" w:color="000000"/>
              <w:bottom w:val="single" w:sz="6" w:space="0" w:color="000000"/>
              <w:right w:val="nil"/>
            </w:tcBorders>
          </w:tcPr>
          <w:p w14:paraId="080382B2" w14:textId="77777777" w:rsidR="000B3C5C" w:rsidRDefault="000B3C5C">
            <w:pPr>
              <w:spacing w:after="160" w:line="259" w:lineRule="auto"/>
              <w:ind w:left="0" w:firstLine="0"/>
            </w:pPr>
          </w:p>
        </w:tc>
        <w:tc>
          <w:tcPr>
            <w:tcW w:w="663" w:type="dxa"/>
            <w:tcBorders>
              <w:top w:val="single" w:sz="6" w:space="0" w:color="000000"/>
              <w:left w:val="nil"/>
              <w:bottom w:val="single" w:sz="6" w:space="0" w:color="000000"/>
              <w:right w:val="nil"/>
            </w:tcBorders>
          </w:tcPr>
          <w:p w14:paraId="09B9AE39" w14:textId="77777777" w:rsidR="000B3C5C" w:rsidRDefault="000B3C5C">
            <w:pPr>
              <w:spacing w:after="160" w:line="259" w:lineRule="auto"/>
              <w:ind w:left="0" w:firstLine="0"/>
            </w:pPr>
          </w:p>
        </w:tc>
        <w:tc>
          <w:tcPr>
            <w:tcW w:w="9582" w:type="dxa"/>
            <w:gridSpan w:val="8"/>
            <w:tcBorders>
              <w:top w:val="single" w:sz="6" w:space="0" w:color="000000"/>
              <w:left w:val="nil"/>
              <w:bottom w:val="single" w:sz="6" w:space="0" w:color="000000"/>
              <w:right w:val="nil"/>
            </w:tcBorders>
          </w:tcPr>
          <w:p w14:paraId="335D8617" w14:textId="77777777" w:rsidR="000B3C5C" w:rsidRDefault="00ED192D">
            <w:pPr>
              <w:spacing w:after="0" w:line="259" w:lineRule="auto"/>
              <w:ind w:left="0" w:right="754" w:firstLine="0"/>
              <w:jc w:val="center"/>
            </w:pPr>
            <w:r>
              <w:rPr>
                <w:rFonts w:ascii="Arial" w:eastAsia="Arial" w:hAnsi="Arial" w:cs="Arial"/>
                <w:sz w:val="16"/>
              </w:rPr>
              <w:t xml:space="preserve">See Pharmacokinetics and immunogenicity Flow Chart </w:t>
            </w:r>
          </w:p>
        </w:tc>
        <w:tc>
          <w:tcPr>
            <w:tcW w:w="310" w:type="dxa"/>
            <w:tcBorders>
              <w:top w:val="single" w:sz="6" w:space="0" w:color="000000"/>
              <w:left w:val="nil"/>
              <w:bottom w:val="single" w:sz="6" w:space="0" w:color="000000"/>
              <w:right w:val="nil"/>
            </w:tcBorders>
          </w:tcPr>
          <w:p w14:paraId="25EE01D7" w14:textId="77777777" w:rsidR="000B3C5C" w:rsidRDefault="000B3C5C">
            <w:pPr>
              <w:spacing w:after="160" w:line="259" w:lineRule="auto"/>
              <w:ind w:left="0" w:firstLine="0"/>
            </w:pPr>
          </w:p>
        </w:tc>
        <w:tc>
          <w:tcPr>
            <w:tcW w:w="867" w:type="dxa"/>
            <w:tcBorders>
              <w:top w:val="single" w:sz="6" w:space="0" w:color="000000"/>
              <w:left w:val="nil"/>
              <w:bottom w:val="single" w:sz="6" w:space="0" w:color="000000"/>
              <w:right w:val="single" w:sz="4" w:space="0" w:color="000000"/>
            </w:tcBorders>
          </w:tcPr>
          <w:p w14:paraId="36C954A5" w14:textId="77777777" w:rsidR="000B3C5C" w:rsidRDefault="000B3C5C">
            <w:pPr>
              <w:spacing w:after="160" w:line="259" w:lineRule="auto"/>
              <w:ind w:left="0" w:firstLine="0"/>
            </w:pPr>
          </w:p>
        </w:tc>
      </w:tr>
      <w:tr w:rsidR="000B3C5C" w14:paraId="5118A795" w14:textId="77777777">
        <w:trPr>
          <w:trHeight w:val="317"/>
        </w:trPr>
        <w:tc>
          <w:tcPr>
            <w:tcW w:w="1580" w:type="dxa"/>
            <w:tcBorders>
              <w:top w:val="single" w:sz="6" w:space="0" w:color="000000"/>
              <w:left w:val="single" w:sz="4" w:space="0" w:color="000000"/>
              <w:bottom w:val="single" w:sz="6" w:space="0" w:color="000000"/>
              <w:right w:val="single" w:sz="9" w:space="0" w:color="000000"/>
            </w:tcBorders>
          </w:tcPr>
          <w:p w14:paraId="5EE82342" w14:textId="77777777" w:rsidR="000B3C5C" w:rsidRDefault="00ED192D">
            <w:pPr>
              <w:spacing w:after="0" w:line="259" w:lineRule="auto"/>
              <w:ind w:left="108" w:firstLine="0"/>
            </w:pPr>
            <w:r>
              <w:rPr>
                <w:rFonts w:ascii="Arial" w:eastAsia="Arial" w:hAnsi="Arial" w:cs="Arial"/>
                <w:sz w:val="16"/>
              </w:rPr>
              <w:t>ADA</w:t>
            </w:r>
            <w:r>
              <w:rPr>
                <w:rFonts w:ascii="Arial" w:eastAsia="Arial" w:hAnsi="Arial" w:cs="Arial"/>
                <w:color w:val="FF00FF"/>
                <w:sz w:val="16"/>
              </w:rPr>
              <w:t xml:space="preserve"> </w:t>
            </w:r>
          </w:p>
        </w:tc>
        <w:tc>
          <w:tcPr>
            <w:tcW w:w="1336" w:type="dxa"/>
            <w:gridSpan w:val="2"/>
            <w:tcBorders>
              <w:top w:val="single" w:sz="6" w:space="0" w:color="000000"/>
              <w:left w:val="single" w:sz="9" w:space="0" w:color="000000"/>
              <w:bottom w:val="single" w:sz="6" w:space="0" w:color="000000"/>
              <w:right w:val="nil"/>
            </w:tcBorders>
          </w:tcPr>
          <w:p w14:paraId="0A9D7F29" w14:textId="77777777" w:rsidR="000B3C5C" w:rsidRDefault="000B3C5C">
            <w:pPr>
              <w:spacing w:after="160" w:line="259" w:lineRule="auto"/>
              <w:ind w:left="0" w:firstLine="0"/>
            </w:pPr>
          </w:p>
        </w:tc>
        <w:tc>
          <w:tcPr>
            <w:tcW w:w="663" w:type="dxa"/>
            <w:tcBorders>
              <w:top w:val="single" w:sz="6" w:space="0" w:color="000000"/>
              <w:left w:val="nil"/>
              <w:bottom w:val="single" w:sz="6" w:space="0" w:color="000000"/>
              <w:right w:val="nil"/>
            </w:tcBorders>
          </w:tcPr>
          <w:p w14:paraId="5723F5C0" w14:textId="77777777" w:rsidR="000B3C5C" w:rsidRDefault="000B3C5C">
            <w:pPr>
              <w:spacing w:after="160" w:line="259" w:lineRule="auto"/>
              <w:ind w:left="0" w:firstLine="0"/>
            </w:pPr>
          </w:p>
        </w:tc>
        <w:tc>
          <w:tcPr>
            <w:tcW w:w="9582" w:type="dxa"/>
            <w:gridSpan w:val="8"/>
            <w:tcBorders>
              <w:top w:val="single" w:sz="6" w:space="0" w:color="000000"/>
              <w:left w:val="nil"/>
              <w:bottom w:val="single" w:sz="6" w:space="0" w:color="000000"/>
              <w:right w:val="nil"/>
            </w:tcBorders>
          </w:tcPr>
          <w:p w14:paraId="1997A6E3" w14:textId="77777777" w:rsidR="000B3C5C" w:rsidRDefault="00ED192D">
            <w:pPr>
              <w:spacing w:after="0" w:line="259" w:lineRule="auto"/>
              <w:ind w:left="0" w:right="754" w:firstLine="0"/>
              <w:jc w:val="center"/>
            </w:pPr>
            <w:r>
              <w:rPr>
                <w:rFonts w:ascii="Arial" w:eastAsia="Arial" w:hAnsi="Arial" w:cs="Arial"/>
                <w:sz w:val="16"/>
              </w:rPr>
              <w:t xml:space="preserve">See Pharmacokinetics and immunogenicity Flow Chart </w:t>
            </w:r>
          </w:p>
        </w:tc>
        <w:tc>
          <w:tcPr>
            <w:tcW w:w="310" w:type="dxa"/>
            <w:tcBorders>
              <w:top w:val="single" w:sz="6" w:space="0" w:color="000000"/>
              <w:left w:val="nil"/>
              <w:bottom w:val="single" w:sz="6" w:space="0" w:color="000000"/>
              <w:right w:val="nil"/>
            </w:tcBorders>
          </w:tcPr>
          <w:p w14:paraId="69EA07A9" w14:textId="77777777" w:rsidR="000B3C5C" w:rsidRDefault="000B3C5C">
            <w:pPr>
              <w:spacing w:after="160" w:line="259" w:lineRule="auto"/>
              <w:ind w:left="0" w:firstLine="0"/>
            </w:pPr>
          </w:p>
        </w:tc>
        <w:tc>
          <w:tcPr>
            <w:tcW w:w="867" w:type="dxa"/>
            <w:tcBorders>
              <w:top w:val="single" w:sz="6" w:space="0" w:color="000000"/>
              <w:left w:val="nil"/>
              <w:bottom w:val="single" w:sz="6" w:space="0" w:color="000000"/>
              <w:right w:val="single" w:sz="4" w:space="0" w:color="000000"/>
            </w:tcBorders>
          </w:tcPr>
          <w:p w14:paraId="5234DD3F" w14:textId="77777777" w:rsidR="000B3C5C" w:rsidRDefault="000B3C5C">
            <w:pPr>
              <w:spacing w:after="160" w:line="259" w:lineRule="auto"/>
              <w:ind w:left="0" w:firstLine="0"/>
            </w:pPr>
          </w:p>
        </w:tc>
      </w:tr>
      <w:tr w:rsidR="000B3C5C" w14:paraId="22D1DC84" w14:textId="77777777">
        <w:trPr>
          <w:trHeight w:val="873"/>
        </w:trPr>
        <w:tc>
          <w:tcPr>
            <w:tcW w:w="1580" w:type="dxa"/>
            <w:tcBorders>
              <w:top w:val="single" w:sz="6" w:space="0" w:color="000000"/>
              <w:left w:val="single" w:sz="4" w:space="0" w:color="000000"/>
              <w:bottom w:val="single" w:sz="6" w:space="0" w:color="000000"/>
              <w:right w:val="single" w:sz="9" w:space="0" w:color="000000"/>
            </w:tcBorders>
          </w:tcPr>
          <w:p w14:paraId="39E1D5F9" w14:textId="77777777" w:rsidR="000B3C5C" w:rsidRDefault="00ED192D">
            <w:pPr>
              <w:spacing w:after="0" w:line="259" w:lineRule="auto"/>
              <w:ind w:left="108" w:firstLine="0"/>
            </w:pPr>
            <w:r>
              <w:rPr>
                <w:rFonts w:ascii="Arial" w:eastAsia="Arial" w:hAnsi="Arial" w:cs="Arial"/>
                <w:sz w:val="16"/>
              </w:rPr>
              <w:t xml:space="preserve">Tumor Biopsy, Archival </w:t>
            </w:r>
          </w:p>
          <w:p w14:paraId="27DA78F1" w14:textId="77777777" w:rsidR="000B3C5C" w:rsidRDefault="00ED192D">
            <w:pPr>
              <w:spacing w:after="0" w:line="259" w:lineRule="auto"/>
              <w:ind w:left="108" w:firstLine="0"/>
            </w:pPr>
            <w:r>
              <w:rPr>
                <w:rFonts w:ascii="Arial" w:eastAsia="Arial" w:hAnsi="Arial" w:cs="Arial"/>
                <w:sz w:val="16"/>
              </w:rPr>
              <w:t xml:space="preserve">Tumor Tissue </w:t>
            </w:r>
          </w:p>
          <w:p w14:paraId="035E73F8" w14:textId="77777777" w:rsidR="000B3C5C" w:rsidRDefault="00ED192D">
            <w:pPr>
              <w:spacing w:after="0" w:line="259" w:lineRule="auto"/>
              <w:ind w:left="108" w:firstLine="0"/>
            </w:pPr>
            <w:r>
              <w:rPr>
                <w:rFonts w:ascii="Arial" w:eastAsia="Arial" w:hAnsi="Arial" w:cs="Arial"/>
                <w:sz w:val="16"/>
              </w:rPr>
              <w:t xml:space="preserve">Collection, Biomarker </w:t>
            </w:r>
          </w:p>
          <w:p w14:paraId="5993B055" w14:textId="77777777" w:rsidR="000B3C5C" w:rsidRDefault="00ED192D">
            <w:pPr>
              <w:spacing w:after="0" w:line="259" w:lineRule="auto"/>
              <w:ind w:left="108" w:firstLine="0"/>
            </w:pPr>
            <w:r>
              <w:rPr>
                <w:rFonts w:ascii="Arial" w:eastAsia="Arial" w:hAnsi="Arial" w:cs="Arial"/>
                <w:sz w:val="16"/>
              </w:rPr>
              <w:t>Blood Draw</w:t>
            </w:r>
            <w:r>
              <w:rPr>
                <w:rFonts w:ascii="Arial" w:eastAsia="Arial" w:hAnsi="Arial" w:cs="Arial"/>
                <w:color w:val="FF00FF"/>
                <w:sz w:val="16"/>
              </w:rPr>
              <w:t xml:space="preserve"> </w:t>
            </w:r>
          </w:p>
        </w:tc>
        <w:tc>
          <w:tcPr>
            <w:tcW w:w="1336" w:type="dxa"/>
            <w:gridSpan w:val="2"/>
            <w:tcBorders>
              <w:top w:val="single" w:sz="6" w:space="0" w:color="000000"/>
              <w:left w:val="single" w:sz="9" w:space="0" w:color="000000"/>
              <w:bottom w:val="single" w:sz="6" w:space="0" w:color="000000"/>
              <w:right w:val="nil"/>
            </w:tcBorders>
          </w:tcPr>
          <w:p w14:paraId="11E09269" w14:textId="77777777" w:rsidR="000B3C5C" w:rsidRDefault="000B3C5C">
            <w:pPr>
              <w:spacing w:after="160" w:line="259" w:lineRule="auto"/>
              <w:ind w:left="0" w:firstLine="0"/>
            </w:pPr>
          </w:p>
        </w:tc>
        <w:tc>
          <w:tcPr>
            <w:tcW w:w="663" w:type="dxa"/>
            <w:tcBorders>
              <w:top w:val="single" w:sz="6" w:space="0" w:color="000000"/>
              <w:left w:val="nil"/>
              <w:bottom w:val="single" w:sz="6" w:space="0" w:color="000000"/>
              <w:right w:val="nil"/>
            </w:tcBorders>
          </w:tcPr>
          <w:p w14:paraId="6F5D7E57" w14:textId="77777777" w:rsidR="000B3C5C" w:rsidRDefault="000B3C5C">
            <w:pPr>
              <w:spacing w:after="160" w:line="259" w:lineRule="auto"/>
              <w:ind w:left="0" w:firstLine="0"/>
            </w:pPr>
          </w:p>
        </w:tc>
        <w:tc>
          <w:tcPr>
            <w:tcW w:w="9582" w:type="dxa"/>
            <w:gridSpan w:val="8"/>
            <w:tcBorders>
              <w:top w:val="single" w:sz="6" w:space="0" w:color="000000"/>
              <w:left w:val="nil"/>
              <w:bottom w:val="single" w:sz="6" w:space="0" w:color="000000"/>
              <w:right w:val="nil"/>
            </w:tcBorders>
            <w:vAlign w:val="center"/>
          </w:tcPr>
          <w:p w14:paraId="70C4B249" w14:textId="77777777" w:rsidR="000B3C5C" w:rsidRDefault="00ED192D">
            <w:pPr>
              <w:spacing w:after="0" w:line="259" w:lineRule="auto"/>
              <w:ind w:left="0" w:right="752" w:firstLine="0"/>
              <w:jc w:val="center"/>
            </w:pPr>
            <w:r>
              <w:rPr>
                <w:rFonts w:ascii="Arial" w:eastAsia="Arial" w:hAnsi="Arial" w:cs="Arial"/>
                <w:sz w:val="16"/>
              </w:rPr>
              <w:t xml:space="preserve">See Biomarker Flow Chart </w:t>
            </w:r>
          </w:p>
        </w:tc>
        <w:tc>
          <w:tcPr>
            <w:tcW w:w="310" w:type="dxa"/>
            <w:tcBorders>
              <w:top w:val="single" w:sz="6" w:space="0" w:color="000000"/>
              <w:left w:val="nil"/>
              <w:bottom w:val="single" w:sz="6" w:space="0" w:color="000000"/>
              <w:right w:val="nil"/>
            </w:tcBorders>
          </w:tcPr>
          <w:p w14:paraId="44F87CE7" w14:textId="77777777" w:rsidR="000B3C5C" w:rsidRDefault="000B3C5C">
            <w:pPr>
              <w:spacing w:after="160" w:line="259" w:lineRule="auto"/>
              <w:ind w:left="0" w:firstLine="0"/>
            </w:pPr>
          </w:p>
        </w:tc>
        <w:tc>
          <w:tcPr>
            <w:tcW w:w="867" w:type="dxa"/>
            <w:tcBorders>
              <w:top w:val="single" w:sz="6" w:space="0" w:color="000000"/>
              <w:left w:val="nil"/>
              <w:bottom w:val="single" w:sz="6" w:space="0" w:color="000000"/>
              <w:right w:val="single" w:sz="4" w:space="0" w:color="000000"/>
            </w:tcBorders>
          </w:tcPr>
          <w:p w14:paraId="0BDC706E" w14:textId="77777777" w:rsidR="000B3C5C" w:rsidRDefault="000B3C5C">
            <w:pPr>
              <w:spacing w:after="160" w:line="259" w:lineRule="auto"/>
              <w:ind w:left="0" w:firstLine="0"/>
            </w:pPr>
          </w:p>
        </w:tc>
      </w:tr>
      <w:tr w:rsidR="000B3C5C" w14:paraId="31200770" w14:textId="77777777">
        <w:trPr>
          <w:trHeight w:val="500"/>
        </w:trPr>
        <w:tc>
          <w:tcPr>
            <w:tcW w:w="1580" w:type="dxa"/>
            <w:tcBorders>
              <w:top w:val="single" w:sz="6" w:space="0" w:color="000000"/>
              <w:left w:val="single" w:sz="4" w:space="0" w:color="000000"/>
              <w:bottom w:val="single" w:sz="6" w:space="0" w:color="000000"/>
              <w:right w:val="single" w:sz="9" w:space="0" w:color="000000"/>
            </w:tcBorders>
          </w:tcPr>
          <w:p w14:paraId="68058267" w14:textId="77777777" w:rsidR="000B3C5C" w:rsidRDefault="00ED192D">
            <w:pPr>
              <w:spacing w:after="0" w:line="259" w:lineRule="auto"/>
              <w:ind w:left="108" w:firstLine="0"/>
            </w:pPr>
            <w:r>
              <w:rPr>
                <w:rFonts w:ascii="Arial" w:eastAsia="Arial" w:hAnsi="Arial" w:cs="Arial"/>
                <w:sz w:val="16"/>
              </w:rPr>
              <w:t>Subsequent Anticancer Therapy Status</w:t>
            </w:r>
            <w:r>
              <w:rPr>
                <w:rFonts w:ascii="Arial" w:eastAsia="Arial" w:hAnsi="Arial" w:cs="Arial"/>
                <w:color w:val="FF00FF"/>
                <w:sz w:val="16"/>
              </w:rPr>
              <w:t xml:space="preserve"> </w:t>
            </w:r>
          </w:p>
        </w:tc>
        <w:tc>
          <w:tcPr>
            <w:tcW w:w="601" w:type="dxa"/>
            <w:tcBorders>
              <w:top w:val="single" w:sz="6" w:space="0" w:color="000000"/>
              <w:left w:val="single" w:sz="9" w:space="0" w:color="000000"/>
              <w:bottom w:val="single" w:sz="6" w:space="0" w:color="000000"/>
              <w:right w:val="single" w:sz="6" w:space="0" w:color="000000"/>
            </w:tcBorders>
            <w:shd w:val="clear" w:color="auto" w:fill="A6A6A6"/>
          </w:tcPr>
          <w:p w14:paraId="36688A14" w14:textId="77777777" w:rsidR="000B3C5C" w:rsidRDefault="00ED192D">
            <w:pPr>
              <w:spacing w:after="0" w:line="259" w:lineRule="auto"/>
              <w:ind w:left="98" w:firstLine="0"/>
              <w:jc w:val="center"/>
            </w:pPr>
            <w:r>
              <w:rPr>
                <w:rFonts w:ascii="Arial" w:eastAsia="Arial" w:hAnsi="Arial" w:cs="Arial"/>
                <w:sz w:val="16"/>
              </w:rPr>
              <w:t xml:space="preserve"> </w:t>
            </w:r>
          </w:p>
        </w:tc>
        <w:tc>
          <w:tcPr>
            <w:tcW w:w="735"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6385E0E1" w14:textId="77777777" w:rsidR="000B3C5C" w:rsidRDefault="00ED192D">
            <w:pPr>
              <w:spacing w:after="0" w:line="259" w:lineRule="auto"/>
              <w:ind w:left="100" w:firstLine="0"/>
              <w:jc w:val="center"/>
            </w:pPr>
            <w:r>
              <w:rPr>
                <w:rFonts w:ascii="Arial" w:eastAsia="Arial" w:hAnsi="Arial" w:cs="Arial"/>
                <w:sz w:val="16"/>
              </w:rPr>
              <w:t xml:space="preserve"> </w:t>
            </w:r>
          </w:p>
        </w:tc>
        <w:tc>
          <w:tcPr>
            <w:tcW w:w="663"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2210F9BF" w14:textId="77777777" w:rsidR="000B3C5C" w:rsidRDefault="00ED192D">
            <w:pPr>
              <w:spacing w:after="0" w:line="259" w:lineRule="auto"/>
              <w:ind w:left="96" w:firstLine="0"/>
              <w:jc w:val="center"/>
            </w:pPr>
            <w:r>
              <w:rPr>
                <w:rFonts w:ascii="Arial" w:eastAsia="Arial" w:hAnsi="Arial" w:cs="Arial"/>
                <w:sz w:val="16"/>
              </w:rPr>
              <w:t xml:space="preserve"> </w:t>
            </w:r>
          </w:p>
        </w:tc>
        <w:tc>
          <w:tcPr>
            <w:tcW w:w="601"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0049DE58" w14:textId="77777777" w:rsidR="000B3C5C" w:rsidRDefault="00ED192D">
            <w:pPr>
              <w:spacing w:after="0" w:line="259" w:lineRule="auto"/>
              <w:ind w:left="95"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2CE39429" w14:textId="77777777" w:rsidR="000B3C5C" w:rsidRDefault="00ED192D">
            <w:pPr>
              <w:spacing w:after="0" w:line="259" w:lineRule="auto"/>
              <w:ind w:left="94" w:firstLine="0"/>
              <w:jc w:val="center"/>
            </w:pPr>
            <w:r>
              <w:rPr>
                <w:rFonts w:ascii="Arial" w:eastAsia="Arial" w:hAnsi="Arial" w:cs="Arial"/>
                <w:sz w:val="16"/>
              </w:rPr>
              <w:t xml:space="preserve"> </w:t>
            </w:r>
          </w:p>
        </w:tc>
        <w:tc>
          <w:tcPr>
            <w:tcW w:w="3170" w:type="dxa"/>
            <w:tcBorders>
              <w:top w:val="single" w:sz="6" w:space="0" w:color="000000"/>
              <w:left w:val="single" w:sz="6" w:space="0" w:color="000000"/>
              <w:bottom w:val="single" w:sz="6" w:space="0" w:color="000000"/>
              <w:right w:val="single" w:sz="6" w:space="0" w:color="000000"/>
            </w:tcBorders>
            <w:shd w:val="clear" w:color="auto" w:fill="A6A6A6"/>
            <w:vAlign w:val="center"/>
          </w:tcPr>
          <w:p w14:paraId="31B7B998" w14:textId="77777777" w:rsidR="000B3C5C" w:rsidRDefault="00ED192D">
            <w:pPr>
              <w:spacing w:after="0" w:line="259" w:lineRule="auto"/>
              <w:ind w:left="102" w:firstLine="0"/>
              <w:jc w:val="center"/>
            </w:pPr>
            <w:r>
              <w:rPr>
                <w:rFonts w:ascii="Arial" w:eastAsia="Arial" w:hAnsi="Arial" w:cs="Arial"/>
                <w:sz w:val="16"/>
              </w:rPr>
              <w:t xml:space="preserve"> </w:t>
            </w:r>
          </w:p>
        </w:tc>
        <w:tc>
          <w:tcPr>
            <w:tcW w:w="1289" w:type="dxa"/>
            <w:tcBorders>
              <w:top w:val="single" w:sz="6" w:space="0" w:color="000000"/>
              <w:left w:val="single" w:sz="6" w:space="0" w:color="000000"/>
              <w:bottom w:val="single" w:sz="6" w:space="0" w:color="000000"/>
              <w:right w:val="single" w:sz="6" w:space="0" w:color="000000"/>
            </w:tcBorders>
            <w:vAlign w:val="center"/>
          </w:tcPr>
          <w:p w14:paraId="7057D621" w14:textId="77777777" w:rsidR="000B3C5C" w:rsidRDefault="00ED192D">
            <w:pPr>
              <w:spacing w:after="0" w:line="259" w:lineRule="auto"/>
              <w:ind w:left="66" w:firstLine="0"/>
              <w:jc w:val="center"/>
            </w:pPr>
            <w:r>
              <w:rPr>
                <w:rFonts w:ascii="Arial" w:eastAsia="Arial" w:hAnsi="Arial" w:cs="Arial"/>
                <w:sz w:val="16"/>
              </w:rPr>
              <w:t xml:space="preserve">X </w:t>
            </w:r>
          </w:p>
        </w:tc>
        <w:tc>
          <w:tcPr>
            <w:tcW w:w="1375" w:type="dxa"/>
            <w:tcBorders>
              <w:top w:val="single" w:sz="6" w:space="0" w:color="000000"/>
              <w:left w:val="single" w:sz="6" w:space="0" w:color="000000"/>
              <w:bottom w:val="single" w:sz="6" w:space="0" w:color="000000"/>
              <w:right w:val="single" w:sz="6" w:space="0" w:color="000000"/>
            </w:tcBorders>
            <w:vAlign w:val="center"/>
          </w:tcPr>
          <w:p w14:paraId="74BEAEFD" w14:textId="77777777" w:rsidR="000B3C5C" w:rsidRDefault="00ED192D">
            <w:pPr>
              <w:spacing w:after="0" w:line="259" w:lineRule="auto"/>
              <w:ind w:left="58" w:firstLine="0"/>
              <w:jc w:val="center"/>
            </w:pPr>
            <w:r>
              <w:rPr>
                <w:rFonts w:ascii="Arial" w:eastAsia="Arial" w:hAnsi="Arial" w:cs="Arial"/>
                <w:sz w:val="16"/>
              </w:rPr>
              <w:t xml:space="preserve">X </w:t>
            </w:r>
          </w:p>
        </w:tc>
        <w:tc>
          <w:tcPr>
            <w:tcW w:w="1150" w:type="dxa"/>
            <w:tcBorders>
              <w:top w:val="single" w:sz="6" w:space="0" w:color="000000"/>
              <w:left w:val="single" w:sz="6" w:space="0" w:color="000000"/>
              <w:bottom w:val="single" w:sz="6" w:space="0" w:color="000000"/>
              <w:right w:val="single" w:sz="6" w:space="0" w:color="000000"/>
            </w:tcBorders>
            <w:vAlign w:val="center"/>
          </w:tcPr>
          <w:p w14:paraId="524C1B9E" w14:textId="77777777" w:rsidR="000B3C5C" w:rsidRDefault="00ED192D">
            <w:pPr>
              <w:spacing w:after="0" w:line="259" w:lineRule="auto"/>
              <w:ind w:left="66" w:firstLine="0"/>
              <w:jc w:val="center"/>
            </w:pPr>
            <w:r>
              <w:rPr>
                <w:rFonts w:ascii="Arial" w:eastAsia="Arial" w:hAnsi="Arial" w:cs="Arial"/>
                <w:sz w:val="16"/>
              </w:rPr>
              <w:t xml:space="preserve">X </w:t>
            </w:r>
          </w:p>
        </w:tc>
        <w:tc>
          <w:tcPr>
            <w:tcW w:w="1409" w:type="dxa"/>
            <w:gridSpan w:val="2"/>
            <w:tcBorders>
              <w:top w:val="single" w:sz="6" w:space="0" w:color="000000"/>
              <w:left w:val="single" w:sz="6" w:space="0" w:color="000000"/>
              <w:bottom w:val="single" w:sz="6" w:space="0" w:color="000000"/>
              <w:right w:val="single" w:sz="6" w:space="0" w:color="000000"/>
            </w:tcBorders>
            <w:vAlign w:val="center"/>
          </w:tcPr>
          <w:p w14:paraId="4CCC520B" w14:textId="77777777" w:rsidR="000B3C5C" w:rsidRDefault="00ED192D">
            <w:pPr>
              <w:spacing w:after="0" w:line="259" w:lineRule="auto"/>
              <w:ind w:left="52" w:firstLine="0"/>
              <w:jc w:val="center"/>
            </w:pPr>
            <w:r>
              <w:rPr>
                <w:rFonts w:ascii="Arial" w:eastAsia="Arial" w:hAnsi="Arial" w:cs="Arial"/>
                <w:sz w:val="16"/>
              </w:rPr>
              <w:t xml:space="preserve">X </w:t>
            </w:r>
          </w:p>
        </w:tc>
        <w:tc>
          <w:tcPr>
            <w:tcW w:w="310" w:type="dxa"/>
            <w:tcBorders>
              <w:top w:val="single" w:sz="6" w:space="0" w:color="000000"/>
              <w:left w:val="single" w:sz="6" w:space="0" w:color="000000"/>
              <w:bottom w:val="single" w:sz="6" w:space="0" w:color="000000"/>
              <w:right w:val="nil"/>
            </w:tcBorders>
          </w:tcPr>
          <w:p w14:paraId="55743B13" w14:textId="77777777" w:rsidR="000B3C5C" w:rsidRDefault="00ED192D">
            <w:pPr>
              <w:spacing w:after="0" w:line="259" w:lineRule="auto"/>
              <w:ind w:left="95" w:firstLine="0"/>
            </w:pPr>
            <w:r>
              <w:rPr>
                <w:rFonts w:ascii="Arial" w:eastAsia="Arial" w:hAnsi="Arial" w:cs="Arial"/>
                <w:sz w:val="18"/>
              </w:rPr>
              <w:t xml:space="preserve"> </w:t>
            </w:r>
          </w:p>
        </w:tc>
        <w:tc>
          <w:tcPr>
            <w:tcW w:w="867" w:type="dxa"/>
            <w:tcBorders>
              <w:top w:val="single" w:sz="6" w:space="0" w:color="000000"/>
              <w:left w:val="nil"/>
              <w:bottom w:val="single" w:sz="6" w:space="0" w:color="000000"/>
              <w:right w:val="single" w:sz="4" w:space="0" w:color="000000"/>
            </w:tcBorders>
          </w:tcPr>
          <w:p w14:paraId="670B21E4" w14:textId="77777777" w:rsidR="000B3C5C" w:rsidRDefault="000B3C5C">
            <w:pPr>
              <w:spacing w:after="160" w:line="259" w:lineRule="auto"/>
              <w:ind w:left="0" w:firstLine="0"/>
            </w:pPr>
          </w:p>
        </w:tc>
      </w:tr>
      <w:tr w:rsidR="000B3C5C" w14:paraId="58EC0D8B" w14:textId="77777777">
        <w:trPr>
          <w:trHeight w:val="339"/>
        </w:trPr>
        <w:tc>
          <w:tcPr>
            <w:tcW w:w="1580" w:type="dxa"/>
            <w:tcBorders>
              <w:top w:val="single" w:sz="6" w:space="0" w:color="000000"/>
              <w:left w:val="single" w:sz="4" w:space="0" w:color="000000"/>
              <w:bottom w:val="single" w:sz="6" w:space="0" w:color="000000"/>
              <w:right w:val="single" w:sz="9" w:space="0" w:color="000000"/>
            </w:tcBorders>
          </w:tcPr>
          <w:p w14:paraId="34CA24D6" w14:textId="77777777" w:rsidR="000B3C5C" w:rsidRDefault="00ED192D">
            <w:pPr>
              <w:spacing w:after="0" w:line="259" w:lineRule="auto"/>
              <w:ind w:left="108" w:firstLine="0"/>
            </w:pPr>
            <w:r>
              <w:rPr>
                <w:rFonts w:ascii="Arial" w:eastAsia="Arial" w:hAnsi="Arial" w:cs="Arial"/>
                <w:sz w:val="16"/>
              </w:rPr>
              <w:t>Survival Status</w:t>
            </w:r>
            <w:r>
              <w:rPr>
                <w:rFonts w:ascii="Arial" w:eastAsia="Arial" w:hAnsi="Arial" w:cs="Arial"/>
                <w:color w:val="FF00FF"/>
                <w:sz w:val="16"/>
              </w:rPr>
              <w:t xml:space="preserve"> </w:t>
            </w:r>
          </w:p>
        </w:tc>
        <w:tc>
          <w:tcPr>
            <w:tcW w:w="601" w:type="dxa"/>
            <w:tcBorders>
              <w:top w:val="single" w:sz="6" w:space="0" w:color="000000"/>
              <w:left w:val="single" w:sz="9" w:space="0" w:color="000000"/>
              <w:bottom w:val="single" w:sz="6" w:space="0" w:color="000000"/>
              <w:right w:val="single" w:sz="6" w:space="0" w:color="000000"/>
            </w:tcBorders>
            <w:shd w:val="clear" w:color="auto" w:fill="A6A6A6"/>
          </w:tcPr>
          <w:p w14:paraId="49F3F4B7" w14:textId="77777777" w:rsidR="000B3C5C" w:rsidRDefault="00ED192D">
            <w:pPr>
              <w:spacing w:after="0" w:line="259" w:lineRule="auto"/>
              <w:ind w:left="98" w:firstLine="0"/>
              <w:jc w:val="center"/>
            </w:pPr>
            <w:r>
              <w:rPr>
                <w:rFonts w:ascii="Arial" w:eastAsia="Arial" w:hAnsi="Arial" w:cs="Arial"/>
                <w:sz w:val="16"/>
              </w:rPr>
              <w:t xml:space="preserve"> </w:t>
            </w:r>
          </w:p>
        </w:tc>
        <w:tc>
          <w:tcPr>
            <w:tcW w:w="735" w:type="dxa"/>
            <w:tcBorders>
              <w:top w:val="single" w:sz="6" w:space="0" w:color="000000"/>
              <w:left w:val="single" w:sz="6" w:space="0" w:color="000000"/>
              <w:bottom w:val="single" w:sz="6" w:space="0" w:color="000000"/>
              <w:right w:val="single" w:sz="6" w:space="0" w:color="000000"/>
            </w:tcBorders>
            <w:shd w:val="clear" w:color="auto" w:fill="A6A6A6"/>
          </w:tcPr>
          <w:p w14:paraId="2EFFFB8E" w14:textId="77777777" w:rsidR="000B3C5C" w:rsidRDefault="00ED192D">
            <w:pPr>
              <w:spacing w:after="0" w:line="259" w:lineRule="auto"/>
              <w:ind w:left="100" w:firstLine="0"/>
              <w:jc w:val="center"/>
            </w:pPr>
            <w:r>
              <w:rPr>
                <w:rFonts w:ascii="Arial" w:eastAsia="Arial" w:hAnsi="Arial" w:cs="Arial"/>
                <w:sz w:val="16"/>
              </w:rPr>
              <w:t xml:space="preserve"> </w:t>
            </w:r>
          </w:p>
        </w:tc>
        <w:tc>
          <w:tcPr>
            <w:tcW w:w="663" w:type="dxa"/>
            <w:tcBorders>
              <w:top w:val="single" w:sz="6" w:space="0" w:color="000000"/>
              <w:left w:val="single" w:sz="6" w:space="0" w:color="000000"/>
              <w:bottom w:val="single" w:sz="6" w:space="0" w:color="000000"/>
              <w:right w:val="single" w:sz="6" w:space="0" w:color="000000"/>
            </w:tcBorders>
            <w:shd w:val="clear" w:color="auto" w:fill="A6A6A6"/>
          </w:tcPr>
          <w:p w14:paraId="2D623FB8" w14:textId="77777777" w:rsidR="000B3C5C" w:rsidRDefault="00ED192D">
            <w:pPr>
              <w:spacing w:after="0" w:line="259" w:lineRule="auto"/>
              <w:ind w:left="96" w:firstLine="0"/>
              <w:jc w:val="center"/>
            </w:pPr>
            <w:r>
              <w:rPr>
                <w:rFonts w:ascii="Arial" w:eastAsia="Arial" w:hAnsi="Arial" w:cs="Arial"/>
                <w:sz w:val="16"/>
              </w:rPr>
              <w:t xml:space="preserve"> </w:t>
            </w:r>
          </w:p>
        </w:tc>
        <w:tc>
          <w:tcPr>
            <w:tcW w:w="601" w:type="dxa"/>
            <w:tcBorders>
              <w:top w:val="single" w:sz="6" w:space="0" w:color="000000"/>
              <w:left w:val="single" w:sz="6" w:space="0" w:color="000000"/>
              <w:bottom w:val="single" w:sz="6" w:space="0" w:color="000000"/>
              <w:right w:val="single" w:sz="6" w:space="0" w:color="000000"/>
            </w:tcBorders>
            <w:shd w:val="clear" w:color="auto" w:fill="A6A6A6"/>
          </w:tcPr>
          <w:p w14:paraId="2D33341C" w14:textId="77777777" w:rsidR="000B3C5C" w:rsidRDefault="00ED192D">
            <w:pPr>
              <w:spacing w:after="0" w:line="259" w:lineRule="auto"/>
              <w:ind w:left="95" w:firstLine="0"/>
              <w:jc w:val="center"/>
            </w:pPr>
            <w:r>
              <w:rPr>
                <w:rFonts w:ascii="Arial" w:eastAsia="Arial" w:hAnsi="Arial" w:cs="Arial"/>
                <w:sz w:val="16"/>
              </w:rPr>
              <w:t xml:space="preserve"> </w:t>
            </w:r>
          </w:p>
        </w:tc>
        <w:tc>
          <w:tcPr>
            <w:tcW w:w="588" w:type="dxa"/>
            <w:tcBorders>
              <w:top w:val="single" w:sz="6" w:space="0" w:color="000000"/>
              <w:left w:val="single" w:sz="6" w:space="0" w:color="000000"/>
              <w:bottom w:val="single" w:sz="6" w:space="0" w:color="000000"/>
              <w:right w:val="single" w:sz="6" w:space="0" w:color="000000"/>
            </w:tcBorders>
            <w:shd w:val="clear" w:color="auto" w:fill="A6A6A6"/>
          </w:tcPr>
          <w:p w14:paraId="2062EDD7" w14:textId="77777777" w:rsidR="000B3C5C" w:rsidRDefault="00ED192D">
            <w:pPr>
              <w:spacing w:after="0" w:line="259" w:lineRule="auto"/>
              <w:ind w:left="94" w:firstLine="0"/>
              <w:jc w:val="center"/>
            </w:pPr>
            <w:r>
              <w:rPr>
                <w:rFonts w:ascii="Arial" w:eastAsia="Arial" w:hAnsi="Arial" w:cs="Arial"/>
                <w:sz w:val="16"/>
              </w:rPr>
              <w:t xml:space="preserve"> </w:t>
            </w:r>
          </w:p>
        </w:tc>
        <w:tc>
          <w:tcPr>
            <w:tcW w:w="3170" w:type="dxa"/>
            <w:tcBorders>
              <w:top w:val="single" w:sz="6" w:space="0" w:color="000000"/>
              <w:left w:val="single" w:sz="6" w:space="0" w:color="000000"/>
              <w:bottom w:val="single" w:sz="6" w:space="0" w:color="000000"/>
              <w:right w:val="single" w:sz="6" w:space="0" w:color="000000"/>
            </w:tcBorders>
            <w:shd w:val="clear" w:color="auto" w:fill="A6A6A6"/>
          </w:tcPr>
          <w:p w14:paraId="0E4B1884" w14:textId="77777777" w:rsidR="000B3C5C" w:rsidRDefault="00ED192D">
            <w:pPr>
              <w:spacing w:after="0" w:line="259" w:lineRule="auto"/>
              <w:ind w:left="102" w:firstLine="0"/>
              <w:jc w:val="center"/>
            </w:pPr>
            <w:r>
              <w:rPr>
                <w:rFonts w:ascii="Arial" w:eastAsia="Arial" w:hAnsi="Arial" w:cs="Arial"/>
                <w:sz w:val="16"/>
              </w:rPr>
              <w:t xml:space="preserve"> </w:t>
            </w:r>
          </w:p>
        </w:tc>
        <w:tc>
          <w:tcPr>
            <w:tcW w:w="1289" w:type="dxa"/>
            <w:tcBorders>
              <w:top w:val="single" w:sz="6" w:space="0" w:color="000000"/>
              <w:left w:val="single" w:sz="6" w:space="0" w:color="000000"/>
              <w:bottom w:val="single" w:sz="6" w:space="0" w:color="000000"/>
              <w:right w:val="single" w:sz="6" w:space="0" w:color="000000"/>
            </w:tcBorders>
            <w:shd w:val="clear" w:color="auto" w:fill="A6A6A6"/>
          </w:tcPr>
          <w:p w14:paraId="71F83766" w14:textId="77777777" w:rsidR="000B3C5C" w:rsidRDefault="00ED192D">
            <w:pPr>
              <w:spacing w:after="0" w:line="259" w:lineRule="auto"/>
              <w:ind w:left="101" w:firstLine="0"/>
              <w:jc w:val="center"/>
            </w:pPr>
            <w:r>
              <w:rPr>
                <w:rFonts w:ascii="Arial" w:eastAsia="Arial" w:hAnsi="Arial" w:cs="Arial"/>
                <w:sz w:val="16"/>
              </w:rPr>
              <w:t xml:space="preserve"> </w:t>
            </w:r>
          </w:p>
        </w:tc>
        <w:tc>
          <w:tcPr>
            <w:tcW w:w="1375" w:type="dxa"/>
            <w:tcBorders>
              <w:top w:val="single" w:sz="6" w:space="0" w:color="000000"/>
              <w:left w:val="single" w:sz="6" w:space="0" w:color="000000"/>
              <w:bottom w:val="single" w:sz="6" w:space="0" w:color="000000"/>
              <w:right w:val="single" w:sz="6" w:space="0" w:color="000000"/>
            </w:tcBorders>
            <w:shd w:val="clear" w:color="auto" w:fill="A6A6A6"/>
          </w:tcPr>
          <w:p w14:paraId="5A722DC7" w14:textId="77777777" w:rsidR="000B3C5C" w:rsidRDefault="00ED192D">
            <w:pPr>
              <w:spacing w:after="0" w:line="259" w:lineRule="auto"/>
              <w:ind w:left="93" w:firstLine="0"/>
              <w:jc w:val="center"/>
            </w:pPr>
            <w:r>
              <w:rPr>
                <w:rFonts w:ascii="Arial" w:eastAsia="Arial" w:hAnsi="Arial" w:cs="Arial"/>
                <w:sz w:val="16"/>
              </w:rPr>
              <w:t xml:space="preserve"> </w:t>
            </w:r>
          </w:p>
        </w:tc>
        <w:tc>
          <w:tcPr>
            <w:tcW w:w="1150" w:type="dxa"/>
            <w:tcBorders>
              <w:top w:val="single" w:sz="6" w:space="0" w:color="000000"/>
              <w:left w:val="single" w:sz="6" w:space="0" w:color="000000"/>
              <w:bottom w:val="single" w:sz="6" w:space="0" w:color="000000"/>
              <w:right w:val="single" w:sz="6" w:space="0" w:color="000000"/>
            </w:tcBorders>
            <w:shd w:val="clear" w:color="auto" w:fill="A6A6A6"/>
          </w:tcPr>
          <w:p w14:paraId="69531085" w14:textId="77777777" w:rsidR="000B3C5C" w:rsidRDefault="00ED192D">
            <w:pPr>
              <w:spacing w:after="0" w:line="259" w:lineRule="auto"/>
              <w:ind w:left="101" w:firstLine="0"/>
              <w:jc w:val="center"/>
            </w:pPr>
            <w:r>
              <w:rPr>
                <w:rFonts w:ascii="Arial" w:eastAsia="Arial" w:hAnsi="Arial" w:cs="Arial"/>
                <w:sz w:val="16"/>
              </w:rPr>
              <w:t xml:space="preserve"> </w:t>
            </w:r>
          </w:p>
        </w:tc>
        <w:tc>
          <w:tcPr>
            <w:tcW w:w="1409" w:type="dxa"/>
            <w:gridSpan w:val="2"/>
            <w:tcBorders>
              <w:top w:val="single" w:sz="6" w:space="0" w:color="000000"/>
              <w:left w:val="single" w:sz="6" w:space="0" w:color="000000"/>
              <w:bottom w:val="single" w:sz="6" w:space="0" w:color="000000"/>
              <w:right w:val="single" w:sz="6" w:space="0" w:color="000000"/>
            </w:tcBorders>
          </w:tcPr>
          <w:p w14:paraId="32ADA75E" w14:textId="77777777" w:rsidR="000B3C5C" w:rsidRDefault="00ED192D">
            <w:pPr>
              <w:spacing w:after="0" w:line="259" w:lineRule="auto"/>
              <w:ind w:left="52" w:firstLine="0"/>
              <w:jc w:val="center"/>
            </w:pPr>
            <w:r>
              <w:rPr>
                <w:rFonts w:ascii="Arial" w:eastAsia="Arial" w:hAnsi="Arial" w:cs="Arial"/>
                <w:sz w:val="16"/>
              </w:rPr>
              <w:t xml:space="preserve">X </w:t>
            </w:r>
          </w:p>
        </w:tc>
        <w:tc>
          <w:tcPr>
            <w:tcW w:w="310" w:type="dxa"/>
            <w:tcBorders>
              <w:top w:val="single" w:sz="6" w:space="0" w:color="000000"/>
              <w:left w:val="single" w:sz="6" w:space="0" w:color="000000"/>
              <w:bottom w:val="single" w:sz="6" w:space="0" w:color="000000"/>
              <w:right w:val="nil"/>
            </w:tcBorders>
          </w:tcPr>
          <w:p w14:paraId="4AFA8DF3" w14:textId="77777777" w:rsidR="000B3C5C" w:rsidRDefault="00ED192D">
            <w:pPr>
              <w:spacing w:after="0" w:line="259" w:lineRule="auto"/>
              <w:ind w:left="95" w:firstLine="0"/>
            </w:pPr>
            <w:r>
              <w:rPr>
                <w:rFonts w:ascii="Arial" w:eastAsia="Arial" w:hAnsi="Arial" w:cs="Arial"/>
                <w:sz w:val="18"/>
              </w:rPr>
              <w:t xml:space="preserve"> </w:t>
            </w:r>
          </w:p>
        </w:tc>
        <w:tc>
          <w:tcPr>
            <w:tcW w:w="867" w:type="dxa"/>
            <w:tcBorders>
              <w:top w:val="single" w:sz="6" w:space="0" w:color="000000"/>
              <w:left w:val="nil"/>
              <w:bottom w:val="single" w:sz="6" w:space="0" w:color="000000"/>
              <w:right w:val="single" w:sz="4" w:space="0" w:color="000000"/>
            </w:tcBorders>
          </w:tcPr>
          <w:p w14:paraId="09248417" w14:textId="77777777" w:rsidR="000B3C5C" w:rsidRDefault="000B3C5C">
            <w:pPr>
              <w:spacing w:after="160" w:line="259" w:lineRule="auto"/>
              <w:ind w:left="0" w:firstLine="0"/>
            </w:pPr>
          </w:p>
        </w:tc>
      </w:tr>
    </w:tbl>
    <w:p w14:paraId="72D06742" w14:textId="77777777" w:rsidR="000B3C5C" w:rsidRDefault="00ED192D">
      <w:pPr>
        <w:spacing w:after="121" w:line="259" w:lineRule="auto"/>
        <w:ind w:left="0" w:firstLine="0"/>
      </w:pPr>
      <w:r>
        <w:rPr>
          <w:rFonts w:ascii="Arial" w:eastAsia="Arial" w:hAnsi="Arial" w:cs="Arial"/>
          <w:b/>
          <w:sz w:val="20"/>
        </w:rPr>
        <w:t xml:space="preserve"> </w:t>
      </w:r>
    </w:p>
    <w:p w14:paraId="4016400B" w14:textId="77777777" w:rsidR="000B3C5C" w:rsidRDefault="00ED192D">
      <w:pPr>
        <w:spacing w:after="0" w:line="259" w:lineRule="auto"/>
        <w:ind w:left="0" w:firstLine="0"/>
        <w:jc w:val="both"/>
      </w:pPr>
      <w:r>
        <w:rPr>
          <w:rFonts w:ascii="Arial" w:eastAsia="Arial" w:hAnsi="Arial" w:cs="Arial"/>
          <w:b/>
          <w:sz w:val="20"/>
        </w:rPr>
        <w:t xml:space="preserve"> </w:t>
      </w:r>
      <w:r>
        <w:rPr>
          <w:rFonts w:ascii="Arial" w:eastAsia="Arial" w:hAnsi="Arial" w:cs="Arial"/>
          <w:b/>
          <w:sz w:val="20"/>
        </w:rPr>
        <w:tab/>
        <w:t xml:space="preserve"> </w:t>
      </w:r>
    </w:p>
    <w:p w14:paraId="30A3C395" w14:textId="77777777" w:rsidR="000B3C5C" w:rsidRDefault="00ED192D">
      <w:pPr>
        <w:pStyle w:val="Heading5"/>
        <w:spacing w:after="3"/>
        <w:ind w:left="-5"/>
      </w:pPr>
      <w:r>
        <w:rPr>
          <w:i w:val="0"/>
          <w:sz w:val="20"/>
        </w:rPr>
        <w:t xml:space="preserve">PHARMACOKINETICS AND IMMUNOGENICITY FLOW CHART </w:t>
      </w:r>
    </w:p>
    <w:tbl>
      <w:tblPr>
        <w:tblStyle w:val="TableGrid"/>
        <w:tblW w:w="14160" w:type="dxa"/>
        <w:tblInd w:w="0" w:type="dxa"/>
        <w:tblCellMar>
          <w:top w:w="5" w:type="dxa"/>
          <w:left w:w="0" w:type="dxa"/>
          <w:bottom w:w="5" w:type="dxa"/>
          <w:right w:w="33" w:type="dxa"/>
        </w:tblCellMar>
        <w:tblLook w:val="04A0" w:firstRow="1" w:lastRow="0" w:firstColumn="1" w:lastColumn="0" w:noHBand="0" w:noVBand="1"/>
      </w:tblPr>
      <w:tblGrid>
        <w:gridCol w:w="1326"/>
        <w:gridCol w:w="465"/>
        <w:gridCol w:w="441"/>
        <w:gridCol w:w="482"/>
        <w:gridCol w:w="88"/>
        <w:gridCol w:w="450"/>
        <w:gridCol w:w="631"/>
        <w:gridCol w:w="546"/>
        <w:gridCol w:w="1131"/>
        <w:gridCol w:w="552"/>
        <w:gridCol w:w="476"/>
        <w:gridCol w:w="459"/>
        <w:gridCol w:w="109"/>
        <w:gridCol w:w="434"/>
        <w:gridCol w:w="659"/>
        <w:gridCol w:w="545"/>
        <w:gridCol w:w="438"/>
        <w:gridCol w:w="107"/>
        <w:gridCol w:w="534"/>
        <w:gridCol w:w="608"/>
        <w:gridCol w:w="481"/>
        <w:gridCol w:w="652"/>
        <w:gridCol w:w="696"/>
        <w:gridCol w:w="619"/>
        <w:gridCol w:w="492"/>
        <w:gridCol w:w="73"/>
        <w:gridCol w:w="666"/>
      </w:tblGrid>
      <w:tr w:rsidR="000B3C5C" w14:paraId="54A40AB3" w14:textId="77777777">
        <w:trPr>
          <w:trHeight w:val="290"/>
        </w:trPr>
        <w:tc>
          <w:tcPr>
            <w:tcW w:w="1328" w:type="dxa"/>
            <w:tcBorders>
              <w:top w:val="single" w:sz="4" w:space="0" w:color="000000"/>
              <w:left w:val="single" w:sz="4" w:space="0" w:color="000000"/>
              <w:bottom w:val="single" w:sz="4" w:space="0" w:color="000000"/>
              <w:right w:val="single" w:sz="4" w:space="0" w:color="000000"/>
            </w:tcBorders>
          </w:tcPr>
          <w:p w14:paraId="1592FFF3" w14:textId="77777777" w:rsidR="000B3C5C" w:rsidRDefault="00ED192D">
            <w:pPr>
              <w:spacing w:after="0" w:line="259" w:lineRule="auto"/>
              <w:ind w:left="30" w:firstLine="0"/>
              <w:jc w:val="center"/>
            </w:pPr>
            <w:r>
              <w:rPr>
                <w:rFonts w:ascii="Arial" w:eastAsia="Arial" w:hAnsi="Arial" w:cs="Arial"/>
                <w:sz w:val="14"/>
              </w:rPr>
              <w:t xml:space="preserve">Study Phase </w:t>
            </w:r>
          </w:p>
        </w:tc>
        <w:tc>
          <w:tcPr>
            <w:tcW w:w="904" w:type="dxa"/>
            <w:gridSpan w:val="2"/>
            <w:tcBorders>
              <w:top w:val="single" w:sz="4" w:space="0" w:color="000000"/>
              <w:left w:val="single" w:sz="4" w:space="0" w:color="000000"/>
              <w:bottom w:val="single" w:sz="4" w:space="0" w:color="000000"/>
              <w:right w:val="nil"/>
            </w:tcBorders>
          </w:tcPr>
          <w:p w14:paraId="4371D86E" w14:textId="77777777" w:rsidR="000B3C5C" w:rsidRDefault="000B3C5C">
            <w:pPr>
              <w:spacing w:after="160" w:line="259" w:lineRule="auto"/>
              <w:ind w:left="0" w:firstLine="0"/>
            </w:pPr>
          </w:p>
        </w:tc>
        <w:tc>
          <w:tcPr>
            <w:tcW w:w="1022" w:type="dxa"/>
            <w:gridSpan w:val="3"/>
            <w:tcBorders>
              <w:top w:val="single" w:sz="4" w:space="0" w:color="000000"/>
              <w:left w:val="nil"/>
              <w:bottom w:val="single" w:sz="4" w:space="0" w:color="000000"/>
              <w:right w:val="nil"/>
            </w:tcBorders>
          </w:tcPr>
          <w:p w14:paraId="0188D4EC"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tcPr>
          <w:p w14:paraId="795D16DB" w14:textId="77777777" w:rsidR="000B3C5C" w:rsidRDefault="000B3C5C">
            <w:pPr>
              <w:spacing w:after="160" w:line="259" w:lineRule="auto"/>
              <w:ind w:left="0" w:firstLine="0"/>
            </w:pPr>
          </w:p>
        </w:tc>
        <w:tc>
          <w:tcPr>
            <w:tcW w:w="1139" w:type="dxa"/>
            <w:tcBorders>
              <w:top w:val="single" w:sz="4" w:space="0" w:color="000000"/>
              <w:left w:val="nil"/>
              <w:bottom w:val="single" w:sz="4" w:space="0" w:color="000000"/>
              <w:right w:val="nil"/>
            </w:tcBorders>
          </w:tcPr>
          <w:p w14:paraId="0342C773" w14:textId="77777777" w:rsidR="000B3C5C" w:rsidRDefault="000B3C5C">
            <w:pPr>
              <w:spacing w:after="160" w:line="259" w:lineRule="auto"/>
              <w:ind w:left="0" w:firstLine="0"/>
            </w:pPr>
          </w:p>
        </w:tc>
        <w:tc>
          <w:tcPr>
            <w:tcW w:w="1031" w:type="dxa"/>
            <w:gridSpan w:val="2"/>
            <w:tcBorders>
              <w:top w:val="single" w:sz="4" w:space="0" w:color="000000"/>
              <w:left w:val="nil"/>
              <w:bottom w:val="single" w:sz="4" w:space="0" w:color="000000"/>
              <w:right w:val="nil"/>
            </w:tcBorders>
          </w:tcPr>
          <w:p w14:paraId="33EA3768" w14:textId="77777777" w:rsidR="000B3C5C" w:rsidRDefault="000B3C5C">
            <w:pPr>
              <w:spacing w:after="160" w:line="259" w:lineRule="auto"/>
              <w:ind w:left="0" w:firstLine="0"/>
            </w:pPr>
          </w:p>
        </w:tc>
        <w:tc>
          <w:tcPr>
            <w:tcW w:w="1670" w:type="dxa"/>
            <w:gridSpan w:val="4"/>
            <w:tcBorders>
              <w:top w:val="single" w:sz="4" w:space="0" w:color="000000"/>
              <w:left w:val="nil"/>
              <w:bottom w:val="single" w:sz="4" w:space="0" w:color="000000"/>
              <w:right w:val="nil"/>
            </w:tcBorders>
          </w:tcPr>
          <w:p w14:paraId="3B5C6634" w14:textId="77777777" w:rsidR="000B3C5C" w:rsidRDefault="00ED192D">
            <w:pPr>
              <w:spacing w:after="0" w:line="259" w:lineRule="auto"/>
              <w:ind w:left="-6" w:firstLine="0"/>
            </w:pPr>
            <w:r>
              <w:rPr>
                <w:rFonts w:ascii="Arial" w:eastAsia="Arial" w:hAnsi="Arial" w:cs="Arial"/>
                <w:sz w:val="14"/>
              </w:rPr>
              <w:t xml:space="preserve">Treatment Phase </w:t>
            </w:r>
          </w:p>
        </w:tc>
        <w:tc>
          <w:tcPr>
            <w:tcW w:w="978" w:type="dxa"/>
            <w:gridSpan w:val="2"/>
            <w:tcBorders>
              <w:top w:val="single" w:sz="4" w:space="0" w:color="000000"/>
              <w:left w:val="nil"/>
              <w:bottom w:val="single" w:sz="4" w:space="0" w:color="000000"/>
              <w:right w:val="nil"/>
            </w:tcBorders>
          </w:tcPr>
          <w:p w14:paraId="62C9A611" w14:textId="77777777" w:rsidR="000B3C5C" w:rsidRDefault="000B3C5C">
            <w:pPr>
              <w:spacing w:after="160" w:line="259" w:lineRule="auto"/>
              <w:ind w:left="0" w:firstLine="0"/>
            </w:pPr>
          </w:p>
        </w:tc>
        <w:tc>
          <w:tcPr>
            <w:tcW w:w="617" w:type="dxa"/>
            <w:gridSpan w:val="2"/>
            <w:tcBorders>
              <w:top w:val="single" w:sz="4" w:space="0" w:color="000000"/>
              <w:left w:val="nil"/>
              <w:bottom w:val="single" w:sz="4" w:space="0" w:color="000000"/>
              <w:right w:val="nil"/>
            </w:tcBorders>
          </w:tcPr>
          <w:p w14:paraId="6CF4B776" w14:textId="77777777" w:rsidR="000B3C5C" w:rsidRDefault="000B3C5C">
            <w:pPr>
              <w:spacing w:after="160" w:line="259" w:lineRule="auto"/>
              <w:ind w:left="0" w:firstLine="0"/>
            </w:pPr>
          </w:p>
        </w:tc>
        <w:tc>
          <w:tcPr>
            <w:tcW w:w="1097" w:type="dxa"/>
            <w:gridSpan w:val="2"/>
            <w:tcBorders>
              <w:top w:val="single" w:sz="4" w:space="0" w:color="000000"/>
              <w:left w:val="nil"/>
              <w:bottom w:val="single" w:sz="4" w:space="0" w:color="000000"/>
              <w:right w:val="nil"/>
            </w:tcBorders>
          </w:tcPr>
          <w:p w14:paraId="032F092E" w14:textId="77777777" w:rsidR="000B3C5C" w:rsidRDefault="000B3C5C">
            <w:pPr>
              <w:spacing w:after="160" w:line="259" w:lineRule="auto"/>
              <w:ind w:left="0" w:firstLine="0"/>
            </w:pPr>
          </w:p>
        </w:tc>
        <w:tc>
          <w:tcPr>
            <w:tcW w:w="656" w:type="dxa"/>
            <w:tcBorders>
              <w:top w:val="single" w:sz="4" w:space="0" w:color="000000"/>
              <w:left w:val="nil"/>
              <w:bottom w:val="single" w:sz="4" w:space="0" w:color="000000"/>
              <w:right w:val="nil"/>
            </w:tcBorders>
          </w:tcPr>
          <w:p w14:paraId="3E7FDEFC" w14:textId="77777777" w:rsidR="000B3C5C" w:rsidRDefault="000B3C5C">
            <w:pPr>
              <w:spacing w:after="160" w:line="259" w:lineRule="auto"/>
              <w:ind w:left="0" w:firstLine="0"/>
            </w:pPr>
          </w:p>
        </w:tc>
        <w:tc>
          <w:tcPr>
            <w:tcW w:w="1322" w:type="dxa"/>
            <w:gridSpan w:val="2"/>
            <w:tcBorders>
              <w:top w:val="single" w:sz="4" w:space="0" w:color="000000"/>
              <w:left w:val="nil"/>
              <w:bottom w:val="single" w:sz="4" w:space="0" w:color="000000"/>
              <w:right w:val="single" w:sz="4" w:space="0" w:color="000000"/>
            </w:tcBorders>
          </w:tcPr>
          <w:p w14:paraId="4A9A4902" w14:textId="77777777" w:rsidR="000B3C5C" w:rsidRDefault="000B3C5C">
            <w:pPr>
              <w:spacing w:after="160" w:line="259" w:lineRule="auto"/>
              <w:ind w:left="0" w:firstLine="0"/>
            </w:pPr>
          </w:p>
        </w:tc>
        <w:tc>
          <w:tcPr>
            <w:tcW w:w="1215" w:type="dxa"/>
            <w:gridSpan w:val="3"/>
            <w:tcBorders>
              <w:top w:val="single" w:sz="4" w:space="0" w:color="000000"/>
              <w:left w:val="single" w:sz="4" w:space="0" w:color="000000"/>
              <w:bottom w:val="single" w:sz="4" w:space="0" w:color="000000"/>
              <w:right w:val="single" w:sz="4" w:space="0" w:color="000000"/>
            </w:tcBorders>
          </w:tcPr>
          <w:p w14:paraId="1BEFABF1" w14:textId="77777777" w:rsidR="000B3C5C" w:rsidRDefault="00ED192D">
            <w:pPr>
              <w:spacing w:after="0" w:line="259" w:lineRule="auto"/>
              <w:ind w:left="9" w:firstLine="0"/>
              <w:jc w:val="center"/>
            </w:pPr>
            <w:r>
              <w:rPr>
                <w:rFonts w:ascii="Arial" w:eastAsia="Arial" w:hAnsi="Arial" w:cs="Arial"/>
                <w:sz w:val="14"/>
              </w:rPr>
              <w:t xml:space="preserve">Post-treatment </w:t>
            </w:r>
          </w:p>
        </w:tc>
      </w:tr>
      <w:tr w:rsidR="000B3C5C" w14:paraId="55A56C82" w14:textId="77777777">
        <w:trPr>
          <w:trHeight w:val="341"/>
        </w:trPr>
        <w:tc>
          <w:tcPr>
            <w:tcW w:w="1328" w:type="dxa"/>
            <w:tcBorders>
              <w:top w:val="single" w:sz="4" w:space="0" w:color="000000"/>
              <w:left w:val="single" w:sz="4" w:space="0" w:color="000000"/>
              <w:bottom w:val="single" w:sz="4" w:space="0" w:color="000000"/>
              <w:right w:val="single" w:sz="4" w:space="0" w:color="000000"/>
            </w:tcBorders>
          </w:tcPr>
          <w:p w14:paraId="343B602D" w14:textId="77777777" w:rsidR="000B3C5C" w:rsidRDefault="00ED192D">
            <w:pPr>
              <w:spacing w:after="0" w:line="259" w:lineRule="auto"/>
              <w:ind w:left="72" w:firstLine="0"/>
            </w:pPr>
            <w:r>
              <w:rPr>
                <w:rFonts w:ascii="Arial" w:eastAsia="Arial" w:hAnsi="Arial" w:cs="Arial"/>
                <w:b/>
                <w:sz w:val="14"/>
              </w:rPr>
              <w:t xml:space="preserve">Cycle  </w:t>
            </w:r>
          </w:p>
        </w:tc>
        <w:tc>
          <w:tcPr>
            <w:tcW w:w="904" w:type="dxa"/>
            <w:gridSpan w:val="2"/>
            <w:tcBorders>
              <w:top w:val="single" w:sz="4" w:space="0" w:color="000000"/>
              <w:left w:val="single" w:sz="4" w:space="0" w:color="000000"/>
              <w:bottom w:val="single" w:sz="4" w:space="0" w:color="000000"/>
              <w:right w:val="nil"/>
            </w:tcBorders>
          </w:tcPr>
          <w:p w14:paraId="64E56E72" w14:textId="77777777" w:rsidR="000B3C5C" w:rsidRDefault="000B3C5C">
            <w:pPr>
              <w:spacing w:after="160" w:line="259" w:lineRule="auto"/>
              <w:ind w:left="0" w:firstLine="0"/>
            </w:pPr>
          </w:p>
        </w:tc>
        <w:tc>
          <w:tcPr>
            <w:tcW w:w="1022" w:type="dxa"/>
            <w:gridSpan w:val="3"/>
            <w:tcBorders>
              <w:top w:val="single" w:sz="4" w:space="0" w:color="000000"/>
              <w:left w:val="nil"/>
              <w:bottom w:val="single" w:sz="4" w:space="0" w:color="000000"/>
              <w:right w:val="nil"/>
            </w:tcBorders>
          </w:tcPr>
          <w:p w14:paraId="50CAEBEC"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tcPr>
          <w:p w14:paraId="13C994C7" w14:textId="77777777" w:rsidR="000B3C5C" w:rsidRDefault="00ED192D">
            <w:pPr>
              <w:spacing w:after="0" w:line="259" w:lineRule="auto"/>
              <w:ind w:left="521" w:firstLine="0"/>
            </w:pPr>
            <w:r>
              <w:rPr>
                <w:rFonts w:ascii="Arial" w:eastAsia="Arial" w:hAnsi="Arial" w:cs="Arial"/>
                <w:b/>
                <w:sz w:val="14"/>
              </w:rPr>
              <w:t xml:space="preserve">Cycle 1 </w:t>
            </w:r>
          </w:p>
        </w:tc>
        <w:tc>
          <w:tcPr>
            <w:tcW w:w="1139" w:type="dxa"/>
            <w:tcBorders>
              <w:top w:val="single" w:sz="4" w:space="0" w:color="000000"/>
              <w:left w:val="nil"/>
              <w:bottom w:val="single" w:sz="4" w:space="0" w:color="000000"/>
              <w:right w:val="nil"/>
            </w:tcBorders>
          </w:tcPr>
          <w:p w14:paraId="375D5A2E" w14:textId="77777777" w:rsidR="000B3C5C" w:rsidRDefault="000B3C5C">
            <w:pPr>
              <w:spacing w:after="160" w:line="259" w:lineRule="auto"/>
              <w:ind w:left="0" w:firstLine="0"/>
            </w:pPr>
          </w:p>
        </w:tc>
        <w:tc>
          <w:tcPr>
            <w:tcW w:w="1031" w:type="dxa"/>
            <w:gridSpan w:val="2"/>
            <w:tcBorders>
              <w:top w:val="single" w:sz="4" w:space="0" w:color="000000"/>
              <w:left w:val="nil"/>
              <w:bottom w:val="single" w:sz="4" w:space="0" w:color="000000"/>
              <w:right w:val="single" w:sz="4" w:space="0" w:color="000000"/>
            </w:tcBorders>
          </w:tcPr>
          <w:p w14:paraId="13595FEB" w14:textId="77777777" w:rsidR="000B3C5C" w:rsidRDefault="000B3C5C">
            <w:pPr>
              <w:spacing w:after="160" w:line="259" w:lineRule="auto"/>
              <w:ind w:left="0" w:firstLine="0"/>
            </w:pPr>
          </w:p>
        </w:tc>
        <w:tc>
          <w:tcPr>
            <w:tcW w:w="1670" w:type="dxa"/>
            <w:gridSpan w:val="4"/>
            <w:tcBorders>
              <w:top w:val="single" w:sz="4" w:space="0" w:color="000000"/>
              <w:left w:val="single" w:sz="4" w:space="0" w:color="000000"/>
              <w:bottom w:val="single" w:sz="4" w:space="0" w:color="000000"/>
              <w:right w:val="single" w:sz="4" w:space="0" w:color="000000"/>
            </w:tcBorders>
          </w:tcPr>
          <w:p w14:paraId="66C17F9A" w14:textId="77777777" w:rsidR="000B3C5C" w:rsidRDefault="00ED192D">
            <w:pPr>
              <w:spacing w:after="0" w:line="259" w:lineRule="auto"/>
              <w:ind w:left="54" w:firstLine="0"/>
              <w:jc w:val="center"/>
            </w:pPr>
            <w:r>
              <w:rPr>
                <w:rFonts w:ascii="Arial" w:eastAsia="Arial" w:hAnsi="Arial" w:cs="Arial"/>
                <w:b/>
                <w:sz w:val="14"/>
              </w:rPr>
              <w:t xml:space="preserve">Cycle 2 </w:t>
            </w:r>
          </w:p>
        </w:tc>
        <w:tc>
          <w:tcPr>
            <w:tcW w:w="978" w:type="dxa"/>
            <w:gridSpan w:val="2"/>
            <w:tcBorders>
              <w:top w:val="single" w:sz="4" w:space="0" w:color="000000"/>
              <w:left w:val="single" w:sz="4" w:space="0" w:color="000000"/>
              <w:bottom w:val="single" w:sz="4" w:space="0" w:color="000000"/>
              <w:right w:val="single" w:sz="4" w:space="0" w:color="000000"/>
            </w:tcBorders>
          </w:tcPr>
          <w:p w14:paraId="284930DB" w14:textId="77777777" w:rsidR="000B3C5C" w:rsidRDefault="00ED192D">
            <w:pPr>
              <w:spacing w:after="0" w:line="259" w:lineRule="auto"/>
              <w:ind w:left="32" w:firstLine="0"/>
              <w:jc w:val="center"/>
            </w:pPr>
            <w:r>
              <w:rPr>
                <w:rFonts w:ascii="Arial" w:eastAsia="Arial" w:hAnsi="Arial" w:cs="Arial"/>
                <w:b/>
                <w:sz w:val="14"/>
              </w:rPr>
              <w:t xml:space="preserve">Cycle 3 </w:t>
            </w:r>
          </w:p>
        </w:tc>
        <w:tc>
          <w:tcPr>
            <w:tcW w:w="617" w:type="dxa"/>
            <w:gridSpan w:val="2"/>
            <w:tcBorders>
              <w:top w:val="single" w:sz="4" w:space="0" w:color="000000"/>
              <w:left w:val="single" w:sz="4" w:space="0" w:color="000000"/>
              <w:bottom w:val="single" w:sz="4" w:space="0" w:color="000000"/>
              <w:right w:val="nil"/>
            </w:tcBorders>
          </w:tcPr>
          <w:p w14:paraId="1AE40958" w14:textId="77777777" w:rsidR="000B3C5C" w:rsidRDefault="000B3C5C">
            <w:pPr>
              <w:spacing w:after="160" w:line="259" w:lineRule="auto"/>
              <w:ind w:left="0" w:firstLine="0"/>
            </w:pPr>
          </w:p>
        </w:tc>
        <w:tc>
          <w:tcPr>
            <w:tcW w:w="1097" w:type="dxa"/>
            <w:gridSpan w:val="2"/>
            <w:tcBorders>
              <w:top w:val="single" w:sz="4" w:space="0" w:color="000000"/>
              <w:left w:val="nil"/>
              <w:bottom w:val="single" w:sz="4" w:space="0" w:color="000000"/>
              <w:right w:val="nil"/>
            </w:tcBorders>
          </w:tcPr>
          <w:p w14:paraId="394728E5" w14:textId="77777777" w:rsidR="000B3C5C" w:rsidRDefault="00ED192D">
            <w:pPr>
              <w:spacing w:after="0" w:line="259" w:lineRule="auto"/>
              <w:ind w:left="65" w:firstLine="0"/>
              <w:jc w:val="center"/>
            </w:pPr>
            <w:r>
              <w:rPr>
                <w:rFonts w:ascii="Arial" w:eastAsia="Arial" w:hAnsi="Arial" w:cs="Arial"/>
                <w:b/>
                <w:sz w:val="14"/>
              </w:rPr>
              <w:t xml:space="preserve">Cycle 4 </w:t>
            </w:r>
          </w:p>
        </w:tc>
        <w:tc>
          <w:tcPr>
            <w:tcW w:w="656" w:type="dxa"/>
            <w:tcBorders>
              <w:top w:val="single" w:sz="4" w:space="0" w:color="000000"/>
              <w:left w:val="nil"/>
              <w:bottom w:val="single" w:sz="4" w:space="0" w:color="000000"/>
              <w:right w:val="single" w:sz="4" w:space="0" w:color="000000"/>
            </w:tcBorders>
          </w:tcPr>
          <w:p w14:paraId="79F8AE4F" w14:textId="77777777" w:rsidR="000B3C5C" w:rsidRDefault="000B3C5C">
            <w:pPr>
              <w:spacing w:after="160" w:line="259" w:lineRule="auto"/>
              <w:ind w:left="0" w:firstLine="0"/>
            </w:pPr>
          </w:p>
        </w:tc>
        <w:tc>
          <w:tcPr>
            <w:tcW w:w="1322" w:type="dxa"/>
            <w:gridSpan w:val="2"/>
            <w:tcBorders>
              <w:top w:val="single" w:sz="4" w:space="0" w:color="000000"/>
              <w:left w:val="single" w:sz="4" w:space="0" w:color="000000"/>
              <w:bottom w:val="single" w:sz="4" w:space="0" w:color="000000"/>
              <w:right w:val="single" w:sz="4" w:space="0" w:color="000000"/>
            </w:tcBorders>
          </w:tcPr>
          <w:p w14:paraId="5443F3BA" w14:textId="77777777" w:rsidR="000B3C5C" w:rsidRDefault="00ED192D">
            <w:pPr>
              <w:spacing w:after="0" w:line="259" w:lineRule="auto"/>
              <w:ind w:left="26" w:firstLine="0"/>
              <w:jc w:val="center"/>
            </w:pPr>
            <w:r>
              <w:rPr>
                <w:rFonts w:ascii="Arial" w:eastAsia="Arial" w:hAnsi="Arial" w:cs="Arial"/>
                <w:b/>
                <w:sz w:val="14"/>
              </w:rPr>
              <w:t xml:space="preserve">Subsequent Cycles </w:t>
            </w:r>
          </w:p>
        </w:tc>
        <w:tc>
          <w:tcPr>
            <w:tcW w:w="564" w:type="dxa"/>
            <w:gridSpan w:val="2"/>
            <w:vMerge w:val="restart"/>
            <w:tcBorders>
              <w:top w:val="single" w:sz="4" w:space="0" w:color="000000"/>
              <w:left w:val="single" w:sz="4" w:space="0" w:color="000000"/>
              <w:bottom w:val="nil"/>
              <w:right w:val="single" w:sz="4" w:space="0" w:color="000000"/>
            </w:tcBorders>
            <w:vAlign w:val="bottom"/>
          </w:tcPr>
          <w:p w14:paraId="4DE9F71E" w14:textId="77777777" w:rsidR="000B3C5C" w:rsidRDefault="00ED192D">
            <w:pPr>
              <w:spacing w:after="0" w:line="259" w:lineRule="auto"/>
              <w:ind w:left="30" w:firstLine="0"/>
              <w:jc w:val="center"/>
            </w:pPr>
            <w:r>
              <w:rPr>
                <w:rFonts w:ascii="Arial" w:eastAsia="Arial" w:hAnsi="Arial" w:cs="Arial"/>
                <w:b/>
                <w:sz w:val="14"/>
              </w:rPr>
              <w:t xml:space="preserve">EOT </w:t>
            </w:r>
          </w:p>
        </w:tc>
        <w:tc>
          <w:tcPr>
            <w:tcW w:w="650" w:type="dxa"/>
            <w:vMerge w:val="restart"/>
            <w:tcBorders>
              <w:top w:val="single" w:sz="4" w:space="0" w:color="000000"/>
              <w:left w:val="single" w:sz="4" w:space="0" w:color="000000"/>
              <w:bottom w:val="nil"/>
              <w:right w:val="single" w:sz="4" w:space="0" w:color="000000"/>
            </w:tcBorders>
          </w:tcPr>
          <w:p w14:paraId="23BA1DDB" w14:textId="77777777" w:rsidR="000B3C5C" w:rsidRDefault="00ED192D">
            <w:pPr>
              <w:spacing w:after="48" w:line="259" w:lineRule="auto"/>
              <w:ind w:left="8" w:firstLine="0"/>
              <w:jc w:val="center"/>
            </w:pPr>
            <w:r>
              <w:rPr>
                <w:rFonts w:ascii="Arial" w:eastAsia="Arial" w:hAnsi="Arial" w:cs="Arial"/>
                <w:b/>
                <w:sz w:val="14"/>
              </w:rPr>
              <w:t xml:space="preserve">FUP </w:t>
            </w:r>
          </w:p>
          <w:p w14:paraId="361819E0" w14:textId="77777777" w:rsidR="000B3C5C" w:rsidRDefault="00ED192D">
            <w:pPr>
              <w:spacing w:after="0" w:line="259" w:lineRule="auto"/>
              <w:ind w:left="10" w:firstLine="0"/>
              <w:jc w:val="center"/>
            </w:pPr>
            <w:r>
              <w:rPr>
                <w:rFonts w:ascii="Arial" w:eastAsia="Arial" w:hAnsi="Arial" w:cs="Arial"/>
                <w:b/>
                <w:sz w:val="14"/>
              </w:rPr>
              <w:t xml:space="preserve">(90±7 </w:t>
            </w:r>
          </w:p>
        </w:tc>
      </w:tr>
      <w:tr w:rsidR="000B3C5C" w14:paraId="5ABFDBFB" w14:textId="77777777">
        <w:trPr>
          <w:trHeight w:val="116"/>
        </w:trPr>
        <w:tc>
          <w:tcPr>
            <w:tcW w:w="1328" w:type="dxa"/>
            <w:tcBorders>
              <w:top w:val="single" w:sz="4" w:space="0" w:color="000000"/>
              <w:left w:val="single" w:sz="4" w:space="0" w:color="000000"/>
              <w:bottom w:val="nil"/>
              <w:right w:val="single" w:sz="4" w:space="0" w:color="000000"/>
            </w:tcBorders>
          </w:tcPr>
          <w:p w14:paraId="464091AA" w14:textId="77777777" w:rsidR="000B3C5C" w:rsidRDefault="000B3C5C">
            <w:pPr>
              <w:spacing w:after="160" w:line="259" w:lineRule="auto"/>
              <w:ind w:left="0" w:firstLine="0"/>
            </w:pPr>
          </w:p>
        </w:tc>
        <w:tc>
          <w:tcPr>
            <w:tcW w:w="904" w:type="dxa"/>
            <w:gridSpan w:val="2"/>
            <w:tcBorders>
              <w:top w:val="single" w:sz="4" w:space="0" w:color="000000"/>
              <w:left w:val="single" w:sz="4" w:space="0" w:color="000000"/>
              <w:bottom w:val="nil"/>
              <w:right w:val="nil"/>
            </w:tcBorders>
          </w:tcPr>
          <w:p w14:paraId="362109D0" w14:textId="77777777" w:rsidR="000B3C5C" w:rsidRDefault="000B3C5C">
            <w:pPr>
              <w:spacing w:after="160" w:line="259" w:lineRule="auto"/>
              <w:ind w:left="0" w:firstLine="0"/>
            </w:pPr>
          </w:p>
        </w:tc>
        <w:tc>
          <w:tcPr>
            <w:tcW w:w="1022" w:type="dxa"/>
            <w:gridSpan w:val="3"/>
            <w:tcBorders>
              <w:top w:val="single" w:sz="4" w:space="0" w:color="000000"/>
              <w:left w:val="nil"/>
              <w:bottom w:val="nil"/>
              <w:right w:val="nil"/>
            </w:tcBorders>
          </w:tcPr>
          <w:p w14:paraId="2C824F59" w14:textId="77777777" w:rsidR="000B3C5C" w:rsidRDefault="000B3C5C">
            <w:pPr>
              <w:spacing w:after="160" w:line="259" w:lineRule="auto"/>
              <w:ind w:left="0" w:firstLine="0"/>
            </w:pPr>
          </w:p>
        </w:tc>
        <w:tc>
          <w:tcPr>
            <w:tcW w:w="1180" w:type="dxa"/>
            <w:gridSpan w:val="2"/>
            <w:tcBorders>
              <w:top w:val="single" w:sz="4" w:space="0" w:color="000000"/>
              <w:left w:val="nil"/>
              <w:bottom w:val="nil"/>
              <w:right w:val="nil"/>
            </w:tcBorders>
          </w:tcPr>
          <w:p w14:paraId="1E2ADA8F" w14:textId="77777777" w:rsidR="000B3C5C" w:rsidRDefault="000B3C5C">
            <w:pPr>
              <w:spacing w:after="160" w:line="259" w:lineRule="auto"/>
              <w:ind w:left="0" w:firstLine="0"/>
            </w:pPr>
          </w:p>
        </w:tc>
        <w:tc>
          <w:tcPr>
            <w:tcW w:w="1139" w:type="dxa"/>
            <w:tcBorders>
              <w:top w:val="single" w:sz="4" w:space="0" w:color="000000"/>
              <w:left w:val="nil"/>
              <w:bottom w:val="nil"/>
              <w:right w:val="single" w:sz="4" w:space="0" w:color="000000"/>
            </w:tcBorders>
          </w:tcPr>
          <w:p w14:paraId="6D0F4F87" w14:textId="77777777" w:rsidR="000B3C5C" w:rsidRDefault="000B3C5C">
            <w:pPr>
              <w:spacing w:after="160" w:line="259" w:lineRule="auto"/>
              <w:ind w:left="0" w:firstLine="0"/>
            </w:pPr>
          </w:p>
        </w:tc>
        <w:tc>
          <w:tcPr>
            <w:tcW w:w="1031" w:type="dxa"/>
            <w:gridSpan w:val="2"/>
            <w:tcBorders>
              <w:top w:val="single" w:sz="4" w:space="0" w:color="000000"/>
              <w:left w:val="single" w:sz="4" w:space="0" w:color="000000"/>
              <w:bottom w:val="nil"/>
              <w:right w:val="single" w:sz="4" w:space="0" w:color="000000"/>
            </w:tcBorders>
          </w:tcPr>
          <w:p w14:paraId="7F6AD4FE" w14:textId="77777777" w:rsidR="000B3C5C" w:rsidRDefault="000B3C5C">
            <w:pPr>
              <w:spacing w:after="160" w:line="259" w:lineRule="auto"/>
              <w:ind w:left="0" w:firstLine="0"/>
            </w:pPr>
          </w:p>
        </w:tc>
        <w:tc>
          <w:tcPr>
            <w:tcW w:w="1670" w:type="dxa"/>
            <w:gridSpan w:val="4"/>
            <w:tcBorders>
              <w:top w:val="single" w:sz="4" w:space="0" w:color="000000"/>
              <w:left w:val="single" w:sz="4" w:space="0" w:color="000000"/>
              <w:bottom w:val="nil"/>
              <w:right w:val="single" w:sz="4" w:space="0" w:color="000000"/>
            </w:tcBorders>
          </w:tcPr>
          <w:p w14:paraId="407A0424" w14:textId="77777777" w:rsidR="000B3C5C" w:rsidRDefault="000B3C5C">
            <w:pPr>
              <w:spacing w:after="160" w:line="259" w:lineRule="auto"/>
              <w:ind w:left="0" w:firstLine="0"/>
            </w:pPr>
          </w:p>
        </w:tc>
        <w:tc>
          <w:tcPr>
            <w:tcW w:w="978" w:type="dxa"/>
            <w:gridSpan w:val="2"/>
            <w:tcBorders>
              <w:top w:val="single" w:sz="4" w:space="0" w:color="000000"/>
              <w:left w:val="single" w:sz="4" w:space="0" w:color="000000"/>
              <w:bottom w:val="nil"/>
              <w:right w:val="single" w:sz="4" w:space="0" w:color="000000"/>
            </w:tcBorders>
          </w:tcPr>
          <w:p w14:paraId="23FDBA43" w14:textId="77777777" w:rsidR="000B3C5C" w:rsidRDefault="000B3C5C">
            <w:pPr>
              <w:spacing w:after="160" w:line="259" w:lineRule="auto"/>
              <w:ind w:left="0" w:firstLine="0"/>
            </w:pPr>
          </w:p>
        </w:tc>
        <w:tc>
          <w:tcPr>
            <w:tcW w:w="617" w:type="dxa"/>
            <w:gridSpan w:val="2"/>
            <w:tcBorders>
              <w:top w:val="single" w:sz="4" w:space="0" w:color="000000"/>
              <w:left w:val="single" w:sz="4" w:space="0" w:color="000000"/>
              <w:bottom w:val="nil"/>
              <w:right w:val="nil"/>
            </w:tcBorders>
          </w:tcPr>
          <w:p w14:paraId="57DF665E" w14:textId="77777777" w:rsidR="000B3C5C" w:rsidRDefault="000B3C5C">
            <w:pPr>
              <w:spacing w:after="160" w:line="259" w:lineRule="auto"/>
              <w:ind w:left="0" w:firstLine="0"/>
            </w:pPr>
          </w:p>
        </w:tc>
        <w:tc>
          <w:tcPr>
            <w:tcW w:w="1097" w:type="dxa"/>
            <w:gridSpan w:val="2"/>
            <w:tcBorders>
              <w:top w:val="single" w:sz="4" w:space="0" w:color="000000"/>
              <w:left w:val="nil"/>
              <w:bottom w:val="nil"/>
              <w:right w:val="nil"/>
            </w:tcBorders>
          </w:tcPr>
          <w:p w14:paraId="30670FAC" w14:textId="77777777" w:rsidR="000B3C5C" w:rsidRDefault="000B3C5C">
            <w:pPr>
              <w:spacing w:after="160" w:line="259" w:lineRule="auto"/>
              <w:ind w:left="0" w:firstLine="0"/>
            </w:pPr>
          </w:p>
        </w:tc>
        <w:tc>
          <w:tcPr>
            <w:tcW w:w="656" w:type="dxa"/>
            <w:tcBorders>
              <w:top w:val="single" w:sz="4" w:space="0" w:color="000000"/>
              <w:left w:val="nil"/>
              <w:bottom w:val="nil"/>
              <w:right w:val="single" w:sz="4" w:space="0" w:color="000000"/>
            </w:tcBorders>
          </w:tcPr>
          <w:p w14:paraId="7CD1060F" w14:textId="77777777" w:rsidR="000B3C5C" w:rsidRDefault="000B3C5C">
            <w:pPr>
              <w:spacing w:after="160" w:line="259" w:lineRule="auto"/>
              <w:ind w:left="0" w:firstLine="0"/>
            </w:pPr>
          </w:p>
        </w:tc>
        <w:tc>
          <w:tcPr>
            <w:tcW w:w="1322" w:type="dxa"/>
            <w:gridSpan w:val="2"/>
            <w:tcBorders>
              <w:top w:val="single" w:sz="4" w:space="0" w:color="000000"/>
              <w:left w:val="single" w:sz="4" w:space="0" w:color="000000"/>
              <w:bottom w:val="nil"/>
              <w:right w:val="single" w:sz="4" w:space="0" w:color="000000"/>
            </w:tcBorders>
          </w:tcPr>
          <w:p w14:paraId="79E25FB6" w14:textId="77777777" w:rsidR="000B3C5C" w:rsidRDefault="000B3C5C">
            <w:pPr>
              <w:spacing w:after="160" w:line="259" w:lineRule="auto"/>
              <w:ind w:left="0" w:firstLine="0"/>
            </w:pPr>
          </w:p>
        </w:tc>
        <w:tc>
          <w:tcPr>
            <w:tcW w:w="0" w:type="auto"/>
            <w:gridSpan w:val="2"/>
            <w:vMerge/>
            <w:tcBorders>
              <w:top w:val="nil"/>
              <w:left w:val="single" w:sz="4" w:space="0" w:color="000000"/>
              <w:bottom w:val="nil"/>
              <w:right w:val="single" w:sz="4" w:space="0" w:color="000000"/>
            </w:tcBorders>
          </w:tcPr>
          <w:p w14:paraId="7C7EC977" w14:textId="77777777" w:rsidR="000B3C5C" w:rsidRDefault="000B3C5C">
            <w:pPr>
              <w:spacing w:after="160" w:line="259" w:lineRule="auto"/>
              <w:ind w:left="0" w:firstLine="0"/>
            </w:pPr>
          </w:p>
        </w:tc>
        <w:tc>
          <w:tcPr>
            <w:tcW w:w="0" w:type="auto"/>
            <w:vMerge/>
            <w:tcBorders>
              <w:top w:val="nil"/>
              <w:left w:val="single" w:sz="4" w:space="0" w:color="000000"/>
              <w:bottom w:val="nil"/>
              <w:right w:val="single" w:sz="4" w:space="0" w:color="000000"/>
            </w:tcBorders>
          </w:tcPr>
          <w:p w14:paraId="2703E047" w14:textId="77777777" w:rsidR="000B3C5C" w:rsidRDefault="000B3C5C">
            <w:pPr>
              <w:spacing w:after="160" w:line="259" w:lineRule="auto"/>
              <w:ind w:left="0" w:firstLine="0"/>
            </w:pPr>
          </w:p>
        </w:tc>
      </w:tr>
      <w:tr w:rsidR="000B3C5C" w14:paraId="1353EF4C" w14:textId="77777777">
        <w:trPr>
          <w:trHeight w:val="226"/>
        </w:trPr>
        <w:tc>
          <w:tcPr>
            <w:tcW w:w="1328" w:type="dxa"/>
            <w:tcBorders>
              <w:top w:val="nil"/>
              <w:left w:val="single" w:sz="4" w:space="0" w:color="000000"/>
              <w:bottom w:val="single" w:sz="4" w:space="0" w:color="000000"/>
              <w:right w:val="single" w:sz="4" w:space="0" w:color="000000"/>
            </w:tcBorders>
          </w:tcPr>
          <w:p w14:paraId="0D67245F" w14:textId="77777777" w:rsidR="000B3C5C" w:rsidRDefault="00ED192D">
            <w:pPr>
              <w:spacing w:after="0" w:line="259" w:lineRule="auto"/>
              <w:ind w:left="72" w:firstLine="0"/>
            </w:pPr>
            <w:r>
              <w:rPr>
                <w:rFonts w:ascii="Arial" w:eastAsia="Arial" w:hAnsi="Arial" w:cs="Arial"/>
                <w:b/>
                <w:sz w:val="14"/>
              </w:rPr>
              <w:t xml:space="preserve"> Day within the Cycle </w:t>
            </w:r>
          </w:p>
        </w:tc>
        <w:tc>
          <w:tcPr>
            <w:tcW w:w="904" w:type="dxa"/>
            <w:gridSpan w:val="2"/>
            <w:tcBorders>
              <w:top w:val="nil"/>
              <w:left w:val="single" w:sz="4" w:space="0" w:color="000000"/>
              <w:bottom w:val="single" w:sz="4" w:space="0" w:color="000000"/>
              <w:right w:val="nil"/>
            </w:tcBorders>
          </w:tcPr>
          <w:p w14:paraId="48EB1179" w14:textId="77777777" w:rsidR="000B3C5C" w:rsidRDefault="000B3C5C">
            <w:pPr>
              <w:spacing w:after="160" w:line="259" w:lineRule="auto"/>
              <w:ind w:left="0" w:firstLine="0"/>
            </w:pPr>
          </w:p>
        </w:tc>
        <w:tc>
          <w:tcPr>
            <w:tcW w:w="1022" w:type="dxa"/>
            <w:gridSpan w:val="3"/>
            <w:tcBorders>
              <w:top w:val="nil"/>
              <w:left w:val="nil"/>
              <w:bottom w:val="single" w:sz="4" w:space="0" w:color="000000"/>
              <w:right w:val="nil"/>
            </w:tcBorders>
          </w:tcPr>
          <w:p w14:paraId="7D0A3B4D" w14:textId="77777777" w:rsidR="000B3C5C" w:rsidRDefault="000B3C5C">
            <w:pPr>
              <w:spacing w:after="160" w:line="259" w:lineRule="auto"/>
              <w:ind w:left="0" w:firstLine="0"/>
            </w:pPr>
          </w:p>
        </w:tc>
        <w:tc>
          <w:tcPr>
            <w:tcW w:w="1180" w:type="dxa"/>
            <w:gridSpan w:val="2"/>
            <w:tcBorders>
              <w:top w:val="nil"/>
              <w:left w:val="nil"/>
              <w:bottom w:val="single" w:sz="4" w:space="0" w:color="000000"/>
              <w:right w:val="nil"/>
            </w:tcBorders>
          </w:tcPr>
          <w:p w14:paraId="0C91EBD7" w14:textId="77777777" w:rsidR="000B3C5C" w:rsidRDefault="00ED192D">
            <w:pPr>
              <w:spacing w:after="0" w:line="259" w:lineRule="auto"/>
              <w:ind w:left="123" w:firstLine="0"/>
            </w:pPr>
            <w:r>
              <w:rPr>
                <w:rFonts w:ascii="Arial" w:eastAsia="Arial" w:hAnsi="Arial" w:cs="Arial"/>
                <w:b/>
                <w:sz w:val="14"/>
              </w:rPr>
              <w:t xml:space="preserve">D1  </w:t>
            </w:r>
          </w:p>
        </w:tc>
        <w:tc>
          <w:tcPr>
            <w:tcW w:w="1139" w:type="dxa"/>
            <w:tcBorders>
              <w:top w:val="nil"/>
              <w:left w:val="nil"/>
              <w:bottom w:val="single" w:sz="4" w:space="0" w:color="000000"/>
              <w:right w:val="single" w:sz="4" w:space="0" w:color="000000"/>
            </w:tcBorders>
          </w:tcPr>
          <w:p w14:paraId="55115C1D" w14:textId="77777777" w:rsidR="000B3C5C" w:rsidRDefault="000B3C5C">
            <w:pPr>
              <w:spacing w:after="160" w:line="259" w:lineRule="auto"/>
              <w:ind w:left="0" w:firstLine="0"/>
            </w:pPr>
          </w:p>
        </w:tc>
        <w:tc>
          <w:tcPr>
            <w:tcW w:w="1031" w:type="dxa"/>
            <w:gridSpan w:val="2"/>
            <w:tcBorders>
              <w:top w:val="nil"/>
              <w:left w:val="single" w:sz="4" w:space="0" w:color="000000"/>
              <w:bottom w:val="single" w:sz="4" w:space="0" w:color="000000"/>
              <w:right w:val="single" w:sz="4" w:space="0" w:color="000000"/>
            </w:tcBorders>
          </w:tcPr>
          <w:p w14:paraId="1607A98B" w14:textId="77777777" w:rsidR="000B3C5C" w:rsidRDefault="00ED192D">
            <w:pPr>
              <w:spacing w:after="0" w:line="259" w:lineRule="auto"/>
              <w:ind w:left="62" w:firstLine="0"/>
              <w:jc w:val="center"/>
            </w:pPr>
            <w:r>
              <w:rPr>
                <w:rFonts w:ascii="Arial" w:eastAsia="Arial" w:hAnsi="Arial" w:cs="Arial"/>
                <w:b/>
                <w:sz w:val="14"/>
              </w:rPr>
              <w:t xml:space="preserve">D15 </w:t>
            </w:r>
          </w:p>
        </w:tc>
        <w:tc>
          <w:tcPr>
            <w:tcW w:w="1670" w:type="dxa"/>
            <w:gridSpan w:val="4"/>
            <w:tcBorders>
              <w:top w:val="nil"/>
              <w:left w:val="single" w:sz="4" w:space="0" w:color="000000"/>
              <w:bottom w:val="single" w:sz="4" w:space="0" w:color="000000"/>
              <w:right w:val="single" w:sz="4" w:space="0" w:color="000000"/>
            </w:tcBorders>
          </w:tcPr>
          <w:p w14:paraId="3EFFE747" w14:textId="77777777" w:rsidR="000B3C5C" w:rsidRDefault="00ED192D">
            <w:pPr>
              <w:spacing w:after="0" w:line="259" w:lineRule="auto"/>
              <w:ind w:left="55" w:firstLine="0"/>
              <w:jc w:val="center"/>
            </w:pPr>
            <w:r>
              <w:rPr>
                <w:rFonts w:ascii="Arial" w:eastAsia="Arial" w:hAnsi="Arial" w:cs="Arial"/>
                <w:b/>
                <w:sz w:val="14"/>
              </w:rPr>
              <w:t xml:space="preserve"> D1 </w:t>
            </w:r>
          </w:p>
        </w:tc>
        <w:tc>
          <w:tcPr>
            <w:tcW w:w="978" w:type="dxa"/>
            <w:gridSpan w:val="2"/>
            <w:tcBorders>
              <w:top w:val="nil"/>
              <w:left w:val="single" w:sz="4" w:space="0" w:color="000000"/>
              <w:bottom w:val="single" w:sz="4" w:space="0" w:color="000000"/>
              <w:right w:val="single" w:sz="4" w:space="0" w:color="000000"/>
            </w:tcBorders>
          </w:tcPr>
          <w:p w14:paraId="7A5867F4" w14:textId="77777777" w:rsidR="000B3C5C" w:rsidRDefault="00ED192D">
            <w:pPr>
              <w:spacing w:after="0" w:line="259" w:lineRule="auto"/>
              <w:ind w:left="31" w:firstLine="0"/>
              <w:jc w:val="center"/>
            </w:pPr>
            <w:r>
              <w:rPr>
                <w:rFonts w:ascii="Arial" w:eastAsia="Arial" w:hAnsi="Arial" w:cs="Arial"/>
                <w:b/>
                <w:sz w:val="14"/>
              </w:rPr>
              <w:t xml:space="preserve">D1 </w:t>
            </w:r>
          </w:p>
        </w:tc>
        <w:tc>
          <w:tcPr>
            <w:tcW w:w="617" w:type="dxa"/>
            <w:gridSpan w:val="2"/>
            <w:tcBorders>
              <w:top w:val="nil"/>
              <w:left w:val="single" w:sz="4" w:space="0" w:color="000000"/>
              <w:bottom w:val="single" w:sz="4" w:space="0" w:color="000000"/>
              <w:right w:val="nil"/>
            </w:tcBorders>
          </w:tcPr>
          <w:p w14:paraId="2C9901B0" w14:textId="77777777" w:rsidR="000B3C5C" w:rsidRDefault="000B3C5C">
            <w:pPr>
              <w:spacing w:after="160" w:line="259" w:lineRule="auto"/>
              <w:ind w:left="0" w:firstLine="0"/>
            </w:pPr>
          </w:p>
        </w:tc>
        <w:tc>
          <w:tcPr>
            <w:tcW w:w="1097" w:type="dxa"/>
            <w:gridSpan w:val="2"/>
            <w:tcBorders>
              <w:top w:val="nil"/>
              <w:left w:val="nil"/>
              <w:bottom w:val="single" w:sz="4" w:space="0" w:color="000000"/>
              <w:right w:val="nil"/>
            </w:tcBorders>
          </w:tcPr>
          <w:p w14:paraId="04E29522" w14:textId="77777777" w:rsidR="000B3C5C" w:rsidRDefault="00ED192D">
            <w:pPr>
              <w:spacing w:after="0" w:line="259" w:lineRule="auto"/>
              <w:ind w:left="68" w:firstLine="0"/>
              <w:jc w:val="center"/>
            </w:pPr>
            <w:r>
              <w:rPr>
                <w:rFonts w:ascii="Arial" w:eastAsia="Arial" w:hAnsi="Arial" w:cs="Arial"/>
                <w:b/>
                <w:sz w:val="14"/>
              </w:rPr>
              <w:t xml:space="preserve">D1 </w:t>
            </w:r>
          </w:p>
        </w:tc>
        <w:tc>
          <w:tcPr>
            <w:tcW w:w="656" w:type="dxa"/>
            <w:tcBorders>
              <w:top w:val="nil"/>
              <w:left w:val="nil"/>
              <w:bottom w:val="single" w:sz="4" w:space="0" w:color="000000"/>
              <w:right w:val="single" w:sz="4" w:space="0" w:color="000000"/>
            </w:tcBorders>
          </w:tcPr>
          <w:p w14:paraId="037FE4D0" w14:textId="77777777" w:rsidR="000B3C5C" w:rsidRDefault="000B3C5C">
            <w:pPr>
              <w:spacing w:after="160" w:line="259" w:lineRule="auto"/>
              <w:ind w:left="0" w:firstLine="0"/>
            </w:pPr>
          </w:p>
        </w:tc>
        <w:tc>
          <w:tcPr>
            <w:tcW w:w="1322" w:type="dxa"/>
            <w:gridSpan w:val="2"/>
            <w:tcBorders>
              <w:top w:val="nil"/>
              <w:left w:val="single" w:sz="4" w:space="0" w:color="000000"/>
              <w:bottom w:val="single" w:sz="4" w:space="0" w:color="000000"/>
              <w:right w:val="single" w:sz="4" w:space="0" w:color="000000"/>
            </w:tcBorders>
          </w:tcPr>
          <w:p w14:paraId="5C79C086" w14:textId="77777777" w:rsidR="000B3C5C" w:rsidRDefault="00ED192D">
            <w:pPr>
              <w:spacing w:after="0" w:line="259" w:lineRule="auto"/>
              <w:ind w:left="27" w:firstLine="0"/>
              <w:jc w:val="center"/>
            </w:pPr>
            <w:r>
              <w:rPr>
                <w:rFonts w:ascii="Arial" w:eastAsia="Arial" w:hAnsi="Arial" w:cs="Arial"/>
                <w:b/>
                <w:sz w:val="14"/>
              </w:rPr>
              <w:t xml:space="preserve">D1 </w:t>
            </w:r>
          </w:p>
        </w:tc>
        <w:tc>
          <w:tcPr>
            <w:tcW w:w="564" w:type="dxa"/>
            <w:gridSpan w:val="2"/>
            <w:tcBorders>
              <w:top w:val="nil"/>
              <w:left w:val="single" w:sz="4" w:space="0" w:color="000000"/>
              <w:bottom w:val="single" w:sz="4" w:space="0" w:color="000000"/>
              <w:right w:val="single" w:sz="4" w:space="0" w:color="000000"/>
            </w:tcBorders>
          </w:tcPr>
          <w:p w14:paraId="45DBC107" w14:textId="77777777" w:rsidR="000B3C5C" w:rsidRDefault="000B3C5C">
            <w:pPr>
              <w:spacing w:after="160" w:line="259" w:lineRule="auto"/>
              <w:ind w:left="0" w:firstLine="0"/>
            </w:pPr>
          </w:p>
        </w:tc>
        <w:tc>
          <w:tcPr>
            <w:tcW w:w="650" w:type="dxa"/>
            <w:tcBorders>
              <w:top w:val="nil"/>
              <w:left w:val="single" w:sz="4" w:space="0" w:color="000000"/>
              <w:bottom w:val="single" w:sz="4" w:space="0" w:color="000000"/>
              <w:right w:val="single" w:sz="4" w:space="0" w:color="000000"/>
            </w:tcBorders>
          </w:tcPr>
          <w:p w14:paraId="1A88F60C" w14:textId="77777777" w:rsidR="000B3C5C" w:rsidRDefault="00ED192D">
            <w:pPr>
              <w:spacing w:after="0" w:line="259" w:lineRule="auto"/>
              <w:ind w:left="6" w:firstLine="0"/>
              <w:jc w:val="center"/>
            </w:pPr>
            <w:r>
              <w:rPr>
                <w:rFonts w:ascii="Arial" w:eastAsia="Arial" w:hAnsi="Arial" w:cs="Arial"/>
                <w:b/>
                <w:sz w:val="14"/>
              </w:rPr>
              <w:t xml:space="preserve">days) </w:t>
            </w:r>
          </w:p>
        </w:tc>
      </w:tr>
      <w:tr w:rsidR="000B3C5C" w14:paraId="1FC87E42" w14:textId="77777777">
        <w:trPr>
          <w:trHeight w:val="740"/>
        </w:trPr>
        <w:tc>
          <w:tcPr>
            <w:tcW w:w="1328" w:type="dxa"/>
            <w:tcBorders>
              <w:top w:val="single" w:sz="4" w:space="0" w:color="000000"/>
              <w:left w:val="single" w:sz="4" w:space="0" w:color="000000"/>
              <w:bottom w:val="single" w:sz="4" w:space="0" w:color="000000"/>
              <w:right w:val="single" w:sz="4" w:space="0" w:color="000000"/>
            </w:tcBorders>
          </w:tcPr>
          <w:p w14:paraId="160FEE49" w14:textId="77777777" w:rsidR="000B3C5C" w:rsidRDefault="00ED192D">
            <w:pPr>
              <w:spacing w:after="45" w:line="259" w:lineRule="auto"/>
              <w:ind w:left="72" w:firstLine="0"/>
            </w:pPr>
            <w:r>
              <w:rPr>
                <w:rFonts w:ascii="Arial" w:eastAsia="Arial" w:hAnsi="Arial" w:cs="Arial"/>
                <w:sz w:val="16"/>
              </w:rPr>
              <w:t xml:space="preserve">Sample RNT (h) </w:t>
            </w:r>
          </w:p>
          <w:p w14:paraId="7C35186B" w14:textId="77777777" w:rsidR="000B3C5C" w:rsidRDefault="00ED192D">
            <w:pPr>
              <w:spacing w:after="0" w:line="259" w:lineRule="auto"/>
              <w:ind w:left="72" w:firstLine="0"/>
            </w:pPr>
            <w:r>
              <w:rPr>
                <w:rFonts w:ascii="Arial" w:eastAsia="Arial" w:hAnsi="Arial" w:cs="Arial"/>
                <w:sz w:val="16"/>
              </w:rPr>
              <w:t xml:space="preserve">Ref: SOI </w:t>
            </w:r>
          </w:p>
          <w:p w14:paraId="1BF6C007" w14:textId="77777777" w:rsidR="000B3C5C" w:rsidRDefault="00ED192D">
            <w:pPr>
              <w:spacing w:after="0" w:line="259" w:lineRule="auto"/>
              <w:ind w:left="72" w:firstLine="0"/>
            </w:pPr>
            <w:r>
              <w:rPr>
                <w:rFonts w:ascii="Arial" w:eastAsia="Arial" w:hAnsi="Arial" w:cs="Arial"/>
                <w:sz w:val="16"/>
              </w:rPr>
              <w:t xml:space="preserve">Atezolizumab </w:t>
            </w:r>
          </w:p>
        </w:tc>
        <w:tc>
          <w:tcPr>
            <w:tcW w:w="462" w:type="dxa"/>
            <w:tcBorders>
              <w:top w:val="single" w:sz="4" w:space="0" w:color="000000"/>
              <w:left w:val="single" w:sz="4" w:space="0" w:color="000000"/>
              <w:bottom w:val="single" w:sz="4" w:space="0" w:color="000000"/>
              <w:right w:val="single" w:sz="4" w:space="0" w:color="000000"/>
            </w:tcBorders>
            <w:vAlign w:val="center"/>
          </w:tcPr>
          <w:p w14:paraId="64318975" w14:textId="77777777" w:rsidR="000B3C5C" w:rsidRDefault="00ED192D">
            <w:pPr>
              <w:spacing w:after="0" w:line="259" w:lineRule="auto"/>
              <w:ind w:left="40" w:firstLine="0"/>
              <w:jc w:val="center"/>
            </w:pPr>
            <w:r>
              <w:rPr>
                <w:rFonts w:ascii="Arial" w:eastAsia="Arial" w:hAnsi="Arial" w:cs="Arial"/>
                <w:b/>
                <w:sz w:val="14"/>
              </w:rPr>
              <w:t xml:space="preserve">SOI </w:t>
            </w:r>
          </w:p>
        </w:tc>
        <w:tc>
          <w:tcPr>
            <w:tcW w:w="442" w:type="dxa"/>
            <w:tcBorders>
              <w:top w:val="single" w:sz="4" w:space="0" w:color="000000"/>
              <w:left w:val="single" w:sz="4" w:space="0" w:color="000000"/>
              <w:bottom w:val="single" w:sz="4" w:space="0" w:color="000000"/>
              <w:right w:val="single" w:sz="4" w:space="0" w:color="000000"/>
            </w:tcBorders>
            <w:vAlign w:val="center"/>
          </w:tcPr>
          <w:p w14:paraId="5B734131" w14:textId="77777777" w:rsidR="000B3C5C" w:rsidRDefault="00ED192D">
            <w:pPr>
              <w:spacing w:after="0" w:line="259" w:lineRule="auto"/>
              <w:ind w:left="43" w:firstLine="0"/>
              <w:jc w:val="center"/>
            </w:pPr>
            <w:r>
              <w:rPr>
                <w:rFonts w:ascii="Arial" w:eastAsia="Arial" w:hAnsi="Arial" w:cs="Arial"/>
                <w:b/>
                <w:sz w:val="14"/>
              </w:rPr>
              <w:t xml:space="preserve">EOI </w:t>
            </w:r>
          </w:p>
        </w:tc>
        <w:tc>
          <w:tcPr>
            <w:tcW w:w="571" w:type="dxa"/>
            <w:gridSpan w:val="2"/>
            <w:tcBorders>
              <w:top w:val="single" w:sz="4" w:space="0" w:color="000000"/>
              <w:left w:val="single" w:sz="4" w:space="0" w:color="000000"/>
              <w:bottom w:val="single" w:sz="4" w:space="0" w:color="000000"/>
              <w:right w:val="single" w:sz="4" w:space="0" w:color="000000"/>
            </w:tcBorders>
            <w:vAlign w:val="center"/>
          </w:tcPr>
          <w:p w14:paraId="6F98E005" w14:textId="77777777" w:rsidR="000B3C5C" w:rsidRDefault="00ED192D">
            <w:pPr>
              <w:spacing w:after="0" w:line="259" w:lineRule="auto"/>
              <w:ind w:left="182" w:firstLine="5"/>
            </w:pPr>
            <w:r>
              <w:rPr>
                <w:rFonts w:ascii="Arial" w:eastAsia="Arial" w:hAnsi="Arial" w:cs="Arial"/>
                <w:b/>
                <w:sz w:val="14"/>
              </w:rPr>
              <w:t>EOI  +30 min</w:t>
            </w:r>
          </w:p>
        </w:tc>
        <w:tc>
          <w:tcPr>
            <w:tcW w:w="451" w:type="dxa"/>
            <w:tcBorders>
              <w:top w:val="single" w:sz="4" w:space="0" w:color="000000"/>
              <w:left w:val="single" w:sz="4" w:space="0" w:color="000000"/>
              <w:bottom w:val="single" w:sz="4" w:space="0" w:color="000000"/>
              <w:right w:val="nil"/>
            </w:tcBorders>
            <w:shd w:val="clear" w:color="auto" w:fill="BFBFBF"/>
          </w:tcPr>
          <w:p w14:paraId="56D71D3F"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shd w:val="clear" w:color="auto" w:fill="BFBFBF"/>
          </w:tcPr>
          <w:p w14:paraId="1589D647" w14:textId="77777777" w:rsidR="000B3C5C" w:rsidRDefault="000B3C5C">
            <w:pPr>
              <w:spacing w:after="160" w:line="259" w:lineRule="auto"/>
              <w:ind w:left="0" w:firstLine="0"/>
            </w:pPr>
          </w:p>
        </w:tc>
        <w:tc>
          <w:tcPr>
            <w:tcW w:w="1139" w:type="dxa"/>
            <w:tcBorders>
              <w:top w:val="single" w:sz="4" w:space="0" w:color="000000"/>
              <w:left w:val="nil"/>
              <w:bottom w:val="single" w:sz="4" w:space="0" w:color="000000"/>
              <w:right w:val="nil"/>
            </w:tcBorders>
            <w:shd w:val="clear" w:color="auto" w:fill="BFBFBF"/>
            <w:vAlign w:val="center"/>
          </w:tcPr>
          <w:p w14:paraId="63EE13D8" w14:textId="77777777" w:rsidR="000B3C5C" w:rsidRDefault="00ED192D">
            <w:pPr>
              <w:spacing w:after="0" w:line="259" w:lineRule="auto"/>
              <w:ind w:left="263" w:firstLine="0"/>
            </w:pPr>
            <w:r>
              <w:rPr>
                <w:rFonts w:ascii="Arial" w:eastAsia="Arial" w:hAnsi="Arial" w:cs="Arial"/>
                <w:b/>
                <w:sz w:val="14"/>
              </w:rPr>
              <w:t xml:space="preserve">- </w:t>
            </w:r>
          </w:p>
        </w:tc>
        <w:tc>
          <w:tcPr>
            <w:tcW w:w="1031" w:type="dxa"/>
            <w:gridSpan w:val="2"/>
            <w:tcBorders>
              <w:top w:val="single" w:sz="4" w:space="0" w:color="000000"/>
              <w:left w:val="nil"/>
              <w:bottom w:val="single" w:sz="4" w:space="0" w:color="000000"/>
              <w:right w:val="single" w:sz="4" w:space="0" w:color="000000"/>
            </w:tcBorders>
            <w:shd w:val="clear" w:color="auto" w:fill="BFBFBF"/>
          </w:tcPr>
          <w:p w14:paraId="3F7C2C32" w14:textId="77777777" w:rsidR="000B3C5C" w:rsidRDefault="000B3C5C">
            <w:pPr>
              <w:spacing w:after="160" w:line="259" w:lineRule="auto"/>
              <w:ind w:left="0" w:firstLine="0"/>
            </w:pPr>
          </w:p>
        </w:tc>
        <w:tc>
          <w:tcPr>
            <w:tcW w:w="569" w:type="dxa"/>
            <w:gridSpan w:val="2"/>
            <w:tcBorders>
              <w:top w:val="single" w:sz="4" w:space="0" w:color="000000"/>
              <w:left w:val="single" w:sz="4" w:space="0" w:color="000000"/>
              <w:bottom w:val="single" w:sz="4" w:space="0" w:color="000000"/>
              <w:right w:val="single" w:sz="4" w:space="0" w:color="000000"/>
            </w:tcBorders>
            <w:vAlign w:val="center"/>
          </w:tcPr>
          <w:p w14:paraId="19B85521" w14:textId="77777777" w:rsidR="000B3C5C" w:rsidRDefault="00ED192D">
            <w:pPr>
              <w:spacing w:after="0" w:line="259" w:lineRule="auto"/>
              <w:ind w:left="68" w:firstLine="0"/>
              <w:jc w:val="center"/>
            </w:pPr>
            <w:r>
              <w:rPr>
                <w:rFonts w:ascii="Arial" w:eastAsia="Arial" w:hAnsi="Arial" w:cs="Arial"/>
                <w:b/>
                <w:sz w:val="14"/>
              </w:rPr>
              <w:t xml:space="preserve">SOI </w:t>
            </w:r>
          </w:p>
        </w:tc>
        <w:tc>
          <w:tcPr>
            <w:tcW w:w="110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4FA69A18" w14:textId="77777777" w:rsidR="000B3C5C" w:rsidRDefault="00ED192D">
            <w:pPr>
              <w:spacing w:after="0" w:line="259" w:lineRule="auto"/>
              <w:ind w:left="43" w:firstLine="0"/>
              <w:jc w:val="center"/>
            </w:pPr>
            <w:r>
              <w:rPr>
                <w:rFonts w:ascii="Arial" w:eastAsia="Arial" w:hAnsi="Arial" w:cs="Arial"/>
                <w:b/>
                <w:sz w:val="14"/>
              </w:rPr>
              <w:t xml:space="preserve">- </w:t>
            </w:r>
          </w:p>
        </w:tc>
        <w:tc>
          <w:tcPr>
            <w:tcW w:w="538" w:type="dxa"/>
            <w:tcBorders>
              <w:top w:val="single" w:sz="4" w:space="0" w:color="000000"/>
              <w:left w:val="single" w:sz="4" w:space="0" w:color="000000"/>
              <w:bottom w:val="single" w:sz="4" w:space="0" w:color="000000"/>
              <w:right w:val="single" w:sz="4" w:space="0" w:color="000000"/>
            </w:tcBorders>
            <w:vAlign w:val="center"/>
          </w:tcPr>
          <w:p w14:paraId="45727305" w14:textId="77777777" w:rsidR="000B3C5C" w:rsidRDefault="00ED192D">
            <w:pPr>
              <w:spacing w:after="0" w:line="259" w:lineRule="auto"/>
              <w:ind w:left="43" w:firstLine="0"/>
              <w:jc w:val="center"/>
            </w:pPr>
            <w:r>
              <w:rPr>
                <w:rFonts w:ascii="Arial" w:eastAsia="Arial" w:hAnsi="Arial" w:cs="Arial"/>
                <w:b/>
                <w:sz w:val="14"/>
              </w:rPr>
              <w:t xml:space="preserve">SOI </w:t>
            </w:r>
          </w:p>
        </w:tc>
        <w:tc>
          <w:tcPr>
            <w:tcW w:w="44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2B35AA9" w14:textId="77777777" w:rsidR="000B3C5C" w:rsidRDefault="00ED192D">
            <w:pPr>
              <w:spacing w:after="0" w:line="259" w:lineRule="auto"/>
              <w:ind w:left="39" w:firstLine="0"/>
              <w:jc w:val="center"/>
            </w:pPr>
            <w:r>
              <w:rPr>
                <w:rFonts w:ascii="Arial" w:eastAsia="Arial" w:hAnsi="Arial" w:cs="Arial"/>
                <w:b/>
                <w:sz w:val="14"/>
              </w:rPr>
              <w:t xml:space="preserve">- </w:t>
            </w:r>
          </w:p>
        </w:tc>
        <w:tc>
          <w:tcPr>
            <w:tcW w:w="617" w:type="dxa"/>
            <w:gridSpan w:val="2"/>
            <w:tcBorders>
              <w:top w:val="single" w:sz="4" w:space="0" w:color="000000"/>
              <w:left w:val="single" w:sz="4" w:space="0" w:color="000000"/>
              <w:bottom w:val="single" w:sz="4" w:space="0" w:color="000000"/>
              <w:right w:val="single" w:sz="4" w:space="0" w:color="000000"/>
            </w:tcBorders>
            <w:vAlign w:val="center"/>
          </w:tcPr>
          <w:p w14:paraId="45A9E90D" w14:textId="77777777" w:rsidR="000B3C5C" w:rsidRDefault="00ED192D">
            <w:pPr>
              <w:spacing w:after="0" w:line="259" w:lineRule="auto"/>
              <w:ind w:left="34" w:firstLine="0"/>
              <w:jc w:val="center"/>
            </w:pPr>
            <w:r>
              <w:rPr>
                <w:rFonts w:ascii="Arial" w:eastAsia="Arial" w:hAnsi="Arial" w:cs="Arial"/>
                <w:b/>
                <w:sz w:val="14"/>
              </w:rPr>
              <w:t xml:space="preserve">SOI </w:t>
            </w:r>
          </w:p>
        </w:tc>
        <w:tc>
          <w:tcPr>
            <w:tcW w:w="1097" w:type="dxa"/>
            <w:gridSpan w:val="2"/>
            <w:tcBorders>
              <w:top w:val="single" w:sz="4" w:space="0" w:color="000000"/>
              <w:left w:val="single" w:sz="4" w:space="0" w:color="000000"/>
              <w:bottom w:val="single" w:sz="4" w:space="0" w:color="000000"/>
              <w:right w:val="nil"/>
            </w:tcBorders>
            <w:shd w:val="clear" w:color="auto" w:fill="BFBFBF"/>
          </w:tcPr>
          <w:p w14:paraId="225E6187" w14:textId="77777777" w:rsidR="000B3C5C" w:rsidRDefault="00ED192D">
            <w:pPr>
              <w:spacing w:after="0" w:line="259" w:lineRule="auto"/>
              <w:ind w:left="0" w:right="168" w:firstLine="0"/>
              <w:jc w:val="right"/>
            </w:pPr>
            <w:r>
              <w:rPr>
                <w:rFonts w:ascii="Arial" w:eastAsia="Arial" w:hAnsi="Arial" w:cs="Arial"/>
                <w:b/>
                <w:sz w:val="14"/>
              </w:rPr>
              <w:t xml:space="preserve">- </w:t>
            </w:r>
          </w:p>
        </w:tc>
        <w:tc>
          <w:tcPr>
            <w:tcW w:w="656" w:type="dxa"/>
            <w:tcBorders>
              <w:top w:val="single" w:sz="4" w:space="0" w:color="000000"/>
              <w:left w:val="nil"/>
              <w:bottom w:val="single" w:sz="4" w:space="0" w:color="000000"/>
              <w:right w:val="single" w:sz="4" w:space="0" w:color="000000"/>
            </w:tcBorders>
            <w:shd w:val="clear" w:color="auto" w:fill="BFBFBF"/>
          </w:tcPr>
          <w:p w14:paraId="19D04EAA" w14:textId="77777777" w:rsidR="000B3C5C" w:rsidRDefault="000B3C5C">
            <w:pPr>
              <w:spacing w:after="160" w:line="259" w:lineRule="auto"/>
              <w:ind w:left="0" w:firstLine="0"/>
            </w:pPr>
          </w:p>
        </w:tc>
        <w:tc>
          <w:tcPr>
            <w:tcW w:w="697" w:type="dxa"/>
            <w:tcBorders>
              <w:top w:val="single" w:sz="4" w:space="0" w:color="000000"/>
              <w:left w:val="single" w:sz="4" w:space="0" w:color="000000"/>
              <w:bottom w:val="single" w:sz="4" w:space="0" w:color="000000"/>
              <w:right w:val="single" w:sz="4" w:space="0" w:color="000000"/>
            </w:tcBorders>
            <w:vAlign w:val="center"/>
          </w:tcPr>
          <w:p w14:paraId="67668255" w14:textId="77777777" w:rsidR="000B3C5C" w:rsidRDefault="00ED192D">
            <w:pPr>
              <w:spacing w:after="0" w:line="259" w:lineRule="auto"/>
              <w:ind w:left="28" w:firstLine="0"/>
              <w:jc w:val="center"/>
            </w:pPr>
            <w:r>
              <w:rPr>
                <w:rFonts w:ascii="Arial" w:eastAsia="Arial" w:hAnsi="Arial" w:cs="Arial"/>
                <w:b/>
                <w:sz w:val="14"/>
              </w:rPr>
              <w:t xml:space="preserve">SOI </w:t>
            </w:r>
          </w:p>
        </w:tc>
        <w:tc>
          <w:tcPr>
            <w:tcW w:w="62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2A2E805" w14:textId="77777777" w:rsidR="000B3C5C" w:rsidRDefault="00ED192D">
            <w:pPr>
              <w:spacing w:after="0" w:line="259" w:lineRule="auto"/>
              <w:ind w:left="29" w:firstLine="0"/>
              <w:jc w:val="center"/>
            </w:pPr>
            <w:r>
              <w:rPr>
                <w:rFonts w:ascii="Arial" w:eastAsia="Arial" w:hAnsi="Arial" w:cs="Arial"/>
                <w:b/>
                <w:sz w:val="14"/>
              </w:rPr>
              <w:t xml:space="preserve">- </w:t>
            </w:r>
          </w:p>
        </w:tc>
        <w:tc>
          <w:tcPr>
            <w:tcW w:w="564"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1EABEC4C" w14:textId="77777777" w:rsidR="000B3C5C" w:rsidRDefault="00ED192D">
            <w:pPr>
              <w:spacing w:after="0" w:line="259" w:lineRule="auto"/>
              <w:ind w:left="30" w:firstLine="0"/>
              <w:jc w:val="center"/>
            </w:pPr>
            <w:r>
              <w:rPr>
                <w:rFonts w:ascii="Arial" w:eastAsia="Arial" w:hAnsi="Arial" w:cs="Arial"/>
                <w:b/>
                <w:sz w:val="14"/>
              </w:rPr>
              <w:t xml:space="preserve">- </w:t>
            </w:r>
          </w:p>
        </w:tc>
        <w:tc>
          <w:tcPr>
            <w:tcW w:w="6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494E957" w14:textId="77777777" w:rsidR="000B3C5C" w:rsidRDefault="00ED192D">
            <w:pPr>
              <w:spacing w:after="0" w:line="259" w:lineRule="auto"/>
              <w:ind w:left="11" w:firstLine="0"/>
              <w:jc w:val="center"/>
            </w:pPr>
            <w:r>
              <w:rPr>
                <w:rFonts w:ascii="Arial" w:eastAsia="Arial" w:hAnsi="Arial" w:cs="Arial"/>
                <w:b/>
                <w:sz w:val="14"/>
              </w:rPr>
              <w:t xml:space="preserve">- </w:t>
            </w:r>
          </w:p>
        </w:tc>
      </w:tr>
      <w:tr w:rsidR="000B3C5C" w14:paraId="56E2C471" w14:textId="77777777">
        <w:trPr>
          <w:trHeight w:val="682"/>
        </w:trPr>
        <w:tc>
          <w:tcPr>
            <w:tcW w:w="1328" w:type="dxa"/>
            <w:tcBorders>
              <w:top w:val="single" w:sz="4" w:space="0" w:color="000000"/>
              <w:left w:val="single" w:sz="4" w:space="0" w:color="000000"/>
              <w:bottom w:val="single" w:sz="4" w:space="0" w:color="000000"/>
              <w:right w:val="single" w:sz="4" w:space="0" w:color="000000"/>
            </w:tcBorders>
          </w:tcPr>
          <w:p w14:paraId="69A060AC" w14:textId="77777777" w:rsidR="000B3C5C" w:rsidRDefault="00ED192D">
            <w:pPr>
              <w:spacing w:after="0" w:line="259" w:lineRule="auto"/>
              <w:ind w:left="72" w:right="16" w:firstLine="0"/>
            </w:pPr>
            <w:r>
              <w:rPr>
                <w:rFonts w:ascii="Arial" w:eastAsia="Arial" w:hAnsi="Arial" w:cs="Arial"/>
                <w:sz w:val="16"/>
              </w:rPr>
              <w:t xml:space="preserve">Sample time window Atezolizumab </w:t>
            </w:r>
          </w:p>
        </w:tc>
        <w:tc>
          <w:tcPr>
            <w:tcW w:w="462" w:type="dxa"/>
            <w:tcBorders>
              <w:top w:val="single" w:sz="4" w:space="0" w:color="000000"/>
              <w:left w:val="single" w:sz="4" w:space="0" w:color="000000"/>
              <w:bottom w:val="single" w:sz="4" w:space="0" w:color="000000"/>
              <w:right w:val="single" w:sz="4" w:space="0" w:color="000000"/>
            </w:tcBorders>
            <w:vAlign w:val="center"/>
          </w:tcPr>
          <w:p w14:paraId="48A99740" w14:textId="77777777" w:rsidR="000B3C5C" w:rsidRDefault="00ED192D">
            <w:pPr>
              <w:spacing w:after="0" w:line="259" w:lineRule="auto"/>
              <w:ind w:left="68" w:firstLine="0"/>
            </w:pPr>
            <w:r>
              <w:rPr>
                <w:rFonts w:ascii="Arial" w:eastAsia="Arial" w:hAnsi="Arial" w:cs="Arial"/>
                <w:b/>
                <w:sz w:val="14"/>
              </w:rPr>
              <w:t xml:space="preserve">[-24h, </w:t>
            </w:r>
          </w:p>
          <w:p w14:paraId="2D1C5A40" w14:textId="77777777" w:rsidR="000B3C5C" w:rsidRDefault="00ED192D">
            <w:pPr>
              <w:spacing w:after="0" w:line="259" w:lineRule="auto"/>
              <w:ind w:left="68" w:firstLine="0"/>
            </w:pPr>
            <w:r>
              <w:rPr>
                <w:rFonts w:ascii="Arial" w:eastAsia="Arial" w:hAnsi="Arial" w:cs="Arial"/>
                <w:b/>
                <w:sz w:val="14"/>
              </w:rPr>
              <w:t xml:space="preserve">SOI] </w:t>
            </w:r>
          </w:p>
        </w:tc>
        <w:tc>
          <w:tcPr>
            <w:tcW w:w="442" w:type="dxa"/>
            <w:tcBorders>
              <w:top w:val="single" w:sz="4" w:space="0" w:color="000000"/>
              <w:left w:val="single" w:sz="4" w:space="0" w:color="000000"/>
              <w:bottom w:val="single" w:sz="4" w:space="0" w:color="000000"/>
              <w:right w:val="single" w:sz="4" w:space="0" w:color="000000"/>
            </w:tcBorders>
            <w:vAlign w:val="center"/>
          </w:tcPr>
          <w:p w14:paraId="33BF2796" w14:textId="77777777" w:rsidR="000B3C5C" w:rsidRDefault="00ED192D">
            <w:pPr>
              <w:spacing w:after="0" w:line="259" w:lineRule="auto"/>
              <w:ind w:left="122" w:firstLine="34"/>
            </w:pPr>
            <w:r>
              <w:rPr>
                <w:rFonts w:ascii="Arial" w:eastAsia="Arial" w:hAnsi="Arial" w:cs="Arial"/>
                <w:b/>
                <w:sz w:val="14"/>
              </w:rPr>
              <w:t xml:space="preserve">±5 min </w:t>
            </w:r>
          </w:p>
        </w:tc>
        <w:tc>
          <w:tcPr>
            <w:tcW w:w="571" w:type="dxa"/>
            <w:gridSpan w:val="2"/>
            <w:tcBorders>
              <w:top w:val="single" w:sz="4" w:space="0" w:color="000000"/>
              <w:left w:val="single" w:sz="4" w:space="0" w:color="000000"/>
              <w:bottom w:val="single" w:sz="4" w:space="0" w:color="000000"/>
              <w:right w:val="single" w:sz="4" w:space="0" w:color="000000"/>
            </w:tcBorders>
            <w:vAlign w:val="center"/>
          </w:tcPr>
          <w:p w14:paraId="475E7345" w14:textId="77777777" w:rsidR="000B3C5C" w:rsidRDefault="00ED192D">
            <w:pPr>
              <w:spacing w:after="0" w:line="259" w:lineRule="auto"/>
              <w:ind w:left="66" w:right="35" w:firstLine="0"/>
              <w:jc w:val="center"/>
            </w:pPr>
            <w:r>
              <w:rPr>
                <w:rFonts w:ascii="Arial" w:eastAsia="Arial" w:hAnsi="Arial" w:cs="Arial"/>
                <w:b/>
                <w:sz w:val="14"/>
              </w:rPr>
              <w:t xml:space="preserve">±10 mi n </w:t>
            </w:r>
          </w:p>
        </w:tc>
        <w:tc>
          <w:tcPr>
            <w:tcW w:w="451" w:type="dxa"/>
            <w:tcBorders>
              <w:top w:val="single" w:sz="4" w:space="0" w:color="000000"/>
              <w:left w:val="single" w:sz="4" w:space="0" w:color="000000"/>
              <w:bottom w:val="single" w:sz="4" w:space="0" w:color="000000"/>
              <w:right w:val="nil"/>
            </w:tcBorders>
            <w:shd w:val="clear" w:color="auto" w:fill="BFBFBF"/>
          </w:tcPr>
          <w:p w14:paraId="0D78E660"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shd w:val="clear" w:color="auto" w:fill="BFBFBF"/>
          </w:tcPr>
          <w:p w14:paraId="722AAF36" w14:textId="77777777" w:rsidR="000B3C5C" w:rsidRDefault="000B3C5C">
            <w:pPr>
              <w:spacing w:after="160" w:line="259" w:lineRule="auto"/>
              <w:ind w:left="0" w:firstLine="0"/>
            </w:pPr>
          </w:p>
        </w:tc>
        <w:tc>
          <w:tcPr>
            <w:tcW w:w="1139" w:type="dxa"/>
            <w:tcBorders>
              <w:top w:val="single" w:sz="4" w:space="0" w:color="000000"/>
              <w:left w:val="nil"/>
              <w:bottom w:val="single" w:sz="4" w:space="0" w:color="000000"/>
              <w:right w:val="nil"/>
            </w:tcBorders>
            <w:shd w:val="clear" w:color="auto" w:fill="BFBFBF"/>
            <w:vAlign w:val="center"/>
          </w:tcPr>
          <w:p w14:paraId="6A90AF9D" w14:textId="77777777" w:rsidR="000B3C5C" w:rsidRDefault="00ED192D">
            <w:pPr>
              <w:spacing w:after="0" w:line="259" w:lineRule="auto"/>
              <w:ind w:left="263" w:firstLine="0"/>
            </w:pPr>
            <w:r>
              <w:rPr>
                <w:rFonts w:ascii="Arial" w:eastAsia="Arial" w:hAnsi="Arial" w:cs="Arial"/>
                <w:b/>
                <w:sz w:val="14"/>
              </w:rPr>
              <w:t xml:space="preserve">- </w:t>
            </w:r>
          </w:p>
        </w:tc>
        <w:tc>
          <w:tcPr>
            <w:tcW w:w="1031" w:type="dxa"/>
            <w:gridSpan w:val="2"/>
            <w:tcBorders>
              <w:top w:val="single" w:sz="4" w:space="0" w:color="000000"/>
              <w:left w:val="nil"/>
              <w:bottom w:val="single" w:sz="4" w:space="0" w:color="000000"/>
              <w:right w:val="single" w:sz="4" w:space="0" w:color="000000"/>
            </w:tcBorders>
            <w:shd w:val="clear" w:color="auto" w:fill="BFBFBF"/>
          </w:tcPr>
          <w:p w14:paraId="4BAE03C2" w14:textId="77777777" w:rsidR="000B3C5C" w:rsidRDefault="000B3C5C">
            <w:pPr>
              <w:spacing w:after="160" w:line="259" w:lineRule="auto"/>
              <w:ind w:left="0" w:firstLine="0"/>
            </w:pPr>
          </w:p>
        </w:tc>
        <w:tc>
          <w:tcPr>
            <w:tcW w:w="569" w:type="dxa"/>
            <w:gridSpan w:val="2"/>
            <w:tcBorders>
              <w:top w:val="single" w:sz="4" w:space="0" w:color="000000"/>
              <w:left w:val="single" w:sz="4" w:space="0" w:color="000000"/>
              <w:bottom w:val="single" w:sz="4" w:space="0" w:color="000000"/>
              <w:right w:val="single" w:sz="4" w:space="0" w:color="000000"/>
            </w:tcBorders>
            <w:vAlign w:val="center"/>
          </w:tcPr>
          <w:p w14:paraId="6DD30EA1" w14:textId="77777777" w:rsidR="000B3C5C" w:rsidRDefault="00ED192D">
            <w:pPr>
              <w:spacing w:after="0" w:line="259" w:lineRule="auto"/>
              <w:ind w:left="31" w:firstLine="0"/>
              <w:jc w:val="center"/>
            </w:pPr>
            <w:r>
              <w:rPr>
                <w:rFonts w:ascii="Arial" w:eastAsia="Arial" w:hAnsi="Arial" w:cs="Arial"/>
                <w:b/>
                <w:sz w:val="14"/>
              </w:rPr>
              <w:t xml:space="preserve">[-24h, SOI] </w:t>
            </w:r>
          </w:p>
        </w:tc>
        <w:tc>
          <w:tcPr>
            <w:tcW w:w="110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54E51892" w14:textId="77777777" w:rsidR="000B3C5C" w:rsidRDefault="00ED192D">
            <w:pPr>
              <w:spacing w:after="0" w:line="259" w:lineRule="auto"/>
              <w:ind w:left="43" w:firstLine="0"/>
              <w:jc w:val="center"/>
            </w:pPr>
            <w:r>
              <w:rPr>
                <w:rFonts w:ascii="Arial" w:eastAsia="Arial" w:hAnsi="Arial" w:cs="Arial"/>
                <w:b/>
                <w:sz w:val="14"/>
              </w:rPr>
              <w:t xml:space="preserve">- </w:t>
            </w:r>
          </w:p>
        </w:tc>
        <w:tc>
          <w:tcPr>
            <w:tcW w:w="538" w:type="dxa"/>
            <w:tcBorders>
              <w:top w:val="single" w:sz="4" w:space="0" w:color="000000"/>
              <w:left w:val="single" w:sz="4" w:space="0" w:color="000000"/>
              <w:bottom w:val="single" w:sz="4" w:space="0" w:color="000000"/>
              <w:right w:val="single" w:sz="4" w:space="0" w:color="000000"/>
            </w:tcBorders>
            <w:vAlign w:val="center"/>
          </w:tcPr>
          <w:p w14:paraId="73EC6A09" w14:textId="77777777" w:rsidR="000B3C5C" w:rsidRDefault="00ED192D">
            <w:pPr>
              <w:spacing w:after="0" w:line="259" w:lineRule="auto"/>
              <w:ind w:left="5" w:firstLine="0"/>
              <w:jc w:val="center"/>
            </w:pPr>
            <w:r>
              <w:rPr>
                <w:rFonts w:ascii="Arial" w:eastAsia="Arial" w:hAnsi="Arial" w:cs="Arial"/>
                <w:b/>
                <w:sz w:val="14"/>
              </w:rPr>
              <w:t xml:space="preserve">[-24h, SOI] </w:t>
            </w:r>
          </w:p>
        </w:tc>
        <w:tc>
          <w:tcPr>
            <w:tcW w:w="44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FACC2AC" w14:textId="77777777" w:rsidR="000B3C5C" w:rsidRDefault="00ED192D">
            <w:pPr>
              <w:spacing w:after="0" w:line="259" w:lineRule="auto"/>
              <w:ind w:left="39" w:firstLine="0"/>
              <w:jc w:val="center"/>
            </w:pPr>
            <w:r>
              <w:rPr>
                <w:rFonts w:ascii="Arial" w:eastAsia="Arial" w:hAnsi="Arial" w:cs="Arial"/>
                <w:b/>
                <w:sz w:val="14"/>
              </w:rPr>
              <w:t xml:space="preserve">- </w:t>
            </w:r>
          </w:p>
        </w:tc>
        <w:tc>
          <w:tcPr>
            <w:tcW w:w="617" w:type="dxa"/>
            <w:gridSpan w:val="2"/>
            <w:tcBorders>
              <w:top w:val="single" w:sz="4" w:space="0" w:color="000000"/>
              <w:left w:val="single" w:sz="4" w:space="0" w:color="000000"/>
              <w:bottom w:val="single" w:sz="4" w:space="0" w:color="000000"/>
              <w:right w:val="single" w:sz="4" w:space="0" w:color="000000"/>
            </w:tcBorders>
            <w:vAlign w:val="center"/>
          </w:tcPr>
          <w:p w14:paraId="31B50D70" w14:textId="77777777" w:rsidR="000B3C5C" w:rsidRDefault="00ED192D">
            <w:pPr>
              <w:spacing w:after="0" w:line="259" w:lineRule="auto"/>
              <w:ind w:left="37" w:firstLine="0"/>
              <w:jc w:val="center"/>
            </w:pPr>
            <w:r>
              <w:rPr>
                <w:rFonts w:ascii="Arial" w:eastAsia="Arial" w:hAnsi="Arial" w:cs="Arial"/>
                <w:b/>
                <w:sz w:val="14"/>
              </w:rPr>
              <w:t xml:space="preserve">[-24h, </w:t>
            </w:r>
            <w:r>
              <w:rPr>
                <w:rFonts w:ascii="Arial" w:eastAsia="Arial" w:hAnsi="Arial" w:cs="Arial"/>
                <w:b/>
                <w:sz w:val="14"/>
              </w:rPr>
              <w:t xml:space="preserve">SOI] </w:t>
            </w:r>
          </w:p>
        </w:tc>
        <w:tc>
          <w:tcPr>
            <w:tcW w:w="1097" w:type="dxa"/>
            <w:gridSpan w:val="2"/>
            <w:tcBorders>
              <w:top w:val="single" w:sz="4" w:space="0" w:color="000000"/>
              <w:left w:val="single" w:sz="4" w:space="0" w:color="000000"/>
              <w:bottom w:val="single" w:sz="4" w:space="0" w:color="000000"/>
              <w:right w:val="nil"/>
            </w:tcBorders>
            <w:shd w:val="clear" w:color="auto" w:fill="BFBFBF"/>
            <w:vAlign w:val="center"/>
          </w:tcPr>
          <w:p w14:paraId="09D14A12" w14:textId="77777777" w:rsidR="000B3C5C" w:rsidRDefault="00ED192D">
            <w:pPr>
              <w:spacing w:after="0" w:line="259" w:lineRule="auto"/>
              <w:ind w:left="0" w:right="168" w:firstLine="0"/>
              <w:jc w:val="right"/>
            </w:pPr>
            <w:r>
              <w:rPr>
                <w:rFonts w:ascii="Arial" w:eastAsia="Arial" w:hAnsi="Arial" w:cs="Arial"/>
                <w:b/>
                <w:sz w:val="14"/>
              </w:rPr>
              <w:t xml:space="preserve">- </w:t>
            </w:r>
          </w:p>
        </w:tc>
        <w:tc>
          <w:tcPr>
            <w:tcW w:w="656" w:type="dxa"/>
            <w:tcBorders>
              <w:top w:val="single" w:sz="4" w:space="0" w:color="000000"/>
              <w:left w:val="nil"/>
              <w:bottom w:val="single" w:sz="4" w:space="0" w:color="000000"/>
              <w:right w:val="single" w:sz="4" w:space="0" w:color="000000"/>
            </w:tcBorders>
            <w:shd w:val="clear" w:color="auto" w:fill="BFBFBF"/>
          </w:tcPr>
          <w:p w14:paraId="3D1359D9" w14:textId="77777777" w:rsidR="000B3C5C" w:rsidRDefault="000B3C5C">
            <w:pPr>
              <w:spacing w:after="160" w:line="259" w:lineRule="auto"/>
              <w:ind w:left="0" w:firstLine="0"/>
            </w:pPr>
          </w:p>
        </w:tc>
        <w:tc>
          <w:tcPr>
            <w:tcW w:w="697" w:type="dxa"/>
            <w:tcBorders>
              <w:top w:val="single" w:sz="4" w:space="0" w:color="000000"/>
              <w:left w:val="single" w:sz="4" w:space="0" w:color="000000"/>
              <w:bottom w:val="single" w:sz="4" w:space="0" w:color="000000"/>
              <w:right w:val="single" w:sz="4" w:space="0" w:color="000000"/>
            </w:tcBorders>
            <w:vAlign w:val="center"/>
          </w:tcPr>
          <w:p w14:paraId="2A6AB459" w14:textId="77777777" w:rsidR="000B3C5C" w:rsidRDefault="00ED192D">
            <w:pPr>
              <w:spacing w:after="0" w:line="259" w:lineRule="auto"/>
              <w:ind w:left="228" w:hanging="36"/>
            </w:pPr>
            <w:r>
              <w:rPr>
                <w:rFonts w:ascii="Arial" w:eastAsia="Arial" w:hAnsi="Arial" w:cs="Arial"/>
                <w:b/>
                <w:sz w:val="14"/>
              </w:rPr>
              <w:t xml:space="preserve">[-24h, SOI] </w:t>
            </w:r>
          </w:p>
        </w:tc>
        <w:tc>
          <w:tcPr>
            <w:tcW w:w="62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A957DFE" w14:textId="77777777" w:rsidR="000B3C5C" w:rsidRDefault="00ED192D">
            <w:pPr>
              <w:spacing w:after="0" w:line="259" w:lineRule="auto"/>
              <w:ind w:left="29" w:firstLine="0"/>
              <w:jc w:val="center"/>
            </w:pPr>
            <w:r>
              <w:rPr>
                <w:rFonts w:ascii="Arial" w:eastAsia="Arial" w:hAnsi="Arial" w:cs="Arial"/>
                <w:b/>
                <w:sz w:val="14"/>
              </w:rPr>
              <w:t xml:space="preserve">- </w:t>
            </w:r>
          </w:p>
        </w:tc>
        <w:tc>
          <w:tcPr>
            <w:tcW w:w="564"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340F53F0" w14:textId="77777777" w:rsidR="000B3C5C" w:rsidRDefault="00ED192D">
            <w:pPr>
              <w:spacing w:after="0" w:line="259" w:lineRule="auto"/>
              <w:ind w:left="30" w:firstLine="0"/>
              <w:jc w:val="center"/>
            </w:pPr>
            <w:r>
              <w:rPr>
                <w:rFonts w:ascii="Arial" w:eastAsia="Arial" w:hAnsi="Arial" w:cs="Arial"/>
                <w:b/>
                <w:sz w:val="14"/>
              </w:rPr>
              <w:t xml:space="preserve">- </w:t>
            </w:r>
          </w:p>
        </w:tc>
        <w:tc>
          <w:tcPr>
            <w:tcW w:w="6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B13EFC9" w14:textId="77777777" w:rsidR="000B3C5C" w:rsidRDefault="00ED192D">
            <w:pPr>
              <w:spacing w:after="0" w:line="259" w:lineRule="auto"/>
              <w:ind w:left="11" w:firstLine="0"/>
              <w:jc w:val="center"/>
            </w:pPr>
            <w:r>
              <w:rPr>
                <w:rFonts w:ascii="Arial" w:eastAsia="Arial" w:hAnsi="Arial" w:cs="Arial"/>
                <w:b/>
                <w:sz w:val="14"/>
              </w:rPr>
              <w:t xml:space="preserve">- </w:t>
            </w:r>
          </w:p>
        </w:tc>
      </w:tr>
      <w:tr w:rsidR="000B3C5C" w14:paraId="407C2600" w14:textId="77777777">
        <w:trPr>
          <w:trHeight w:val="557"/>
        </w:trPr>
        <w:tc>
          <w:tcPr>
            <w:tcW w:w="1328" w:type="dxa"/>
            <w:tcBorders>
              <w:top w:val="single" w:sz="4" w:space="0" w:color="000000"/>
              <w:left w:val="single" w:sz="4" w:space="0" w:color="000000"/>
              <w:bottom w:val="single" w:sz="4" w:space="0" w:color="000000"/>
              <w:right w:val="single" w:sz="4" w:space="0" w:color="000000"/>
            </w:tcBorders>
          </w:tcPr>
          <w:p w14:paraId="5496F565" w14:textId="77777777" w:rsidR="000B3C5C" w:rsidRDefault="00ED192D">
            <w:pPr>
              <w:spacing w:after="43" w:line="259" w:lineRule="auto"/>
              <w:ind w:left="72" w:firstLine="0"/>
            </w:pPr>
            <w:r>
              <w:rPr>
                <w:rFonts w:ascii="Arial" w:eastAsia="Arial" w:hAnsi="Arial" w:cs="Arial"/>
                <w:sz w:val="16"/>
              </w:rPr>
              <w:t xml:space="preserve">Sample RNT (h) </w:t>
            </w:r>
          </w:p>
          <w:p w14:paraId="3E51156F" w14:textId="77777777" w:rsidR="000B3C5C" w:rsidRDefault="00ED192D">
            <w:pPr>
              <w:spacing w:after="0" w:line="259" w:lineRule="auto"/>
              <w:ind w:left="72" w:firstLine="0"/>
            </w:pPr>
            <w:r>
              <w:rPr>
                <w:rFonts w:ascii="Arial" w:eastAsia="Arial" w:hAnsi="Arial" w:cs="Arial"/>
                <w:sz w:val="16"/>
              </w:rPr>
              <w:t xml:space="preserve">Ref: SOI Isatuximab </w:t>
            </w:r>
          </w:p>
        </w:tc>
        <w:tc>
          <w:tcPr>
            <w:tcW w:w="462" w:type="dxa"/>
            <w:tcBorders>
              <w:top w:val="single" w:sz="4" w:space="0" w:color="000000"/>
              <w:left w:val="single" w:sz="4" w:space="0" w:color="000000"/>
              <w:bottom w:val="single" w:sz="4" w:space="0" w:color="000000"/>
              <w:right w:val="single" w:sz="4" w:space="0" w:color="000000"/>
            </w:tcBorders>
            <w:vAlign w:val="center"/>
          </w:tcPr>
          <w:p w14:paraId="47B012D3" w14:textId="77777777" w:rsidR="000B3C5C" w:rsidRDefault="00ED192D">
            <w:pPr>
              <w:spacing w:after="0" w:line="259" w:lineRule="auto"/>
              <w:ind w:left="40" w:firstLine="0"/>
              <w:jc w:val="center"/>
            </w:pPr>
            <w:r>
              <w:rPr>
                <w:rFonts w:ascii="Arial" w:eastAsia="Arial" w:hAnsi="Arial" w:cs="Arial"/>
                <w:b/>
                <w:sz w:val="14"/>
              </w:rPr>
              <w:t xml:space="preserve">SOI </w:t>
            </w:r>
          </w:p>
        </w:tc>
        <w:tc>
          <w:tcPr>
            <w:tcW w:w="442" w:type="dxa"/>
            <w:tcBorders>
              <w:top w:val="single" w:sz="4" w:space="0" w:color="000000"/>
              <w:left w:val="single" w:sz="4" w:space="0" w:color="000000"/>
              <w:bottom w:val="single" w:sz="4" w:space="0" w:color="000000"/>
              <w:right w:val="nil"/>
            </w:tcBorders>
            <w:shd w:val="clear" w:color="auto" w:fill="BFBFBF"/>
          </w:tcPr>
          <w:p w14:paraId="48CEF7C7" w14:textId="77777777" w:rsidR="000B3C5C" w:rsidRDefault="000B3C5C">
            <w:pPr>
              <w:spacing w:after="160" w:line="259" w:lineRule="auto"/>
              <w:ind w:left="0" w:firstLine="0"/>
            </w:pPr>
          </w:p>
        </w:tc>
        <w:tc>
          <w:tcPr>
            <w:tcW w:w="571" w:type="dxa"/>
            <w:gridSpan w:val="2"/>
            <w:tcBorders>
              <w:top w:val="single" w:sz="4" w:space="0" w:color="000000"/>
              <w:left w:val="nil"/>
              <w:bottom w:val="single" w:sz="4" w:space="0" w:color="000000"/>
              <w:right w:val="single" w:sz="4" w:space="0" w:color="000000"/>
            </w:tcBorders>
            <w:shd w:val="clear" w:color="auto" w:fill="BFBFBF"/>
            <w:vAlign w:val="center"/>
          </w:tcPr>
          <w:p w14:paraId="47045FF0" w14:textId="77777777" w:rsidR="000B3C5C" w:rsidRDefault="00ED192D">
            <w:pPr>
              <w:spacing w:after="0" w:line="259" w:lineRule="auto"/>
              <w:ind w:left="48" w:firstLine="0"/>
            </w:pPr>
            <w:r>
              <w:rPr>
                <w:rFonts w:ascii="Arial" w:eastAsia="Arial" w:hAnsi="Arial" w:cs="Arial"/>
                <w:b/>
                <w:sz w:val="14"/>
              </w:rPr>
              <w:t xml:space="preserve">- </w:t>
            </w:r>
          </w:p>
        </w:tc>
        <w:tc>
          <w:tcPr>
            <w:tcW w:w="451" w:type="dxa"/>
            <w:tcBorders>
              <w:top w:val="single" w:sz="4" w:space="0" w:color="000000"/>
              <w:left w:val="single" w:sz="4" w:space="0" w:color="000000"/>
              <w:bottom w:val="single" w:sz="4" w:space="0" w:color="000000"/>
              <w:right w:val="single" w:sz="4" w:space="0" w:color="000000"/>
            </w:tcBorders>
            <w:vAlign w:val="center"/>
          </w:tcPr>
          <w:p w14:paraId="0DE16171" w14:textId="77777777" w:rsidR="000B3C5C" w:rsidRDefault="00ED192D">
            <w:pPr>
              <w:spacing w:after="0" w:line="259" w:lineRule="auto"/>
              <w:ind w:left="29" w:firstLine="0"/>
              <w:jc w:val="center"/>
            </w:pPr>
            <w:r>
              <w:rPr>
                <w:rFonts w:ascii="Arial" w:eastAsia="Arial" w:hAnsi="Arial" w:cs="Arial"/>
                <w:b/>
                <w:sz w:val="14"/>
              </w:rPr>
              <w:t xml:space="preserve">EOI </w:t>
            </w:r>
          </w:p>
        </w:tc>
        <w:tc>
          <w:tcPr>
            <w:tcW w:w="632" w:type="dxa"/>
            <w:tcBorders>
              <w:top w:val="single" w:sz="4" w:space="0" w:color="000000"/>
              <w:left w:val="single" w:sz="4" w:space="0" w:color="000000"/>
              <w:bottom w:val="single" w:sz="4" w:space="0" w:color="000000"/>
              <w:right w:val="single" w:sz="4" w:space="0" w:color="000000"/>
            </w:tcBorders>
            <w:vAlign w:val="center"/>
          </w:tcPr>
          <w:p w14:paraId="1A63EB11" w14:textId="77777777" w:rsidR="000B3C5C" w:rsidRDefault="00ED192D">
            <w:pPr>
              <w:spacing w:after="0" w:line="259" w:lineRule="auto"/>
              <w:ind w:left="98" w:firstLine="0"/>
            </w:pPr>
            <w:r>
              <w:rPr>
                <w:rFonts w:ascii="Arial" w:eastAsia="Arial" w:hAnsi="Arial" w:cs="Arial"/>
                <w:b/>
                <w:sz w:val="14"/>
              </w:rPr>
              <w:t xml:space="preserve">EOI +4h </w:t>
            </w:r>
          </w:p>
        </w:tc>
        <w:tc>
          <w:tcPr>
            <w:tcW w:w="548" w:type="dxa"/>
            <w:tcBorders>
              <w:top w:val="single" w:sz="4" w:space="0" w:color="000000"/>
              <w:left w:val="single" w:sz="4" w:space="0" w:color="000000"/>
              <w:bottom w:val="single" w:sz="4" w:space="0" w:color="000000"/>
              <w:right w:val="single" w:sz="4" w:space="0" w:color="000000"/>
            </w:tcBorders>
            <w:vAlign w:val="center"/>
          </w:tcPr>
          <w:p w14:paraId="063DBBCD" w14:textId="77777777" w:rsidR="000B3C5C" w:rsidRDefault="00ED192D">
            <w:pPr>
              <w:spacing w:after="0" w:line="259" w:lineRule="auto"/>
              <w:ind w:left="34" w:firstLine="0"/>
              <w:jc w:val="center"/>
            </w:pPr>
            <w:r>
              <w:rPr>
                <w:rFonts w:ascii="Arial" w:eastAsia="Arial" w:hAnsi="Arial" w:cs="Arial"/>
                <w:b/>
                <w:sz w:val="14"/>
              </w:rPr>
              <w:t xml:space="preserve">72h </w:t>
            </w:r>
          </w:p>
        </w:tc>
        <w:tc>
          <w:tcPr>
            <w:tcW w:w="1139" w:type="dxa"/>
            <w:tcBorders>
              <w:top w:val="single" w:sz="4" w:space="0" w:color="000000"/>
              <w:left w:val="single" w:sz="4" w:space="0" w:color="000000"/>
              <w:bottom w:val="single" w:sz="4" w:space="0" w:color="000000"/>
              <w:right w:val="single" w:sz="4" w:space="0" w:color="000000"/>
            </w:tcBorders>
            <w:vAlign w:val="center"/>
          </w:tcPr>
          <w:p w14:paraId="095A6C09" w14:textId="77777777" w:rsidR="000B3C5C" w:rsidRDefault="00ED192D">
            <w:pPr>
              <w:spacing w:after="0" w:line="259" w:lineRule="auto"/>
              <w:ind w:left="34" w:firstLine="0"/>
              <w:jc w:val="center"/>
            </w:pPr>
            <w:r>
              <w:rPr>
                <w:rFonts w:ascii="Arial" w:eastAsia="Arial" w:hAnsi="Arial" w:cs="Arial"/>
                <w:b/>
                <w:sz w:val="14"/>
              </w:rPr>
              <w:t xml:space="preserve">168h  </w:t>
            </w:r>
          </w:p>
          <w:p w14:paraId="6CEF5076" w14:textId="77777777" w:rsidR="000B3C5C" w:rsidRDefault="00ED192D">
            <w:pPr>
              <w:spacing w:after="0" w:line="259" w:lineRule="auto"/>
              <w:ind w:left="31" w:firstLine="0"/>
              <w:jc w:val="center"/>
            </w:pPr>
            <w:r>
              <w:rPr>
                <w:rFonts w:ascii="Arial" w:eastAsia="Arial" w:hAnsi="Arial" w:cs="Arial"/>
                <w:b/>
                <w:sz w:val="14"/>
              </w:rPr>
              <w:t xml:space="preserve">(SOI of Day 8) </w:t>
            </w:r>
          </w:p>
        </w:tc>
        <w:tc>
          <w:tcPr>
            <w:tcW w:w="554" w:type="dxa"/>
            <w:tcBorders>
              <w:top w:val="single" w:sz="4" w:space="0" w:color="000000"/>
              <w:left w:val="single" w:sz="4" w:space="0" w:color="000000"/>
              <w:bottom w:val="single" w:sz="4" w:space="0" w:color="000000"/>
              <w:right w:val="single" w:sz="4" w:space="0" w:color="000000"/>
            </w:tcBorders>
            <w:vAlign w:val="center"/>
          </w:tcPr>
          <w:p w14:paraId="33EEABBD" w14:textId="77777777" w:rsidR="000B3C5C" w:rsidRDefault="00ED192D">
            <w:pPr>
              <w:spacing w:after="0" w:line="259" w:lineRule="auto"/>
              <w:ind w:left="36" w:firstLine="0"/>
              <w:jc w:val="center"/>
            </w:pPr>
            <w:r>
              <w:rPr>
                <w:rFonts w:ascii="Arial" w:eastAsia="Arial" w:hAnsi="Arial" w:cs="Arial"/>
                <w:b/>
                <w:sz w:val="14"/>
              </w:rPr>
              <w:t xml:space="preserve">SOI </w:t>
            </w:r>
          </w:p>
        </w:tc>
        <w:tc>
          <w:tcPr>
            <w:tcW w:w="476" w:type="dxa"/>
            <w:tcBorders>
              <w:top w:val="single" w:sz="4" w:space="0" w:color="000000"/>
              <w:left w:val="single" w:sz="4" w:space="0" w:color="000000"/>
              <w:bottom w:val="single" w:sz="4" w:space="0" w:color="000000"/>
              <w:right w:val="single" w:sz="4" w:space="0" w:color="000000"/>
            </w:tcBorders>
            <w:vAlign w:val="center"/>
          </w:tcPr>
          <w:p w14:paraId="663F48A6" w14:textId="77777777" w:rsidR="000B3C5C" w:rsidRDefault="00ED192D">
            <w:pPr>
              <w:spacing w:after="0" w:line="259" w:lineRule="auto"/>
              <w:ind w:left="61" w:firstLine="0"/>
              <w:jc w:val="center"/>
            </w:pPr>
            <w:r>
              <w:rPr>
                <w:rFonts w:ascii="Arial" w:eastAsia="Arial" w:hAnsi="Arial" w:cs="Arial"/>
                <w:b/>
                <w:sz w:val="14"/>
              </w:rPr>
              <w:t xml:space="preserve">EOI </w:t>
            </w:r>
          </w:p>
        </w:tc>
        <w:tc>
          <w:tcPr>
            <w:tcW w:w="569" w:type="dxa"/>
            <w:gridSpan w:val="2"/>
            <w:tcBorders>
              <w:top w:val="single" w:sz="4" w:space="0" w:color="000000"/>
              <w:left w:val="single" w:sz="4" w:space="0" w:color="000000"/>
              <w:bottom w:val="single" w:sz="4" w:space="0" w:color="000000"/>
              <w:right w:val="single" w:sz="4" w:space="0" w:color="000000"/>
            </w:tcBorders>
            <w:vAlign w:val="center"/>
          </w:tcPr>
          <w:p w14:paraId="24D30417" w14:textId="77777777" w:rsidR="000B3C5C" w:rsidRDefault="00ED192D">
            <w:pPr>
              <w:spacing w:after="0" w:line="259" w:lineRule="auto"/>
              <w:ind w:left="68" w:firstLine="0"/>
              <w:jc w:val="center"/>
            </w:pPr>
            <w:r>
              <w:rPr>
                <w:rFonts w:ascii="Arial" w:eastAsia="Arial" w:hAnsi="Arial" w:cs="Arial"/>
                <w:b/>
                <w:sz w:val="14"/>
              </w:rPr>
              <w:t xml:space="preserve">SOI </w:t>
            </w:r>
          </w:p>
        </w:tc>
        <w:tc>
          <w:tcPr>
            <w:tcW w:w="43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E509C87" w14:textId="77777777" w:rsidR="000B3C5C" w:rsidRDefault="00ED192D">
            <w:pPr>
              <w:spacing w:after="0" w:line="259" w:lineRule="auto"/>
              <w:ind w:left="53" w:firstLine="0"/>
              <w:jc w:val="center"/>
            </w:pPr>
            <w:r>
              <w:rPr>
                <w:rFonts w:ascii="Arial" w:eastAsia="Arial" w:hAnsi="Arial" w:cs="Arial"/>
                <w:b/>
                <w:sz w:val="14"/>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14:paraId="0591CD66" w14:textId="77777777" w:rsidR="000B3C5C" w:rsidRDefault="00ED192D">
            <w:pPr>
              <w:spacing w:after="0" w:line="259" w:lineRule="auto"/>
              <w:ind w:left="43" w:firstLine="0"/>
              <w:jc w:val="center"/>
            </w:pPr>
            <w:r>
              <w:rPr>
                <w:rFonts w:ascii="Arial" w:eastAsia="Arial" w:hAnsi="Arial" w:cs="Arial"/>
                <w:b/>
                <w:sz w:val="14"/>
              </w:rPr>
              <w:t xml:space="preserve">EOI </w:t>
            </w:r>
          </w:p>
        </w:tc>
        <w:tc>
          <w:tcPr>
            <w:tcW w:w="538" w:type="dxa"/>
            <w:tcBorders>
              <w:top w:val="single" w:sz="4" w:space="0" w:color="000000"/>
              <w:left w:val="single" w:sz="4" w:space="0" w:color="000000"/>
              <w:bottom w:val="single" w:sz="4" w:space="0" w:color="000000"/>
              <w:right w:val="single" w:sz="4" w:space="0" w:color="000000"/>
            </w:tcBorders>
            <w:vAlign w:val="center"/>
          </w:tcPr>
          <w:p w14:paraId="45817A2D" w14:textId="77777777" w:rsidR="000B3C5C" w:rsidRDefault="00ED192D">
            <w:pPr>
              <w:spacing w:after="0" w:line="259" w:lineRule="auto"/>
              <w:ind w:left="43" w:firstLine="0"/>
              <w:jc w:val="center"/>
            </w:pPr>
            <w:r>
              <w:rPr>
                <w:rFonts w:ascii="Arial" w:eastAsia="Arial" w:hAnsi="Arial" w:cs="Arial"/>
                <w:b/>
                <w:sz w:val="14"/>
              </w:rPr>
              <w:t xml:space="preserve">SOI </w:t>
            </w:r>
          </w:p>
        </w:tc>
        <w:tc>
          <w:tcPr>
            <w:tcW w:w="44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338EC10" w14:textId="77777777" w:rsidR="000B3C5C" w:rsidRDefault="00ED192D">
            <w:pPr>
              <w:spacing w:after="0" w:line="259" w:lineRule="auto"/>
              <w:ind w:left="39" w:firstLine="0"/>
              <w:jc w:val="center"/>
            </w:pPr>
            <w:r>
              <w:rPr>
                <w:rFonts w:ascii="Arial" w:eastAsia="Arial" w:hAnsi="Arial" w:cs="Arial"/>
                <w:b/>
                <w:sz w:val="14"/>
              </w:rPr>
              <w:t xml:space="preserve">- </w:t>
            </w:r>
          </w:p>
        </w:tc>
        <w:tc>
          <w:tcPr>
            <w:tcW w:w="617" w:type="dxa"/>
            <w:gridSpan w:val="2"/>
            <w:tcBorders>
              <w:top w:val="single" w:sz="4" w:space="0" w:color="000000"/>
              <w:left w:val="single" w:sz="4" w:space="0" w:color="000000"/>
              <w:bottom w:val="single" w:sz="4" w:space="0" w:color="000000"/>
              <w:right w:val="single" w:sz="4" w:space="0" w:color="000000"/>
            </w:tcBorders>
            <w:vAlign w:val="center"/>
          </w:tcPr>
          <w:p w14:paraId="09C4E1E1" w14:textId="77777777" w:rsidR="000B3C5C" w:rsidRDefault="00ED192D">
            <w:pPr>
              <w:spacing w:after="0" w:line="259" w:lineRule="auto"/>
              <w:ind w:left="34" w:firstLine="0"/>
              <w:jc w:val="center"/>
            </w:pPr>
            <w:r>
              <w:rPr>
                <w:rFonts w:ascii="Arial" w:eastAsia="Arial" w:hAnsi="Arial" w:cs="Arial"/>
                <w:b/>
                <w:sz w:val="14"/>
              </w:rPr>
              <w:t xml:space="preserve">SOI </w:t>
            </w:r>
          </w:p>
        </w:tc>
        <w:tc>
          <w:tcPr>
            <w:tcW w:w="61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11A33D4" w14:textId="77777777" w:rsidR="000B3C5C" w:rsidRDefault="00ED192D">
            <w:pPr>
              <w:spacing w:after="0" w:line="259" w:lineRule="auto"/>
              <w:ind w:left="31" w:firstLine="0"/>
              <w:jc w:val="center"/>
            </w:pPr>
            <w:r>
              <w:rPr>
                <w:rFonts w:ascii="Arial" w:eastAsia="Arial" w:hAnsi="Arial" w:cs="Arial"/>
                <w:b/>
                <w:sz w:val="14"/>
              </w:rPr>
              <w:t xml:space="preserve">- </w:t>
            </w:r>
          </w:p>
        </w:tc>
        <w:tc>
          <w:tcPr>
            <w:tcW w:w="482" w:type="dxa"/>
            <w:tcBorders>
              <w:top w:val="single" w:sz="4" w:space="0" w:color="000000"/>
              <w:left w:val="single" w:sz="4" w:space="0" w:color="000000"/>
              <w:bottom w:val="single" w:sz="4" w:space="0" w:color="000000"/>
              <w:right w:val="single" w:sz="4" w:space="0" w:color="000000"/>
            </w:tcBorders>
            <w:vAlign w:val="center"/>
          </w:tcPr>
          <w:p w14:paraId="4543239B" w14:textId="77777777" w:rsidR="000B3C5C" w:rsidRDefault="00ED192D">
            <w:pPr>
              <w:spacing w:after="0" w:line="259" w:lineRule="auto"/>
              <w:ind w:left="24" w:firstLine="0"/>
              <w:jc w:val="center"/>
            </w:pPr>
            <w:r>
              <w:rPr>
                <w:rFonts w:ascii="Arial" w:eastAsia="Arial" w:hAnsi="Arial" w:cs="Arial"/>
                <w:b/>
                <w:sz w:val="14"/>
              </w:rPr>
              <w:t xml:space="preserve">EOI </w:t>
            </w:r>
          </w:p>
        </w:tc>
        <w:tc>
          <w:tcPr>
            <w:tcW w:w="656" w:type="dxa"/>
            <w:tcBorders>
              <w:top w:val="single" w:sz="4" w:space="0" w:color="000000"/>
              <w:left w:val="single" w:sz="4" w:space="0" w:color="000000"/>
              <w:bottom w:val="single" w:sz="4" w:space="0" w:color="000000"/>
              <w:right w:val="single" w:sz="4" w:space="0" w:color="000000"/>
            </w:tcBorders>
            <w:vAlign w:val="center"/>
          </w:tcPr>
          <w:p w14:paraId="3BB9D81C" w14:textId="77777777" w:rsidR="000B3C5C" w:rsidRDefault="00ED192D">
            <w:pPr>
              <w:spacing w:after="0" w:line="259" w:lineRule="auto"/>
              <w:ind w:left="104" w:firstLine="0"/>
            </w:pPr>
            <w:r>
              <w:rPr>
                <w:rFonts w:ascii="Arial" w:eastAsia="Arial" w:hAnsi="Arial" w:cs="Arial"/>
                <w:b/>
                <w:sz w:val="14"/>
              </w:rPr>
              <w:t xml:space="preserve">EOI +1h </w:t>
            </w:r>
          </w:p>
        </w:tc>
        <w:tc>
          <w:tcPr>
            <w:tcW w:w="697" w:type="dxa"/>
            <w:tcBorders>
              <w:top w:val="single" w:sz="4" w:space="0" w:color="000000"/>
              <w:left w:val="single" w:sz="4" w:space="0" w:color="000000"/>
              <w:bottom w:val="single" w:sz="4" w:space="0" w:color="000000"/>
              <w:right w:val="single" w:sz="4" w:space="0" w:color="000000"/>
            </w:tcBorders>
            <w:vAlign w:val="center"/>
          </w:tcPr>
          <w:p w14:paraId="63A48C1A" w14:textId="77777777" w:rsidR="000B3C5C" w:rsidRDefault="00ED192D">
            <w:pPr>
              <w:spacing w:after="0" w:line="259" w:lineRule="auto"/>
              <w:ind w:left="28" w:firstLine="0"/>
              <w:jc w:val="center"/>
            </w:pPr>
            <w:r>
              <w:rPr>
                <w:rFonts w:ascii="Arial" w:eastAsia="Arial" w:hAnsi="Arial" w:cs="Arial"/>
                <w:b/>
                <w:sz w:val="14"/>
              </w:rPr>
              <w:t xml:space="preserve">SOI </w:t>
            </w:r>
          </w:p>
        </w:tc>
        <w:tc>
          <w:tcPr>
            <w:tcW w:w="62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A9FAACC" w14:textId="77777777" w:rsidR="000B3C5C" w:rsidRDefault="00ED192D">
            <w:pPr>
              <w:spacing w:after="0" w:line="259" w:lineRule="auto"/>
              <w:ind w:left="29" w:firstLine="0"/>
              <w:jc w:val="center"/>
            </w:pPr>
            <w:r>
              <w:rPr>
                <w:rFonts w:ascii="Arial" w:eastAsia="Arial" w:hAnsi="Arial" w:cs="Arial"/>
                <w:b/>
                <w:sz w:val="14"/>
              </w:rPr>
              <w:t xml:space="preserve">- </w:t>
            </w:r>
          </w:p>
        </w:tc>
        <w:tc>
          <w:tcPr>
            <w:tcW w:w="564"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1A68166C" w14:textId="77777777" w:rsidR="000B3C5C" w:rsidRDefault="00ED192D">
            <w:pPr>
              <w:spacing w:after="0" w:line="259" w:lineRule="auto"/>
              <w:ind w:left="30" w:firstLine="0"/>
              <w:jc w:val="center"/>
            </w:pPr>
            <w:r>
              <w:rPr>
                <w:rFonts w:ascii="Arial" w:eastAsia="Arial" w:hAnsi="Arial" w:cs="Arial"/>
                <w:b/>
                <w:sz w:val="14"/>
              </w:rPr>
              <w:t xml:space="preserve">- </w:t>
            </w:r>
          </w:p>
        </w:tc>
        <w:tc>
          <w:tcPr>
            <w:tcW w:w="6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630FD8F" w14:textId="77777777" w:rsidR="000B3C5C" w:rsidRDefault="00ED192D">
            <w:pPr>
              <w:spacing w:after="0" w:line="259" w:lineRule="auto"/>
              <w:ind w:left="11" w:firstLine="0"/>
              <w:jc w:val="center"/>
            </w:pPr>
            <w:r>
              <w:rPr>
                <w:rFonts w:ascii="Arial" w:eastAsia="Arial" w:hAnsi="Arial" w:cs="Arial"/>
                <w:b/>
                <w:sz w:val="14"/>
              </w:rPr>
              <w:t xml:space="preserve">- </w:t>
            </w:r>
          </w:p>
        </w:tc>
      </w:tr>
      <w:tr w:rsidR="000B3C5C" w14:paraId="5852F7B0" w14:textId="77777777">
        <w:trPr>
          <w:trHeight w:val="496"/>
        </w:trPr>
        <w:tc>
          <w:tcPr>
            <w:tcW w:w="1328" w:type="dxa"/>
            <w:tcBorders>
              <w:top w:val="single" w:sz="4" w:space="0" w:color="000000"/>
              <w:left w:val="single" w:sz="4" w:space="0" w:color="000000"/>
              <w:bottom w:val="single" w:sz="4" w:space="0" w:color="000000"/>
              <w:right w:val="single" w:sz="4" w:space="0" w:color="000000"/>
            </w:tcBorders>
          </w:tcPr>
          <w:p w14:paraId="75CA99AD" w14:textId="77777777" w:rsidR="000B3C5C" w:rsidRDefault="00ED192D">
            <w:pPr>
              <w:spacing w:after="0" w:line="259" w:lineRule="auto"/>
              <w:ind w:left="72" w:right="17" w:firstLine="0"/>
            </w:pPr>
            <w:r>
              <w:rPr>
                <w:rFonts w:ascii="Arial" w:eastAsia="Arial" w:hAnsi="Arial" w:cs="Arial"/>
                <w:sz w:val="16"/>
              </w:rPr>
              <w:t xml:space="preserve">Sample time window Isatuximab </w:t>
            </w:r>
          </w:p>
        </w:tc>
        <w:tc>
          <w:tcPr>
            <w:tcW w:w="46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8766D37" w14:textId="77777777" w:rsidR="000B3C5C" w:rsidRDefault="00ED192D">
            <w:pPr>
              <w:spacing w:after="0" w:line="259" w:lineRule="auto"/>
              <w:ind w:left="39" w:firstLine="0"/>
              <w:jc w:val="center"/>
            </w:pPr>
            <w:r>
              <w:rPr>
                <w:rFonts w:ascii="Arial" w:eastAsia="Arial" w:hAnsi="Arial" w:cs="Arial"/>
                <w:b/>
                <w:sz w:val="14"/>
              </w:rPr>
              <w:t xml:space="preserve">- </w:t>
            </w:r>
          </w:p>
        </w:tc>
        <w:tc>
          <w:tcPr>
            <w:tcW w:w="442" w:type="dxa"/>
            <w:tcBorders>
              <w:top w:val="single" w:sz="4" w:space="0" w:color="000000"/>
              <w:left w:val="single" w:sz="4" w:space="0" w:color="000000"/>
              <w:bottom w:val="single" w:sz="4" w:space="0" w:color="000000"/>
              <w:right w:val="nil"/>
            </w:tcBorders>
            <w:shd w:val="clear" w:color="auto" w:fill="BFBFBF"/>
          </w:tcPr>
          <w:p w14:paraId="7248E26B" w14:textId="77777777" w:rsidR="000B3C5C" w:rsidRDefault="000B3C5C">
            <w:pPr>
              <w:spacing w:after="160" w:line="259" w:lineRule="auto"/>
              <w:ind w:left="0" w:firstLine="0"/>
            </w:pPr>
          </w:p>
        </w:tc>
        <w:tc>
          <w:tcPr>
            <w:tcW w:w="571" w:type="dxa"/>
            <w:gridSpan w:val="2"/>
            <w:tcBorders>
              <w:top w:val="single" w:sz="4" w:space="0" w:color="000000"/>
              <w:left w:val="nil"/>
              <w:bottom w:val="single" w:sz="4" w:space="0" w:color="000000"/>
              <w:right w:val="single" w:sz="4" w:space="0" w:color="000000"/>
            </w:tcBorders>
            <w:shd w:val="clear" w:color="auto" w:fill="BFBFBF"/>
            <w:vAlign w:val="center"/>
          </w:tcPr>
          <w:p w14:paraId="7123246B" w14:textId="77777777" w:rsidR="000B3C5C" w:rsidRDefault="00ED192D">
            <w:pPr>
              <w:spacing w:after="0" w:line="259" w:lineRule="auto"/>
              <w:ind w:left="48" w:firstLine="0"/>
            </w:pPr>
            <w:r>
              <w:rPr>
                <w:rFonts w:ascii="Arial" w:eastAsia="Arial" w:hAnsi="Arial" w:cs="Arial"/>
                <w:b/>
                <w:sz w:val="14"/>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6C391F52" w14:textId="77777777" w:rsidR="000B3C5C" w:rsidRDefault="00ED192D">
            <w:pPr>
              <w:spacing w:after="0" w:line="259" w:lineRule="auto"/>
              <w:ind w:left="123" w:hanging="17"/>
            </w:pPr>
            <w:r>
              <w:rPr>
                <w:rFonts w:ascii="Arial" w:eastAsia="Arial" w:hAnsi="Arial" w:cs="Arial"/>
                <w:b/>
                <w:sz w:val="14"/>
              </w:rPr>
              <w:t xml:space="preserve">±10 min </w:t>
            </w:r>
          </w:p>
        </w:tc>
        <w:tc>
          <w:tcPr>
            <w:tcW w:w="632" w:type="dxa"/>
            <w:tcBorders>
              <w:top w:val="single" w:sz="4" w:space="0" w:color="000000"/>
              <w:left w:val="single" w:sz="4" w:space="0" w:color="000000"/>
              <w:bottom w:val="single" w:sz="4" w:space="0" w:color="000000"/>
              <w:right w:val="single" w:sz="4" w:space="0" w:color="000000"/>
            </w:tcBorders>
            <w:vAlign w:val="center"/>
          </w:tcPr>
          <w:p w14:paraId="66736FC4" w14:textId="77777777" w:rsidR="000B3C5C" w:rsidRDefault="00ED192D">
            <w:pPr>
              <w:spacing w:after="0" w:line="259" w:lineRule="auto"/>
              <w:ind w:left="94" w:firstLine="0"/>
            </w:pPr>
            <w:r>
              <w:rPr>
                <w:rFonts w:ascii="Arial" w:eastAsia="Arial" w:hAnsi="Arial" w:cs="Arial"/>
                <w:b/>
                <w:sz w:val="14"/>
              </w:rPr>
              <w:t xml:space="preserve">±30 min </w:t>
            </w:r>
          </w:p>
        </w:tc>
        <w:tc>
          <w:tcPr>
            <w:tcW w:w="548" w:type="dxa"/>
            <w:tcBorders>
              <w:top w:val="single" w:sz="4" w:space="0" w:color="000000"/>
              <w:left w:val="single" w:sz="4" w:space="0" w:color="000000"/>
              <w:bottom w:val="single" w:sz="4" w:space="0" w:color="000000"/>
              <w:right w:val="single" w:sz="4" w:space="0" w:color="000000"/>
            </w:tcBorders>
            <w:vAlign w:val="center"/>
          </w:tcPr>
          <w:p w14:paraId="7593B074" w14:textId="77777777" w:rsidR="000B3C5C" w:rsidRDefault="00ED192D">
            <w:pPr>
              <w:spacing w:after="0" w:line="259" w:lineRule="auto"/>
              <w:ind w:left="32" w:firstLine="0"/>
              <w:jc w:val="center"/>
            </w:pPr>
            <w:r>
              <w:rPr>
                <w:rFonts w:ascii="Arial" w:eastAsia="Arial" w:hAnsi="Arial" w:cs="Arial"/>
                <w:b/>
                <w:sz w:val="14"/>
              </w:rPr>
              <w:t xml:space="preserve">±5 h </w:t>
            </w:r>
          </w:p>
        </w:tc>
        <w:tc>
          <w:tcPr>
            <w:tcW w:w="1139" w:type="dxa"/>
            <w:tcBorders>
              <w:top w:val="single" w:sz="4" w:space="0" w:color="000000"/>
              <w:left w:val="single" w:sz="4" w:space="0" w:color="000000"/>
              <w:bottom w:val="single" w:sz="4" w:space="0" w:color="000000"/>
              <w:right w:val="single" w:sz="4" w:space="0" w:color="000000"/>
            </w:tcBorders>
            <w:vAlign w:val="center"/>
          </w:tcPr>
          <w:p w14:paraId="3DE554D1" w14:textId="77777777" w:rsidR="000B3C5C" w:rsidRDefault="00ED192D">
            <w:pPr>
              <w:spacing w:after="0" w:line="259" w:lineRule="auto"/>
              <w:ind w:left="34" w:firstLine="0"/>
              <w:jc w:val="center"/>
            </w:pPr>
            <w:r>
              <w:rPr>
                <w:rFonts w:ascii="Arial" w:eastAsia="Arial" w:hAnsi="Arial" w:cs="Arial"/>
                <w:b/>
                <w:sz w:val="14"/>
              </w:rPr>
              <w:t xml:space="preserve">[-24h, SOI] </w:t>
            </w:r>
          </w:p>
        </w:tc>
        <w:tc>
          <w:tcPr>
            <w:tcW w:w="554" w:type="dxa"/>
            <w:tcBorders>
              <w:top w:val="single" w:sz="4" w:space="0" w:color="000000"/>
              <w:left w:val="single" w:sz="4" w:space="0" w:color="000000"/>
              <w:bottom w:val="single" w:sz="4" w:space="0" w:color="000000"/>
              <w:right w:val="single" w:sz="4" w:space="0" w:color="000000"/>
            </w:tcBorders>
          </w:tcPr>
          <w:p w14:paraId="21F3A760" w14:textId="77777777" w:rsidR="000B3C5C" w:rsidRDefault="00ED192D">
            <w:pPr>
              <w:spacing w:after="0" w:line="259" w:lineRule="auto"/>
              <w:ind w:left="7" w:firstLine="0"/>
              <w:jc w:val="center"/>
            </w:pPr>
            <w:r>
              <w:rPr>
                <w:rFonts w:ascii="Arial" w:eastAsia="Arial" w:hAnsi="Arial" w:cs="Arial"/>
                <w:b/>
                <w:sz w:val="14"/>
              </w:rPr>
              <w:t xml:space="preserve">[-24h, SOI] </w:t>
            </w:r>
          </w:p>
        </w:tc>
        <w:tc>
          <w:tcPr>
            <w:tcW w:w="476" w:type="dxa"/>
            <w:tcBorders>
              <w:top w:val="single" w:sz="4" w:space="0" w:color="000000"/>
              <w:left w:val="single" w:sz="4" w:space="0" w:color="000000"/>
              <w:bottom w:val="single" w:sz="4" w:space="0" w:color="000000"/>
              <w:right w:val="single" w:sz="4" w:space="0" w:color="000000"/>
            </w:tcBorders>
          </w:tcPr>
          <w:p w14:paraId="1B68D25D" w14:textId="77777777" w:rsidR="000B3C5C" w:rsidRDefault="00ED192D">
            <w:pPr>
              <w:spacing w:after="0" w:line="259" w:lineRule="auto"/>
              <w:ind w:left="31" w:firstLine="0"/>
              <w:jc w:val="center"/>
            </w:pPr>
            <w:r>
              <w:rPr>
                <w:rFonts w:ascii="Arial" w:eastAsia="Arial" w:hAnsi="Arial" w:cs="Arial"/>
                <w:b/>
                <w:sz w:val="14"/>
              </w:rPr>
              <w:t xml:space="preserve">±10 m in </w:t>
            </w:r>
          </w:p>
        </w:tc>
        <w:tc>
          <w:tcPr>
            <w:tcW w:w="569"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1F5AEE03" w14:textId="77777777" w:rsidR="000B3C5C" w:rsidRDefault="00ED192D">
            <w:pPr>
              <w:spacing w:after="0" w:line="259" w:lineRule="auto"/>
              <w:ind w:left="67" w:firstLine="0"/>
              <w:jc w:val="center"/>
            </w:pPr>
            <w:r>
              <w:rPr>
                <w:rFonts w:ascii="Arial" w:eastAsia="Arial" w:hAnsi="Arial" w:cs="Arial"/>
                <w:b/>
                <w:sz w:val="14"/>
              </w:rPr>
              <w:t xml:space="preserve">- </w:t>
            </w:r>
          </w:p>
        </w:tc>
        <w:tc>
          <w:tcPr>
            <w:tcW w:w="43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E69B3B7" w14:textId="77777777" w:rsidR="000B3C5C" w:rsidRDefault="00ED192D">
            <w:pPr>
              <w:spacing w:after="0" w:line="259" w:lineRule="auto"/>
              <w:ind w:left="53" w:firstLine="0"/>
              <w:jc w:val="center"/>
            </w:pPr>
            <w:r>
              <w:rPr>
                <w:rFonts w:ascii="Arial" w:eastAsia="Arial" w:hAnsi="Arial" w:cs="Arial"/>
                <w:b/>
                <w:sz w:val="14"/>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14:paraId="38207063" w14:textId="77777777" w:rsidR="000B3C5C" w:rsidRDefault="00ED192D">
            <w:pPr>
              <w:spacing w:after="0" w:line="259" w:lineRule="auto"/>
              <w:ind w:left="115" w:firstLine="0"/>
            </w:pPr>
            <w:r>
              <w:rPr>
                <w:rFonts w:ascii="Arial" w:eastAsia="Arial" w:hAnsi="Arial" w:cs="Arial"/>
                <w:b/>
                <w:sz w:val="14"/>
              </w:rPr>
              <w:t xml:space="preserve">±10 min </w:t>
            </w:r>
          </w:p>
        </w:tc>
        <w:tc>
          <w:tcPr>
            <w:tcW w:w="53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F845803" w14:textId="77777777" w:rsidR="000B3C5C" w:rsidRDefault="00ED192D">
            <w:pPr>
              <w:spacing w:after="0" w:line="259" w:lineRule="auto"/>
              <w:ind w:left="42" w:firstLine="0"/>
              <w:jc w:val="center"/>
            </w:pPr>
            <w:r>
              <w:rPr>
                <w:rFonts w:ascii="Arial" w:eastAsia="Arial" w:hAnsi="Arial" w:cs="Arial"/>
                <w:b/>
                <w:sz w:val="14"/>
              </w:rPr>
              <w:t xml:space="preserve">- </w:t>
            </w:r>
          </w:p>
        </w:tc>
        <w:tc>
          <w:tcPr>
            <w:tcW w:w="44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33140F6" w14:textId="77777777" w:rsidR="000B3C5C" w:rsidRDefault="00ED192D">
            <w:pPr>
              <w:spacing w:after="0" w:line="259" w:lineRule="auto"/>
              <w:ind w:left="39" w:firstLine="0"/>
              <w:jc w:val="center"/>
            </w:pPr>
            <w:r>
              <w:rPr>
                <w:rFonts w:ascii="Arial" w:eastAsia="Arial" w:hAnsi="Arial" w:cs="Arial"/>
                <w:b/>
                <w:sz w:val="14"/>
              </w:rPr>
              <w:t xml:space="preserve">- </w:t>
            </w:r>
          </w:p>
        </w:tc>
        <w:tc>
          <w:tcPr>
            <w:tcW w:w="617"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3395D6FD" w14:textId="77777777" w:rsidR="000B3C5C" w:rsidRDefault="00ED192D">
            <w:pPr>
              <w:spacing w:after="0" w:line="259" w:lineRule="auto"/>
              <w:ind w:left="33" w:firstLine="0"/>
              <w:jc w:val="center"/>
            </w:pPr>
            <w:r>
              <w:rPr>
                <w:rFonts w:ascii="Arial" w:eastAsia="Arial" w:hAnsi="Arial" w:cs="Arial"/>
                <w:b/>
                <w:sz w:val="14"/>
              </w:rPr>
              <w:t xml:space="preserve">- </w:t>
            </w:r>
          </w:p>
        </w:tc>
        <w:tc>
          <w:tcPr>
            <w:tcW w:w="61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665758A" w14:textId="77777777" w:rsidR="000B3C5C" w:rsidRDefault="00ED192D">
            <w:pPr>
              <w:spacing w:after="0" w:line="259" w:lineRule="auto"/>
              <w:ind w:left="31" w:firstLine="0"/>
              <w:jc w:val="center"/>
            </w:pPr>
            <w:r>
              <w:rPr>
                <w:rFonts w:ascii="Arial" w:eastAsia="Arial" w:hAnsi="Arial" w:cs="Arial"/>
                <w:b/>
                <w:sz w:val="14"/>
              </w:rPr>
              <w:t xml:space="preserve">- </w:t>
            </w:r>
          </w:p>
        </w:tc>
        <w:tc>
          <w:tcPr>
            <w:tcW w:w="482" w:type="dxa"/>
            <w:tcBorders>
              <w:top w:val="single" w:sz="4" w:space="0" w:color="000000"/>
              <w:left w:val="single" w:sz="4" w:space="0" w:color="000000"/>
              <w:bottom w:val="single" w:sz="4" w:space="0" w:color="000000"/>
              <w:right w:val="single" w:sz="4" w:space="0" w:color="000000"/>
            </w:tcBorders>
          </w:tcPr>
          <w:p w14:paraId="4D5AE980" w14:textId="77777777" w:rsidR="000B3C5C" w:rsidRDefault="00ED192D">
            <w:pPr>
              <w:spacing w:after="0" w:line="259" w:lineRule="auto"/>
              <w:ind w:left="133" w:hanging="17"/>
            </w:pPr>
            <w:r>
              <w:rPr>
                <w:rFonts w:ascii="Arial" w:eastAsia="Arial" w:hAnsi="Arial" w:cs="Arial"/>
                <w:b/>
                <w:sz w:val="14"/>
              </w:rPr>
              <w:t xml:space="preserve">±10 min </w:t>
            </w:r>
          </w:p>
        </w:tc>
        <w:tc>
          <w:tcPr>
            <w:tcW w:w="656" w:type="dxa"/>
            <w:tcBorders>
              <w:top w:val="single" w:sz="4" w:space="0" w:color="000000"/>
              <w:left w:val="single" w:sz="4" w:space="0" w:color="000000"/>
              <w:bottom w:val="single" w:sz="4" w:space="0" w:color="000000"/>
              <w:right w:val="single" w:sz="4" w:space="0" w:color="000000"/>
            </w:tcBorders>
            <w:vAlign w:val="center"/>
          </w:tcPr>
          <w:p w14:paraId="33BCC072" w14:textId="77777777" w:rsidR="000B3C5C" w:rsidRDefault="00ED192D">
            <w:pPr>
              <w:spacing w:after="0" w:line="259" w:lineRule="auto"/>
              <w:ind w:left="100" w:firstLine="0"/>
            </w:pPr>
            <w:r>
              <w:rPr>
                <w:rFonts w:ascii="Arial" w:eastAsia="Arial" w:hAnsi="Arial" w:cs="Arial"/>
                <w:b/>
                <w:sz w:val="14"/>
              </w:rPr>
              <w:t xml:space="preserve">±10 min </w:t>
            </w:r>
          </w:p>
        </w:tc>
        <w:tc>
          <w:tcPr>
            <w:tcW w:w="69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B2FB34C" w14:textId="77777777" w:rsidR="000B3C5C" w:rsidRDefault="00ED192D">
            <w:pPr>
              <w:spacing w:after="0" w:line="259" w:lineRule="auto"/>
              <w:ind w:left="27" w:firstLine="0"/>
              <w:jc w:val="center"/>
            </w:pPr>
            <w:r>
              <w:rPr>
                <w:rFonts w:ascii="Arial" w:eastAsia="Arial" w:hAnsi="Arial" w:cs="Arial"/>
                <w:b/>
                <w:sz w:val="14"/>
              </w:rPr>
              <w:t xml:space="preserve">- </w:t>
            </w:r>
          </w:p>
        </w:tc>
        <w:tc>
          <w:tcPr>
            <w:tcW w:w="62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FFE5B4E" w14:textId="77777777" w:rsidR="000B3C5C" w:rsidRDefault="00ED192D">
            <w:pPr>
              <w:spacing w:after="0" w:line="259" w:lineRule="auto"/>
              <w:ind w:left="29" w:firstLine="0"/>
              <w:jc w:val="center"/>
            </w:pPr>
            <w:r>
              <w:rPr>
                <w:rFonts w:ascii="Arial" w:eastAsia="Arial" w:hAnsi="Arial" w:cs="Arial"/>
                <w:b/>
                <w:sz w:val="14"/>
              </w:rPr>
              <w:t xml:space="preserve">- </w:t>
            </w:r>
          </w:p>
        </w:tc>
        <w:tc>
          <w:tcPr>
            <w:tcW w:w="564"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7C017A00" w14:textId="77777777" w:rsidR="000B3C5C" w:rsidRDefault="00ED192D">
            <w:pPr>
              <w:spacing w:after="0" w:line="259" w:lineRule="auto"/>
              <w:ind w:left="30" w:firstLine="0"/>
              <w:jc w:val="center"/>
            </w:pPr>
            <w:r>
              <w:rPr>
                <w:rFonts w:ascii="Arial" w:eastAsia="Arial" w:hAnsi="Arial" w:cs="Arial"/>
                <w:b/>
                <w:sz w:val="14"/>
              </w:rPr>
              <w:t xml:space="preserve">- </w:t>
            </w:r>
          </w:p>
        </w:tc>
        <w:tc>
          <w:tcPr>
            <w:tcW w:w="6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FB25AD1" w14:textId="77777777" w:rsidR="000B3C5C" w:rsidRDefault="00ED192D">
            <w:pPr>
              <w:spacing w:after="0" w:line="259" w:lineRule="auto"/>
              <w:ind w:left="11" w:firstLine="0"/>
              <w:jc w:val="center"/>
            </w:pPr>
            <w:r>
              <w:rPr>
                <w:rFonts w:ascii="Arial" w:eastAsia="Arial" w:hAnsi="Arial" w:cs="Arial"/>
                <w:b/>
                <w:sz w:val="14"/>
              </w:rPr>
              <w:t xml:space="preserve">- </w:t>
            </w:r>
          </w:p>
        </w:tc>
      </w:tr>
      <w:tr w:rsidR="000B3C5C" w14:paraId="1271D570" w14:textId="77777777">
        <w:trPr>
          <w:trHeight w:val="293"/>
        </w:trPr>
        <w:tc>
          <w:tcPr>
            <w:tcW w:w="2232" w:type="dxa"/>
            <w:gridSpan w:val="3"/>
            <w:tcBorders>
              <w:top w:val="single" w:sz="4" w:space="0" w:color="000000"/>
              <w:left w:val="single" w:sz="4" w:space="0" w:color="000000"/>
              <w:bottom w:val="single" w:sz="4" w:space="0" w:color="000000"/>
              <w:right w:val="nil"/>
            </w:tcBorders>
          </w:tcPr>
          <w:p w14:paraId="01F50D22" w14:textId="77777777" w:rsidR="000B3C5C" w:rsidRDefault="00ED192D">
            <w:pPr>
              <w:spacing w:after="0" w:line="259" w:lineRule="auto"/>
              <w:ind w:left="72" w:firstLine="0"/>
            </w:pPr>
            <w:r>
              <w:rPr>
                <w:rFonts w:ascii="Arial" w:eastAsia="Arial" w:hAnsi="Arial" w:cs="Arial"/>
                <w:b/>
                <w:sz w:val="14"/>
              </w:rPr>
              <w:t xml:space="preserve">IMP administration (IV infusion) </w:t>
            </w:r>
          </w:p>
        </w:tc>
        <w:tc>
          <w:tcPr>
            <w:tcW w:w="1022" w:type="dxa"/>
            <w:gridSpan w:val="3"/>
            <w:tcBorders>
              <w:top w:val="single" w:sz="4" w:space="0" w:color="000000"/>
              <w:left w:val="nil"/>
              <w:bottom w:val="single" w:sz="4" w:space="0" w:color="000000"/>
              <w:right w:val="nil"/>
            </w:tcBorders>
          </w:tcPr>
          <w:p w14:paraId="31057DEF"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tcPr>
          <w:p w14:paraId="3ABD1697" w14:textId="77777777" w:rsidR="000B3C5C" w:rsidRDefault="000B3C5C">
            <w:pPr>
              <w:spacing w:after="160" w:line="259" w:lineRule="auto"/>
              <w:ind w:left="0" w:firstLine="0"/>
            </w:pPr>
          </w:p>
        </w:tc>
        <w:tc>
          <w:tcPr>
            <w:tcW w:w="1139" w:type="dxa"/>
            <w:tcBorders>
              <w:top w:val="single" w:sz="4" w:space="0" w:color="000000"/>
              <w:left w:val="nil"/>
              <w:bottom w:val="single" w:sz="4" w:space="0" w:color="000000"/>
              <w:right w:val="nil"/>
            </w:tcBorders>
          </w:tcPr>
          <w:p w14:paraId="03186465" w14:textId="77777777" w:rsidR="000B3C5C" w:rsidRDefault="000B3C5C">
            <w:pPr>
              <w:spacing w:after="160" w:line="259" w:lineRule="auto"/>
              <w:ind w:left="0" w:firstLine="0"/>
            </w:pPr>
          </w:p>
        </w:tc>
        <w:tc>
          <w:tcPr>
            <w:tcW w:w="1031" w:type="dxa"/>
            <w:gridSpan w:val="2"/>
            <w:tcBorders>
              <w:top w:val="single" w:sz="4" w:space="0" w:color="000000"/>
              <w:left w:val="nil"/>
              <w:bottom w:val="single" w:sz="4" w:space="0" w:color="000000"/>
              <w:right w:val="nil"/>
            </w:tcBorders>
          </w:tcPr>
          <w:p w14:paraId="59D01962" w14:textId="77777777" w:rsidR="000B3C5C" w:rsidRDefault="000B3C5C">
            <w:pPr>
              <w:spacing w:after="160" w:line="259" w:lineRule="auto"/>
              <w:ind w:left="0" w:firstLine="0"/>
            </w:pPr>
          </w:p>
        </w:tc>
        <w:tc>
          <w:tcPr>
            <w:tcW w:w="1670" w:type="dxa"/>
            <w:gridSpan w:val="4"/>
            <w:tcBorders>
              <w:top w:val="single" w:sz="4" w:space="0" w:color="000000"/>
              <w:left w:val="nil"/>
              <w:bottom w:val="single" w:sz="4" w:space="0" w:color="000000"/>
              <w:right w:val="nil"/>
            </w:tcBorders>
          </w:tcPr>
          <w:p w14:paraId="1F6AA244" w14:textId="77777777" w:rsidR="000B3C5C" w:rsidRDefault="000B3C5C">
            <w:pPr>
              <w:spacing w:after="160" w:line="259" w:lineRule="auto"/>
              <w:ind w:left="0" w:firstLine="0"/>
            </w:pPr>
          </w:p>
        </w:tc>
        <w:tc>
          <w:tcPr>
            <w:tcW w:w="978" w:type="dxa"/>
            <w:gridSpan w:val="2"/>
            <w:tcBorders>
              <w:top w:val="single" w:sz="4" w:space="0" w:color="000000"/>
              <w:left w:val="nil"/>
              <w:bottom w:val="single" w:sz="4" w:space="0" w:color="000000"/>
              <w:right w:val="nil"/>
            </w:tcBorders>
          </w:tcPr>
          <w:p w14:paraId="58DFD721" w14:textId="77777777" w:rsidR="000B3C5C" w:rsidRDefault="000B3C5C">
            <w:pPr>
              <w:spacing w:after="160" w:line="259" w:lineRule="auto"/>
              <w:ind w:left="0" w:firstLine="0"/>
            </w:pPr>
          </w:p>
        </w:tc>
        <w:tc>
          <w:tcPr>
            <w:tcW w:w="617" w:type="dxa"/>
            <w:gridSpan w:val="2"/>
            <w:tcBorders>
              <w:top w:val="single" w:sz="4" w:space="0" w:color="000000"/>
              <w:left w:val="nil"/>
              <w:bottom w:val="single" w:sz="4" w:space="0" w:color="000000"/>
              <w:right w:val="nil"/>
            </w:tcBorders>
          </w:tcPr>
          <w:p w14:paraId="1E4CF152" w14:textId="77777777" w:rsidR="000B3C5C" w:rsidRDefault="000B3C5C">
            <w:pPr>
              <w:spacing w:after="160" w:line="259" w:lineRule="auto"/>
              <w:ind w:left="0" w:firstLine="0"/>
            </w:pPr>
          </w:p>
        </w:tc>
        <w:tc>
          <w:tcPr>
            <w:tcW w:w="1097" w:type="dxa"/>
            <w:gridSpan w:val="2"/>
            <w:tcBorders>
              <w:top w:val="single" w:sz="4" w:space="0" w:color="000000"/>
              <w:left w:val="nil"/>
              <w:bottom w:val="single" w:sz="4" w:space="0" w:color="000000"/>
              <w:right w:val="nil"/>
            </w:tcBorders>
          </w:tcPr>
          <w:p w14:paraId="08D29296" w14:textId="77777777" w:rsidR="000B3C5C" w:rsidRDefault="000B3C5C">
            <w:pPr>
              <w:spacing w:after="160" w:line="259" w:lineRule="auto"/>
              <w:ind w:left="0" w:firstLine="0"/>
            </w:pPr>
          </w:p>
        </w:tc>
        <w:tc>
          <w:tcPr>
            <w:tcW w:w="656" w:type="dxa"/>
            <w:tcBorders>
              <w:top w:val="single" w:sz="4" w:space="0" w:color="000000"/>
              <w:left w:val="nil"/>
              <w:bottom w:val="single" w:sz="4" w:space="0" w:color="000000"/>
              <w:right w:val="nil"/>
            </w:tcBorders>
          </w:tcPr>
          <w:p w14:paraId="114E3606" w14:textId="77777777" w:rsidR="000B3C5C" w:rsidRDefault="000B3C5C">
            <w:pPr>
              <w:spacing w:after="160" w:line="259" w:lineRule="auto"/>
              <w:ind w:left="0" w:firstLine="0"/>
            </w:pPr>
          </w:p>
        </w:tc>
        <w:tc>
          <w:tcPr>
            <w:tcW w:w="2537" w:type="dxa"/>
            <w:gridSpan w:val="5"/>
            <w:tcBorders>
              <w:top w:val="single" w:sz="4" w:space="0" w:color="000000"/>
              <w:left w:val="nil"/>
              <w:bottom w:val="single" w:sz="4" w:space="0" w:color="000000"/>
              <w:right w:val="single" w:sz="4" w:space="0" w:color="000000"/>
            </w:tcBorders>
          </w:tcPr>
          <w:p w14:paraId="007B3A22" w14:textId="77777777" w:rsidR="000B3C5C" w:rsidRDefault="000B3C5C">
            <w:pPr>
              <w:spacing w:after="160" w:line="259" w:lineRule="auto"/>
              <w:ind w:left="0" w:firstLine="0"/>
            </w:pPr>
          </w:p>
        </w:tc>
      </w:tr>
      <w:tr w:rsidR="000B3C5C" w14:paraId="4DC34FF7" w14:textId="77777777">
        <w:trPr>
          <w:trHeight w:val="289"/>
        </w:trPr>
        <w:tc>
          <w:tcPr>
            <w:tcW w:w="1328" w:type="dxa"/>
            <w:tcBorders>
              <w:top w:val="single" w:sz="4" w:space="0" w:color="000000"/>
              <w:left w:val="single" w:sz="4" w:space="0" w:color="000000"/>
              <w:bottom w:val="single" w:sz="4" w:space="0" w:color="000000"/>
              <w:right w:val="single" w:sz="4" w:space="0" w:color="000000"/>
            </w:tcBorders>
          </w:tcPr>
          <w:p w14:paraId="3415EE2D" w14:textId="77777777" w:rsidR="000B3C5C" w:rsidRDefault="00ED192D">
            <w:pPr>
              <w:spacing w:after="0" w:line="259" w:lineRule="auto"/>
              <w:ind w:left="72" w:firstLine="0"/>
            </w:pPr>
            <w:r>
              <w:rPr>
                <w:rFonts w:ascii="Arial" w:eastAsia="Arial" w:hAnsi="Arial" w:cs="Arial"/>
                <w:sz w:val="14"/>
              </w:rPr>
              <w:t xml:space="preserve">Atezolizumab </w:t>
            </w:r>
          </w:p>
        </w:tc>
        <w:tc>
          <w:tcPr>
            <w:tcW w:w="904" w:type="dxa"/>
            <w:gridSpan w:val="2"/>
            <w:tcBorders>
              <w:top w:val="single" w:sz="4" w:space="0" w:color="000000"/>
              <w:left w:val="single" w:sz="4" w:space="0" w:color="000000"/>
              <w:bottom w:val="single" w:sz="4" w:space="0" w:color="000000"/>
              <w:right w:val="single" w:sz="4" w:space="0" w:color="000000"/>
            </w:tcBorders>
          </w:tcPr>
          <w:p w14:paraId="485EF413" w14:textId="77777777" w:rsidR="000B3C5C" w:rsidRDefault="00ED192D">
            <w:pPr>
              <w:spacing w:after="0" w:line="259" w:lineRule="auto"/>
              <w:ind w:left="29" w:firstLine="0"/>
              <w:jc w:val="center"/>
            </w:pPr>
            <w:r>
              <w:rPr>
                <w:rFonts w:ascii="Arial" w:eastAsia="Arial" w:hAnsi="Arial" w:cs="Arial"/>
                <w:sz w:val="14"/>
              </w:rPr>
              <w:t xml:space="preserve">X------------X </w:t>
            </w:r>
          </w:p>
        </w:tc>
        <w:tc>
          <w:tcPr>
            <w:tcW w:w="1022" w:type="dxa"/>
            <w:gridSpan w:val="3"/>
            <w:tcBorders>
              <w:top w:val="single" w:sz="4" w:space="0" w:color="000000"/>
              <w:left w:val="single" w:sz="4" w:space="0" w:color="000000"/>
              <w:bottom w:val="single" w:sz="4" w:space="0" w:color="000000"/>
              <w:right w:val="nil"/>
            </w:tcBorders>
            <w:shd w:val="clear" w:color="auto" w:fill="BFBFBF"/>
          </w:tcPr>
          <w:p w14:paraId="7DC6562D"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shd w:val="clear" w:color="auto" w:fill="BFBFBF"/>
          </w:tcPr>
          <w:p w14:paraId="3CE4F9B4" w14:textId="77777777" w:rsidR="000B3C5C" w:rsidRDefault="000B3C5C">
            <w:pPr>
              <w:spacing w:after="160" w:line="259" w:lineRule="auto"/>
              <w:ind w:left="0" w:firstLine="0"/>
            </w:pPr>
          </w:p>
        </w:tc>
        <w:tc>
          <w:tcPr>
            <w:tcW w:w="1139" w:type="dxa"/>
            <w:tcBorders>
              <w:top w:val="single" w:sz="4" w:space="0" w:color="000000"/>
              <w:left w:val="nil"/>
              <w:bottom w:val="single" w:sz="4" w:space="0" w:color="000000"/>
              <w:right w:val="nil"/>
            </w:tcBorders>
            <w:shd w:val="clear" w:color="auto" w:fill="BFBFBF"/>
          </w:tcPr>
          <w:p w14:paraId="374C43E2" w14:textId="77777777" w:rsidR="000B3C5C" w:rsidRDefault="000B3C5C">
            <w:pPr>
              <w:spacing w:after="160" w:line="259" w:lineRule="auto"/>
              <w:ind w:left="0" w:firstLine="0"/>
            </w:pPr>
          </w:p>
        </w:tc>
        <w:tc>
          <w:tcPr>
            <w:tcW w:w="1031" w:type="dxa"/>
            <w:gridSpan w:val="2"/>
            <w:tcBorders>
              <w:top w:val="single" w:sz="4" w:space="0" w:color="000000"/>
              <w:left w:val="nil"/>
              <w:bottom w:val="single" w:sz="4" w:space="0" w:color="000000"/>
              <w:right w:val="single" w:sz="4" w:space="0" w:color="000000"/>
            </w:tcBorders>
            <w:shd w:val="clear" w:color="auto" w:fill="BFBFBF"/>
          </w:tcPr>
          <w:p w14:paraId="03D5189C" w14:textId="77777777" w:rsidR="000B3C5C" w:rsidRDefault="000B3C5C">
            <w:pPr>
              <w:spacing w:after="160" w:line="259" w:lineRule="auto"/>
              <w:ind w:left="0" w:firstLine="0"/>
            </w:pPr>
          </w:p>
        </w:tc>
        <w:tc>
          <w:tcPr>
            <w:tcW w:w="569" w:type="dxa"/>
            <w:gridSpan w:val="2"/>
            <w:tcBorders>
              <w:top w:val="single" w:sz="4" w:space="0" w:color="000000"/>
              <w:left w:val="single" w:sz="4" w:space="0" w:color="000000"/>
              <w:bottom w:val="single" w:sz="4" w:space="0" w:color="000000"/>
              <w:right w:val="single" w:sz="4" w:space="0" w:color="000000"/>
            </w:tcBorders>
          </w:tcPr>
          <w:p w14:paraId="211DD48B" w14:textId="77777777" w:rsidR="000B3C5C" w:rsidRDefault="00ED192D">
            <w:pPr>
              <w:spacing w:after="0" w:line="259" w:lineRule="auto"/>
              <w:ind w:left="14" w:firstLine="0"/>
              <w:jc w:val="center"/>
            </w:pPr>
            <w:r>
              <w:rPr>
                <w:rFonts w:ascii="Arial" w:eastAsia="Arial" w:hAnsi="Arial" w:cs="Arial"/>
                <w:sz w:val="14"/>
              </w:rPr>
              <w:t xml:space="preserve">X </w:t>
            </w:r>
          </w:p>
        </w:tc>
        <w:tc>
          <w:tcPr>
            <w:tcW w:w="110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06F90FF" w14:textId="77777777" w:rsidR="000B3C5C" w:rsidRDefault="000B3C5C">
            <w:pPr>
              <w:spacing w:after="160" w:line="259" w:lineRule="auto"/>
              <w:ind w:left="0" w:firstLine="0"/>
            </w:pPr>
          </w:p>
        </w:tc>
        <w:tc>
          <w:tcPr>
            <w:tcW w:w="538" w:type="dxa"/>
            <w:tcBorders>
              <w:top w:val="single" w:sz="4" w:space="0" w:color="000000"/>
              <w:left w:val="single" w:sz="4" w:space="0" w:color="000000"/>
              <w:bottom w:val="single" w:sz="4" w:space="0" w:color="000000"/>
              <w:right w:val="single" w:sz="4" w:space="0" w:color="000000"/>
            </w:tcBorders>
          </w:tcPr>
          <w:p w14:paraId="231A3877" w14:textId="77777777" w:rsidR="000B3C5C" w:rsidRDefault="00ED192D">
            <w:pPr>
              <w:spacing w:after="0" w:line="259" w:lineRule="auto"/>
              <w:ind w:left="42" w:firstLine="0"/>
              <w:jc w:val="center"/>
            </w:pPr>
            <w:r>
              <w:rPr>
                <w:rFonts w:ascii="Arial" w:eastAsia="Arial" w:hAnsi="Arial" w:cs="Arial"/>
                <w:sz w:val="14"/>
              </w:rPr>
              <w:t xml:space="preserve">X </w:t>
            </w:r>
          </w:p>
        </w:tc>
        <w:tc>
          <w:tcPr>
            <w:tcW w:w="440" w:type="dxa"/>
            <w:tcBorders>
              <w:top w:val="single" w:sz="4" w:space="0" w:color="000000"/>
              <w:left w:val="single" w:sz="4" w:space="0" w:color="000000"/>
              <w:bottom w:val="single" w:sz="4" w:space="0" w:color="000000"/>
              <w:right w:val="nil"/>
            </w:tcBorders>
            <w:shd w:val="clear" w:color="auto" w:fill="BFBFBF"/>
          </w:tcPr>
          <w:p w14:paraId="3FF4FF0D" w14:textId="77777777" w:rsidR="000B3C5C" w:rsidRDefault="000B3C5C">
            <w:pPr>
              <w:spacing w:after="160" w:line="259" w:lineRule="auto"/>
              <w:ind w:left="0" w:firstLine="0"/>
            </w:pPr>
          </w:p>
        </w:tc>
        <w:tc>
          <w:tcPr>
            <w:tcW w:w="108" w:type="dxa"/>
            <w:tcBorders>
              <w:top w:val="single" w:sz="4" w:space="0" w:color="000000"/>
              <w:left w:val="nil"/>
              <w:bottom w:val="single" w:sz="4" w:space="0" w:color="000000"/>
              <w:right w:val="single" w:sz="4" w:space="0" w:color="000000"/>
            </w:tcBorders>
            <w:shd w:val="clear" w:color="auto" w:fill="BFBFBF"/>
          </w:tcPr>
          <w:p w14:paraId="34E97D0D" w14:textId="77777777" w:rsidR="000B3C5C" w:rsidRDefault="000B3C5C">
            <w:pPr>
              <w:spacing w:after="160" w:line="259" w:lineRule="auto"/>
              <w:ind w:left="0" w:firstLine="0"/>
            </w:pPr>
          </w:p>
        </w:tc>
        <w:tc>
          <w:tcPr>
            <w:tcW w:w="509" w:type="dxa"/>
            <w:tcBorders>
              <w:top w:val="single" w:sz="4" w:space="0" w:color="000000"/>
              <w:left w:val="single" w:sz="4" w:space="0" w:color="000000"/>
              <w:bottom w:val="single" w:sz="4" w:space="0" w:color="000000"/>
              <w:right w:val="single" w:sz="4" w:space="0" w:color="000000"/>
            </w:tcBorders>
          </w:tcPr>
          <w:p w14:paraId="7C6F21B4" w14:textId="77777777" w:rsidR="000B3C5C" w:rsidRDefault="00ED192D">
            <w:pPr>
              <w:spacing w:after="0" w:line="259" w:lineRule="auto"/>
              <w:ind w:left="16" w:firstLine="0"/>
              <w:jc w:val="center"/>
            </w:pPr>
            <w:r>
              <w:rPr>
                <w:rFonts w:ascii="Arial" w:eastAsia="Arial" w:hAnsi="Arial" w:cs="Arial"/>
                <w:sz w:val="14"/>
              </w:rPr>
              <w:t>X</w:t>
            </w:r>
            <w:r>
              <w:rPr>
                <w:rFonts w:ascii="Arial" w:eastAsia="Arial" w:hAnsi="Arial" w:cs="Arial"/>
                <w:sz w:val="14"/>
              </w:rPr>
              <w:t xml:space="preserve"> </w:t>
            </w:r>
          </w:p>
        </w:tc>
        <w:tc>
          <w:tcPr>
            <w:tcW w:w="1097" w:type="dxa"/>
            <w:gridSpan w:val="2"/>
            <w:tcBorders>
              <w:top w:val="single" w:sz="4" w:space="0" w:color="000000"/>
              <w:left w:val="single" w:sz="4" w:space="0" w:color="000000"/>
              <w:bottom w:val="single" w:sz="4" w:space="0" w:color="000000"/>
              <w:right w:val="nil"/>
            </w:tcBorders>
            <w:shd w:val="clear" w:color="auto" w:fill="BFBFBF"/>
          </w:tcPr>
          <w:p w14:paraId="4E6CE941" w14:textId="77777777" w:rsidR="000B3C5C" w:rsidRDefault="000B3C5C">
            <w:pPr>
              <w:spacing w:after="160" w:line="259" w:lineRule="auto"/>
              <w:ind w:left="0" w:firstLine="0"/>
            </w:pPr>
          </w:p>
        </w:tc>
        <w:tc>
          <w:tcPr>
            <w:tcW w:w="656" w:type="dxa"/>
            <w:tcBorders>
              <w:top w:val="single" w:sz="4" w:space="0" w:color="000000"/>
              <w:left w:val="nil"/>
              <w:bottom w:val="single" w:sz="4" w:space="0" w:color="000000"/>
              <w:right w:val="single" w:sz="7" w:space="0" w:color="000000"/>
            </w:tcBorders>
            <w:shd w:val="clear" w:color="auto" w:fill="BFBFBF"/>
          </w:tcPr>
          <w:p w14:paraId="433D4DFC" w14:textId="77777777" w:rsidR="000B3C5C" w:rsidRDefault="000B3C5C">
            <w:pPr>
              <w:spacing w:after="160" w:line="259" w:lineRule="auto"/>
              <w:ind w:left="0" w:firstLine="0"/>
            </w:pPr>
          </w:p>
        </w:tc>
        <w:tc>
          <w:tcPr>
            <w:tcW w:w="697" w:type="dxa"/>
            <w:tcBorders>
              <w:top w:val="single" w:sz="4" w:space="0" w:color="000000"/>
              <w:left w:val="single" w:sz="7" w:space="0" w:color="000000"/>
              <w:bottom w:val="single" w:sz="4" w:space="0" w:color="000000"/>
              <w:right w:val="single" w:sz="7" w:space="0" w:color="000000"/>
            </w:tcBorders>
          </w:tcPr>
          <w:p w14:paraId="21E5A18D" w14:textId="77777777" w:rsidR="000B3C5C" w:rsidRDefault="00ED192D">
            <w:pPr>
              <w:spacing w:after="0" w:line="259" w:lineRule="auto"/>
              <w:ind w:left="26" w:firstLine="0"/>
              <w:jc w:val="center"/>
            </w:pPr>
            <w:r>
              <w:rPr>
                <w:rFonts w:ascii="Arial" w:eastAsia="Arial" w:hAnsi="Arial" w:cs="Arial"/>
                <w:sz w:val="14"/>
              </w:rPr>
              <w:t xml:space="preserve">X </w:t>
            </w:r>
          </w:p>
        </w:tc>
        <w:tc>
          <w:tcPr>
            <w:tcW w:w="625" w:type="dxa"/>
            <w:tcBorders>
              <w:top w:val="single" w:sz="4" w:space="0" w:color="000000"/>
              <w:left w:val="single" w:sz="7" w:space="0" w:color="000000"/>
              <w:bottom w:val="single" w:sz="4" w:space="0" w:color="000000"/>
              <w:right w:val="single" w:sz="4" w:space="0" w:color="000000"/>
            </w:tcBorders>
            <w:shd w:val="clear" w:color="auto" w:fill="BFBFBF"/>
          </w:tcPr>
          <w:p w14:paraId="0173725F" w14:textId="77777777" w:rsidR="000B3C5C" w:rsidRDefault="000B3C5C">
            <w:pPr>
              <w:spacing w:after="160" w:line="259" w:lineRule="auto"/>
              <w:ind w:left="0" w:firstLine="0"/>
            </w:pPr>
          </w:p>
        </w:tc>
        <w:tc>
          <w:tcPr>
            <w:tcW w:w="492" w:type="dxa"/>
            <w:tcBorders>
              <w:top w:val="single" w:sz="4" w:space="0" w:color="000000"/>
              <w:left w:val="single" w:sz="4" w:space="0" w:color="000000"/>
              <w:bottom w:val="single" w:sz="4" w:space="0" w:color="000000"/>
              <w:right w:val="single" w:sz="4" w:space="0" w:color="000000"/>
            </w:tcBorders>
            <w:shd w:val="clear" w:color="auto" w:fill="BFBFBF"/>
          </w:tcPr>
          <w:p w14:paraId="44F75950" w14:textId="77777777" w:rsidR="000B3C5C" w:rsidRDefault="000B3C5C">
            <w:pPr>
              <w:spacing w:after="160" w:line="259" w:lineRule="auto"/>
              <w:ind w:left="0" w:firstLine="0"/>
            </w:pPr>
          </w:p>
        </w:tc>
        <w:tc>
          <w:tcPr>
            <w:tcW w:w="723" w:type="dxa"/>
            <w:gridSpan w:val="2"/>
            <w:tcBorders>
              <w:top w:val="single" w:sz="4" w:space="0" w:color="000000"/>
              <w:left w:val="single" w:sz="4" w:space="0" w:color="000000"/>
              <w:bottom w:val="single" w:sz="4" w:space="0" w:color="000000"/>
              <w:right w:val="single" w:sz="4" w:space="0" w:color="000000"/>
            </w:tcBorders>
            <w:shd w:val="clear" w:color="auto" w:fill="BFBFBF"/>
          </w:tcPr>
          <w:p w14:paraId="602A31BF" w14:textId="77777777" w:rsidR="000B3C5C" w:rsidRDefault="000B3C5C">
            <w:pPr>
              <w:spacing w:after="160" w:line="259" w:lineRule="auto"/>
              <w:ind w:left="0" w:firstLine="0"/>
            </w:pPr>
          </w:p>
        </w:tc>
      </w:tr>
      <w:tr w:rsidR="000B3C5C" w14:paraId="6589E0B3" w14:textId="77777777">
        <w:trPr>
          <w:trHeight w:val="289"/>
        </w:trPr>
        <w:tc>
          <w:tcPr>
            <w:tcW w:w="1328" w:type="dxa"/>
            <w:tcBorders>
              <w:top w:val="single" w:sz="4" w:space="0" w:color="000000"/>
              <w:left w:val="single" w:sz="4" w:space="0" w:color="000000"/>
              <w:bottom w:val="single" w:sz="4" w:space="0" w:color="000000"/>
              <w:right w:val="single" w:sz="4" w:space="0" w:color="000000"/>
            </w:tcBorders>
          </w:tcPr>
          <w:p w14:paraId="58DF9FEE" w14:textId="77777777" w:rsidR="000B3C5C" w:rsidRDefault="00ED192D">
            <w:pPr>
              <w:spacing w:after="0" w:line="259" w:lineRule="auto"/>
              <w:ind w:left="72" w:firstLine="0"/>
            </w:pPr>
            <w:r>
              <w:rPr>
                <w:rFonts w:ascii="Arial" w:eastAsia="Arial" w:hAnsi="Arial" w:cs="Arial"/>
                <w:sz w:val="14"/>
              </w:rPr>
              <w:t xml:space="preserve">Isatuximab </w:t>
            </w:r>
          </w:p>
        </w:tc>
        <w:tc>
          <w:tcPr>
            <w:tcW w:w="904" w:type="dxa"/>
            <w:gridSpan w:val="2"/>
            <w:tcBorders>
              <w:top w:val="single" w:sz="4" w:space="0" w:color="000000"/>
              <w:left w:val="single" w:sz="4" w:space="0" w:color="000000"/>
              <w:bottom w:val="single" w:sz="4" w:space="0" w:color="000000"/>
              <w:right w:val="single" w:sz="4" w:space="0" w:color="000000"/>
            </w:tcBorders>
            <w:shd w:val="clear" w:color="auto" w:fill="BFBFBF"/>
          </w:tcPr>
          <w:p w14:paraId="16074834" w14:textId="77777777" w:rsidR="000B3C5C" w:rsidRDefault="000B3C5C">
            <w:pPr>
              <w:spacing w:after="160" w:line="259" w:lineRule="auto"/>
              <w:ind w:left="0" w:firstLine="0"/>
            </w:pPr>
          </w:p>
        </w:tc>
        <w:tc>
          <w:tcPr>
            <w:tcW w:w="1022" w:type="dxa"/>
            <w:gridSpan w:val="3"/>
            <w:tcBorders>
              <w:top w:val="single" w:sz="4" w:space="0" w:color="000000"/>
              <w:left w:val="single" w:sz="4" w:space="0" w:color="000000"/>
              <w:bottom w:val="single" w:sz="4" w:space="0" w:color="000000"/>
              <w:right w:val="single" w:sz="4" w:space="0" w:color="000000"/>
            </w:tcBorders>
          </w:tcPr>
          <w:p w14:paraId="3069A518" w14:textId="77777777" w:rsidR="000B3C5C" w:rsidRDefault="00ED192D">
            <w:pPr>
              <w:spacing w:after="0" w:line="259" w:lineRule="auto"/>
              <w:ind w:left="32" w:firstLine="0"/>
              <w:jc w:val="center"/>
            </w:pPr>
            <w:r>
              <w:rPr>
                <w:rFonts w:ascii="Arial" w:eastAsia="Arial" w:hAnsi="Arial" w:cs="Arial"/>
                <w:sz w:val="14"/>
              </w:rPr>
              <w:t xml:space="preserve">X--------------X </w:t>
            </w:r>
          </w:p>
        </w:tc>
        <w:tc>
          <w:tcPr>
            <w:tcW w:w="118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FEF5804" w14:textId="77777777" w:rsidR="000B3C5C" w:rsidRDefault="000B3C5C">
            <w:pPr>
              <w:spacing w:after="160" w:line="259" w:lineRule="auto"/>
              <w:ind w:left="0" w:firstLine="0"/>
            </w:pPr>
          </w:p>
        </w:tc>
        <w:tc>
          <w:tcPr>
            <w:tcW w:w="1139" w:type="dxa"/>
            <w:tcBorders>
              <w:top w:val="single" w:sz="4" w:space="0" w:color="000000"/>
              <w:left w:val="single" w:sz="4" w:space="0" w:color="000000"/>
              <w:bottom w:val="single" w:sz="4" w:space="0" w:color="000000"/>
              <w:right w:val="single" w:sz="4" w:space="0" w:color="000000"/>
            </w:tcBorders>
          </w:tcPr>
          <w:p w14:paraId="7C108A89" w14:textId="77777777" w:rsidR="000B3C5C" w:rsidRDefault="00ED192D">
            <w:pPr>
              <w:spacing w:after="0" w:line="259" w:lineRule="auto"/>
              <w:ind w:left="34" w:firstLine="0"/>
              <w:jc w:val="center"/>
            </w:pPr>
            <w:r>
              <w:rPr>
                <w:rFonts w:ascii="Arial" w:eastAsia="Arial" w:hAnsi="Arial" w:cs="Arial"/>
                <w:sz w:val="14"/>
              </w:rPr>
              <w:t xml:space="preserve">X </w:t>
            </w:r>
          </w:p>
        </w:tc>
        <w:tc>
          <w:tcPr>
            <w:tcW w:w="1031" w:type="dxa"/>
            <w:gridSpan w:val="2"/>
            <w:tcBorders>
              <w:top w:val="single" w:sz="4" w:space="0" w:color="000000"/>
              <w:left w:val="single" w:sz="4" w:space="0" w:color="000000"/>
              <w:bottom w:val="single" w:sz="4" w:space="0" w:color="000000"/>
              <w:right w:val="single" w:sz="4" w:space="0" w:color="000000"/>
            </w:tcBorders>
          </w:tcPr>
          <w:p w14:paraId="219F97FE" w14:textId="77777777" w:rsidR="000B3C5C" w:rsidRDefault="00ED192D">
            <w:pPr>
              <w:spacing w:after="0" w:line="259" w:lineRule="auto"/>
              <w:ind w:left="10" w:firstLine="0"/>
              <w:jc w:val="center"/>
            </w:pPr>
            <w:r>
              <w:rPr>
                <w:rFonts w:ascii="Arial" w:eastAsia="Arial" w:hAnsi="Arial" w:cs="Arial"/>
                <w:sz w:val="14"/>
              </w:rPr>
              <w:t xml:space="preserve">X----------------X </w:t>
            </w:r>
          </w:p>
        </w:tc>
        <w:tc>
          <w:tcPr>
            <w:tcW w:w="569" w:type="dxa"/>
            <w:gridSpan w:val="2"/>
            <w:tcBorders>
              <w:top w:val="single" w:sz="4" w:space="0" w:color="000000"/>
              <w:left w:val="single" w:sz="4" w:space="0" w:color="000000"/>
              <w:bottom w:val="single" w:sz="4" w:space="0" w:color="000000"/>
              <w:right w:val="single" w:sz="4" w:space="0" w:color="000000"/>
            </w:tcBorders>
            <w:shd w:val="clear" w:color="auto" w:fill="BFBFBF"/>
          </w:tcPr>
          <w:p w14:paraId="0296A63F" w14:textId="77777777" w:rsidR="000B3C5C" w:rsidRDefault="000B3C5C">
            <w:pPr>
              <w:spacing w:after="160" w:line="259" w:lineRule="auto"/>
              <w:ind w:left="0" w:firstLine="0"/>
            </w:pPr>
          </w:p>
        </w:tc>
        <w:tc>
          <w:tcPr>
            <w:tcW w:w="1100" w:type="dxa"/>
            <w:gridSpan w:val="2"/>
            <w:tcBorders>
              <w:top w:val="single" w:sz="4" w:space="0" w:color="000000"/>
              <w:left w:val="single" w:sz="4" w:space="0" w:color="000000"/>
              <w:bottom w:val="single" w:sz="4" w:space="0" w:color="000000"/>
              <w:right w:val="single" w:sz="4" w:space="0" w:color="000000"/>
            </w:tcBorders>
          </w:tcPr>
          <w:p w14:paraId="6874707D" w14:textId="77777777" w:rsidR="000B3C5C" w:rsidRDefault="00ED192D">
            <w:pPr>
              <w:spacing w:after="0" w:line="259" w:lineRule="auto"/>
              <w:ind w:left="24" w:firstLine="0"/>
              <w:jc w:val="center"/>
            </w:pPr>
            <w:r>
              <w:rPr>
                <w:rFonts w:ascii="Arial" w:eastAsia="Arial" w:hAnsi="Arial" w:cs="Arial"/>
                <w:sz w:val="14"/>
              </w:rPr>
              <w:t>X</w:t>
            </w:r>
            <w:r>
              <w:rPr>
                <w:rFonts w:ascii="Arial" w:eastAsia="Arial" w:hAnsi="Arial" w:cs="Arial"/>
                <w:sz w:val="14"/>
              </w:rPr>
              <w:t xml:space="preserve">----------------X </w:t>
            </w:r>
          </w:p>
        </w:tc>
        <w:tc>
          <w:tcPr>
            <w:tcW w:w="538" w:type="dxa"/>
            <w:tcBorders>
              <w:top w:val="single" w:sz="4" w:space="0" w:color="000000"/>
              <w:left w:val="single" w:sz="4" w:space="0" w:color="000000"/>
              <w:bottom w:val="single" w:sz="4" w:space="0" w:color="000000"/>
              <w:right w:val="single" w:sz="4" w:space="0" w:color="000000"/>
            </w:tcBorders>
            <w:shd w:val="clear" w:color="auto" w:fill="BFBFBF"/>
          </w:tcPr>
          <w:p w14:paraId="560C4EB1" w14:textId="77777777" w:rsidR="000B3C5C" w:rsidRDefault="000B3C5C">
            <w:pPr>
              <w:spacing w:after="160" w:line="259" w:lineRule="auto"/>
              <w:ind w:left="0" w:firstLine="0"/>
            </w:pPr>
          </w:p>
        </w:tc>
        <w:tc>
          <w:tcPr>
            <w:tcW w:w="440" w:type="dxa"/>
            <w:tcBorders>
              <w:top w:val="single" w:sz="4" w:space="0" w:color="000000"/>
              <w:left w:val="single" w:sz="4" w:space="0" w:color="000000"/>
              <w:bottom w:val="single" w:sz="4" w:space="0" w:color="000000"/>
              <w:right w:val="nil"/>
            </w:tcBorders>
          </w:tcPr>
          <w:p w14:paraId="3133C0A2" w14:textId="77777777" w:rsidR="000B3C5C" w:rsidRDefault="00ED192D">
            <w:pPr>
              <w:spacing w:after="0" w:line="259" w:lineRule="auto"/>
              <w:ind w:left="144" w:firstLine="0"/>
              <w:jc w:val="center"/>
            </w:pPr>
            <w:r>
              <w:rPr>
                <w:rFonts w:ascii="Arial" w:eastAsia="Arial" w:hAnsi="Arial" w:cs="Arial"/>
                <w:sz w:val="14"/>
              </w:rPr>
              <w:t xml:space="preserve">X </w:t>
            </w:r>
          </w:p>
        </w:tc>
        <w:tc>
          <w:tcPr>
            <w:tcW w:w="108" w:type="dxa"/>
            <w:tcBorders>
              <w:top w:val="single" w:sz="4" w:space="0" w:color="000000"/>
              <w:left w:val="nil"/>
              <w:bottom w:val="single" w:sz="4" w:space="0" w:color="000000"/>
              <w:right w:val="single" w:sz="4" w:space="0" w:color="000000"/>
            </w:tcBorders>
          </w:tcPr>
          <w:p w14:paraId="2971C2A5" w14:textId="77777777" w:rsidR="000B3C5C" w:rsidRDefault="000B3C5C">
            <w:pPr>
              <w:spacing w:after="160" w:line="259" w:lineRule="auto"/>
              <w:ind w:left="0" w:firstLine="0"/>
            </w:pPr>
          </w:p>
        </w:tc>
        <w:tc>
          <w:tcPr>
            <w:tcW w:w="509" w:type="dxa"/>
            <w:tcBorders>
              <w:top w:val="single" w:sz="4" w:space="0" w:color="000000"/>
              <w:left w:val="single" w:sz="4" w:space="0" w:color="000000"/>
              <w:bottom w:val="single" w:sz="4" w:space="0" w:color="000000"/>
              <w:right w:val="single" w:sz="4" w:space="0" w:color="000000"/>
            </w:tcBorders>
            <w:shd w:val="clear" w:color="auto" w:fill="BFBFBF"/>
          </w:tcPr>
          <w:p w14:paraId="0C450BD6" w14:textId="77777777" w:rsidR="000B3C5C" w:rsidRDefault="000B3C5C">
            <w:pPr>
              <w:spacing w:after="160" w:line="259" w:lineRule="auto"/>
              <w:ind w:left="0" w:firstLine="0"/>
            </w:pPr>
          </w:p>
        </w:tc>
        <w:tc>
          <w:tcPr>
            <w:tcW w:w="1097" w:type="dxa"/>
            <w:gridSpan w:val="2"/>
            <w:tcBorders>
              <w:top w:val="single" w:sz="4" w:space="0" w:color="000000"/>
              <w:left w:val="single" w:sz="4" w:space="0" w:color="000000"/>
              <w:bottom w:val="single" w:sz="4" w:space="0" w:color="000000"/>
              <w:right w:val="single" w:sz="4" w:space="0" w:color="000000"/>
            </w:tcBorders>
          </w:tcPr>
          <w:p w14:paraId="4FE3C6B1" w14:textId="77777777" w:rsidR="000B3C5C" w:rsidRDefault="00ED192D">
            <w:pPr>
              <w:spacing w:after="0" w:line="259" w:lineRule="auto"/>
              <w:ind w:left="47" w:firstLine="0"/>
              <w:jc w:val="center"/>
            </w:pPr>
            <w:r>
              <w:rPr>
                <w:rFonts w:ascii="Arial" w:eastAsia="Arial" w:hAnsi="Arial" w:cs="Arial"/>
                <w:sz w:val="14"/>
              </w:rPr>
              <w:t xml:space="preserve">X------------X </w:t>
            </w:r>
          </w:p>
        </w:tc>
        <w:tc>
          <w:tcPr>
            <w:tcW w:w="656" w:type="dxa"/>
            <w:tcBorders>
              <w:top w:val="single" w:sz="4" w:space="0" w:color="000000"/>
              <w:left w:val="single" w:sz="4" w:space="0" w:color="000000"/>
              <w:bottom w:val="single" w:sz="4" w:space="0" w:color="000000"/>
              <w:right w:val="single" w:sz="7" w:space="0" w:color="000000"/>
            </w:tcBorders>
            <w:shd w:val="clear" w:color="auto" w:fill="BFBFBF"/>
          </w:tcPr>
          <w:p w14:paraId="704A45BF" w14:textId="77777777" w:rsidR="000B3C5C" w:rsidRDefault="000B3C5C">
            <w:pPr>
              <w:spacing w:after="160" w:line="259" w:lineRule="auto"/>
              <w:ind w:left="0" w:firstLine="0"/>
            </w:pPr>
          </w:p>
        </w:tc>
        <w:tc>
          <w:tcPr>
            <w:tcW w:w="697" w:type="dxa"/>
            <w:tcBorders>
              <w:top w:val="single" w:sz="4" w:space="0" w:color="000000"/>
              <w:left w:val="single" w:sz="7" w:space="0" w:color="000000"/>
              <w:bottom w:val="single" w:sz="4" w:space="0" w:color="000000"/>
              <w:right w:val="single" w:sz="7" w:space="0" w:color="000000"/>
            </w:tcBorders>
            <w:shd w:val="clear" w:color="auto" w:fill="BFBFBF"/>
          </w:tcPr>
          <w:p w14:paraId="6C629B3B" w14:textId="77777777" w:rsidR="000B3C5C" w:rsidRDefault="000B3C5C">
            <w:pPr>
              <w:spacing w:after="160" w:line="259" w:lineRule="auto"/>
              <w:ind w:left="0" w:firstLine="0"/>
            </w:pPr>
          </w:p>
        </w:tc>
        <w:tc>
          <w:tcPr>
            <w:tcW w:w="625" w:type="dxa"/>
            <w:tcBorders>
              <w:top w:val="single" w:sz="4" w:space="0" w:color="000000"/>
              <w:left w:val="single" w:sz="7" w:space="0" w:color="000000"/>
              <w:bottom w:val="single" w:sz="4" w:space="0" w:color="000000"/>
              <w:right w:val="single" w:sz="4" w:space="0" w:color="000000"/>
            </w:tcBorders>
          </w:tcPr>
          <w:p w14:paraId="1DEA2763" w14:textId="77777777" w:rsidR="000B3C5C" w:rsidRDefault="00ED192D">
            <w:pPr>
              <w:spacing w:after="0" w:line="259" w:lineRule="auto"/>
              <w:ind w:left="38" w:firstLine="0"/>
              <w:jc w:val="center"/>
            </w:pPr>
            <w:r>
              <w:rPr>
                <w:rFonts w:ascii="Arial" w:eastAsia="Arial" w:hAnsi="Arial" w:cs="Arial"/>
                <w:sz w:val="14"/>
              </w:rPr>
              <w:t xml:space="preserve">X </w:t>
            </w:r>
          </w:p>
        </w:tc>
        <w:tc>
          <w:tcPr>
            <w:tcW w:w="492" w:type="dxa"/>
            <w:tcBorders>
              <w:top w:val="single" w:sz="4" w:space="0" w:color="000000"/>
              <w:left w:val="single" w:sz="4" w:space="0" w:color="000000"/>
              <w:bottom w:val="single" w:sz="4" w:space="0" w:color="000000"/>
              <w:right w:val="single" w:sz="4" w:space="0" w:color="000000"/>
            </w:tcBorders>
            <w:shd w:val="clear" w:color="auto" w:fill="BFBFBF"/>
          </w:tcPr>
          <w:p w14:paraId="3AF5CBAB" w14:textId="77777777" w:rsidR="000B3C5C" w:rsidRDefault="000B3C5C">
            <w:pPr>
              <w:spacing w:after="160" w:line="259" w:lineRule="auto"/>
              <w:ind w:left="0" w:firstLine="0"/>
            </w:pPr>
          </w:p>
        </w:tc>
        <w:tc>
          <w:tcPr>
            <w:tcW w:w="723" w:type="dxa"/>
            <w:gridSpan w:val="2"/>
            <w:tcBorders>
              <w:top w:val="single" w:sz="4" w:space="0" w:color="000000"/>
              <w:left w:val="single" w:sz="4" w:space="0" w:color="000000"/>
              <w:bottom w:val="single" w:sz="4" w:space="0" w:color="000000"/>
              <w:right w:val="single" w:sz="4" w:space="0" w:color="000000"/>
            </w:tcBorders>
            <w:shd w:val="clear" w:color="auto" w:fill="BFBFBF"/>
          </w:tcPr>
          <w:p w14:paraId="02933CA3" w14:textId="77777777" w:rsidR="000B3C5C" w:rsidRDefault="000B3C5C">
            <w:pPr>
              <w:spacing w:after="160" w:line="259" w:lineRule="auto"/>
              <w:ind w:left="0" w:firstLine="0"/>
            </w:pPr>
          </w:p>
        </w:tc>
      </w:tr>
      <w:tr w:rsidR="000B3C5C" w14:paraId="72E29F07" w14:textId="77777777">
        <w:trPr>
          <w:trHeight w:val="353"/>
        </w:trPr>
        <w:tc>
          <w:tcPr>
            <w:tcW w:w="2232" w:type="dxa"/>
            <w:gridSpan w:val="3"/>
            <w:tcBorders>
              <w:top w:val="single" w:sz="4" w:space="0" w:color="000000"/>
              <w:left w:val="single" w:sz="4" w:space="0" w:color="000000"/>
              <w:bottom w:val="single" w:sz="4" w:space="0" w:color="000000"/>
              <w:right w:val="nil"/>
            </w:tcBorders>
          </w:tcPr>
          <w:p w14:paraId="757E28AA" w14:textId="77777777" w:rsidR="000B3C5C" w:rsidRDefault="00ED192D">
            <w:pPr>
              <w:spacing w:after="0" w:line="259" w:lineRule="auto"/>
              <w:ind w:left="72" w:firstLine="0"/>
            </w:pPr>
            <w:r>
              <w:rPr>
                <w:rFonts w:ascii="Arial" w:eastAsia="Arial" w:hAnsi="Arial" w:cs="Arial"/>
                <w:b/>
                <w:sz w:val="14"/>
              </w:rPr>
              <w:t xml:space="preserve">Pharmacokinetics </w:t>
            </w:r>
            <w:r>
              <w:rPr>
                <w:rFonts w:ascii="Arial" w:eastAsia="Arial" w:hAnsi="Arial" w:cs="Arial"/>
                <w:b/>
                <w:i/>
                <w:color w:val="0000FF"/>
                <w:sz w:val="21"/>
                <w:vertAlign w:val="superscript"/>
              </w:rPr>
              <w:t>a,i</w:t>
            </w:r>
          </w:p>
        </w:tc>
        <w:tc>
          <w:tcPr>
            <w:tcW w:w="1022" w:type="dxa"/>
            <w:gridSpan w:val="3"/>
            <w:tcBorders>
              <w:top w:val="single" w:sz="4" w:space="0" w:color="000000"/>
              <w:left w:val="nil"/>
              <w:bottom w:val="single" w:sz="4" w:space="0" w:color="000000"/>
              <w:right w:val="nil"/>
            </w:tcBorders>
          </w:tcPr>
          <w:p w14:paraId="03EAF959"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tcPr>
          <w:p w14:paraId="686C7AE9" w14:textId="77777777" w:rsidR="000B3C5C" w:rsidRDefault="000B3C5C">
            <w:pPr>
              <w:spacing w:after="160" w:line="259" w:lineRule="auto"/>
              <w:ind w:left="0" w:firstLine="0"/>
            </w:pPr>
          </w:p>
        </w:tc>
        <w:tc>
          <w:tcPr>
            <w:tcW w:w="1139" w:type="dxa"/>
            <w:tcBorders>
              <w:top w:val="single" w:sz="4" w:space="0" w:color="000000"/>
              <w:left w:val="nil"/>
              <w:bottom w:val="single" w:sz="4" w:space="0" w:color="000000"/>
              <w:right w:val="nil"/>
            </w:tcBorders>
          </w:tcPr>
          <w:p w14:paraId="24B42399" w14:textId="77777777" w:rsidR="000B3C5C" w:rsidRDefault="000B3C5C">
            <w:pPr>
              <w:spacing w:after="160" w:line="259" w:lineRule="auto"/>
              <w:ind w:left="0" w:firstLine="0"/>
            </w:pPr>
          </w:p>
        </w:tc>
        <w:tc>
          <w:tcPr>
            <w:tcW w:w="1031" w:type="dxa"/>
            <w:gridSpan w:val="2"/>
            <w:tcBorders>
              <w:top w:val="single" w:sz="4" w:space="0" w:color="000000"/>
              <w:left w:val="nil"/>
              <w:bottom w:val="single" w:sz="4" w:space="0" w:color="000000"/>
              <w:right w:val="nil"/>
            </w:tcBorders>
          </w:tcPr>
          <w:p w14:paraId="2DC66E17" w14:textId="77777777" w:rsidR="000B3C5C" w:rsidRDefault="000B3C5C">
            <w:pPr>
              <w:spacing w:after="160" w:line="259" w:lineRule="auto"/>
              <w:ind w:left="0" w:firstLine="0"/>
            </w:pPr>
          </w:p>
        </w:tc>
        <w:tc>
          <w:tcPr>
            <w:tcW w:w="1670" w:type="dxa"/>
            <w:gridSpan w:val="4"/>
            <w:tcBorders>
              <w:top w:val="single" w:sz="4" w:space="0" w:color="000000"/>
              <w:left w:val="nil"/>
              <w:bottom w:val="single" w:sz="4" w:space="0" w:color="000000"/>
              <w:right w:val="nil"/>
            </w:tcBorders>
          </w:tcPr>
          <w:p w14:paraId="307A231A" w14:textId="77777777" w:rsidR="000B3C5C" w:rsidRDefault="000B3C5C">
            <w:pPr>
              <w:spacing w:after="160" w:line="259" w:lineRule="auto"/>
              <w:ind w:left="0" w:firstLine="0"/>
            </w:pPr>
          </w:p>
        </w:tc>
        <w:tc>
          <w:tcPr>
            <w:tcW w:w="978" w:type="dxa"/>
            <w:gridSpan w:val="2"/>
            <w:tcBorders>
              <w:top w:val="single" w:sz="4" w:space="0" w:color="000000"/>
              <w:left w:val="nil"/>
              <w:bottom w:val="single" w:sz="4" w:space="0" w:color="000000"/>
              <w:right w:val="nil"/>
            </w:tcBorders>
          </w:tcPr>
          <w:p w14:paraId="58A15F81" w14:textId="77777777" w:rsidR="000B3C5C" w:rsidRDefault="000B3C5C">
            <w:pPr>
              <w:spacing w:after="160" w:line="259" w:lineRule="auto"/>
              <w:ind w:left="0" w:firstLine="0"/>
            </w:pPr>
          </w:p>
        </w:tc>
        <w:tc>
          <w:tcPr>
            <w:tcW w:w="617" w:type="dxa"/>
            <w:gridSpan w:val="2"/>
            <w:tcBorders>
              <w:top w:val="single" w:sz="4" w:space="0" w:color="000000"/>
              <w:left w:val="nil"/>
              <w:bottom w:val="single" w:sz="4" w:space="0" w:color="000000"/>
              <w:right w:val="nil"/>
            </w:tcBorders>
          </w:tcPr>
          <w:p w14:paraId="41D9C782" w14:textId="77777777" w:rsidR="000B3C5C" w:rsidRDefault="000B3C5C">
            <w:pPr>
              <w:spacing w:after="160" w:line="259" w:lineRule="auto"/>
              <w:ind w:left="0" w:firstLine="0"/>
            </w:pPr>
          </w:p>
        </w:tc>
        <w:tc>
          <w:tcPr>
            <w:tcW w:w="1097" w:type="dxa"/>
            <w:gridSpan w:val="2"/>
            <w:tcBorders>
              <w:top w:val="single" w:sz="4" w:space="0" w:color="000000"/>
              <w:left w:val="nil"/>
              <w:bottom w:val="single" w:sz="4" w:space="0" w:color="000000"/>
              <w:right w:val="nil"/>
            </w:tcBorders>
          </w:tcPr>
          <w:p w14:paraId="5AC7926D" w14:textId="77777777" w:rsidR="000B3C5C" w:rsidRDefault="000B3C5C">
            <w:pPr>
              <w:spacing w:after="160" w:line="259" w:lineRule="auto"/>
              <w:ind w:left="0" w:firstLine="0"/>
            </w:pPr>
          </w:p>
        </w:tc>
        <w:tc>
          <w:tcPr>
            <w:tcW w:w="656" w:type="dxa"/>
            <w:tcBorders>
              <w:top w:val="single" w:sz="4" w:space="0" w:color="000000"/>
              <w:left w:val="nil"/>
              <w:bottom w:val="single" w:sz="4" w:space="0" w:color="000000"/>
              <w:right w:val="nil"/>
            </w:tcBorders>
          </w:tcPr>
          <w:p w14:paraId="35495563" w14:textId="77777777" w:rsidR="000B3C5C" w:rsidRDefault="000B3C5C">
            <w:pPr>
              <w:spacing w:after="160" w:line="259" w:lineRule="auto"/>
              <w:ind w:left="0" w:firstLine="0"/>
            </w:pPr>
          </w:p>
        </w:tc>
        <w:tc>
          <w:tcPr>
            <w:tcW w:w="2537" w:type="dxa"/>
            <w:gridSpan w:val="5"/>
            <w:tcBorders>
              <w:top w:val="single" w:sz="4" w:space="0" w:color="000000"/>
              <w:left w:val="nil"/>
              <w:bottom w:val="single" w:sz="4" w:space="0" w:color="000000"/>
              <w:right w:val="single" w:sz="4" w:space="0" w:color="000000"/>
            </w:tcBorders>
          </w:tcPr>
          <w:p w14:paraId="595D7F1F" w14:textId="77777777" w:rsidR="000B3C5C" w:rsidRDefault="000B3C5C">
            <w:pPr>
              <w:spacing w:after="160" w:line="259" w:lineRule="auto"/>
              <w:ind w:left="0" w:firstLine="0"/>
            </w:pPr>
          </w:p>
        </w:tc>
      </w:tr>
      <w:tr w:rsidR="000B3C5C" w14:paraId="20C78A4B" w14:textId="77777777">
        <w:trPr>
          <w:trHeight w:val="609"/>
        </w:trPr>
        <w:tc>
          <w:tcPr>
            <w:tcW w:w="1328" w:type="dxa"/>
            <w:tcBorders>
              <w:top w:val="single" w:sz="4" w:space="0" w:color="000000"/>
              <w:left w:val="single" w:sz="4" w:space="0" w:color="000000"/>
              <w:bottom w:val="single" w:sz="4" w:space="0" w:color="000000"/>
              <w:right w:val="single" w:sz="4" w:space="0" w:color="000000"/>
            </w:tcBorders>
          </w:tcPr>
          <w:p w14:paraId="7AFBB66B" w14:textId="77777777" w:rsidR="000B3C5C" w:rsidRDefault="00ED192D">
            <w:pPr>
              <w:spacing w:after="0" w:line="259" w:lineRule="auto"/>
              <w:ind w:left="254" w:firstLine="0"/>
              <w:jc w:val="center"/>
            </w:pPr>
            <w:r>
              <w:rPr>
                <w:rFonts w:ascii="Arial" w:eastAsia="Arial" w:hAnsi="Arial" w:cs="Arial"/>
                <w:i/>
                <w:color w:val="0000FF"/>
                <w:sz w:val="18"/>
              </w:rPr>
              <w:t xml:space="preserve">j </w:t>
            </w:r>
          </w:p>
          <w:p w14:paraId="25920FD9" w14:textId="77777777" w:rsidR="000B3C5C" w:rsidRDefault="00ED192D">
            <w:pPr>
              <w:spacing w:after="49" w:line="259" w:lineRule="auto"/>
              <w:ind w:left="72" w:firstLine="0"/>
            </w:pPr>
            <w:r>
              <w:rPr>
                <w:rFonts w:ascii="Arial" w:eastAsia="Arial" w:hAnsi="Arial" w:cs="Arial"/>
                <w:sz w:val="14"/>
              </w:rPr>
              <w:t>Atezolizumab</w:t>
            </w:r>
          </w:p>
          <w:p w14:paraId="6F76BDBD" w14:textId="77777777" w:rsidR="000B3C5C" w:rsidRDefault="00ED192D">
            <w:pPr>
              <w:spacing w:after="0" w:line="259" w:lineRule="auto"/>
              <w:ind w:left="72" w:firstLine="0"/>
            </w:pPr>
            <w:r>
              <w:rPr>
                <w:rFonts w:ascii="Arial" w:eastAsia="Arial" w:hAnsi="Arial" w:cs="Arial"/>
                <w:sz w:val="14"/>
              </w:rPr>
              <w:t xml:space="preserve">Sample ID </w:t>
            </w:r>
          </w:p>
        </w:tc>
        <w:tc>
          <w:tcPr>
            <w:tcW w:w="462" w:type="dxa"/>
            <w:tcBorders>
              <w:top w:val="single" w:sz="4" w:space="0" w:color="000000"/>
              <w:left w:val="single" w:sz="4" w:space="0" w:color="000000"/>
              <w:bottom w:val="single" w:sz="4" w:space="0" w:color="000000"/>
              <w:right w:val="single" w:sz="4" w:space="0" w:color="000000"/>
            </w:tcBorders>
            <w:vAlign w:val="center"/>
          </w:tcPr>
          <w:p w14:paraId="3959E78F" w14:textId="77777777" w:rsidR="000B3C5C" w:rsidRDefault="00ED192D">
            <w:pPr>
              <w:spacing w:after="0" w:line="259" w:lineRule="auto"/>
              <w:ind w:left="16" w:firstLine="0"/>
              <w:jc w:val="center"/>
            </w:pPr>
            <w:r>
              <w:rPr>
                <w:rFonts w:ascii="Arial" w:eastAsia="Arial" w:hAnsi="Arial" w:cs="Arial"/>
                <w:sz w:val="14"/>
              </w:rPr>
              <w:t xml:space="preserve">S00 </w:t>
            </w:r>
          </w:p>
        </w:tc>
        <w:tc>
          <w:tcPr>
            <w:tcW w:w="44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9152201" w14:textId="77777777" w:rsidR="000B3C5C" w:rsidRDefault="00ED192D">
            <w:pPr>
              <w:spacing w:after="0" w:line="259" w:lineRule="auto"/>
              <w:ind w:left="23" w:firstLine="0"/>
              <w:jc w:val="center"/>
            </w:pPr>
            <w:r>
              <w:rPr>
                <w:rFonts w:ascii="Arial" w:eastAsia="Arial" w:hAnsi="Arial" w:cs="Arial"/>
                <w:sz w:val="14"/>
              </w:rPr>
              <w:t xml:space="preserve">- </w:t>
            </w:r>
          </w:p>
        </w:tc>
        <w:tc>
          <w:tcPr>
            <w:tcW w:w="482" w:type="dxa"/>
            <w:tcBorders>
              <w:top w:val="single" w:sz="4" w:space="0" w:color="000000"/>
              <w:left w:val="single" w:sz="4" w:space="0" w:color="000000"/>
              <w:bottom w:val="single" w:sz="4" w:space="0" w:color="000000"/>
              <w:right w:val="single" w:sz="4" w:space="0" w:color="000000"/>
            </w:tcBorders>
            <w:vAlign w:val="center"/>
          </w:tcPr>
          <w:p w14:paraId="4AC65E06" w14:textId="77777777" w:rsidR="000B3C5C" w:rsidRDefault="00ED192D">
            <w:pPr>
              <w:spacing w:after="0" w:line="259" w:lineRule="auto"/>
              <w:ind w:left="32" w:firstLine="0"/>
              <w:jc w:val="center"/>
            </w:pPr>
            <w:r>
              <w:rPr>
                <w:rFonts w:ascii="Arial" w:eastAsia="Arial" w:hAnsi="Arial" w:cs="Arial"/>
                <w:sz w:val="14"/>
              </w:rPr>
              <w:t xml:space="preserve">S01 </w:t>
            </w:r>
          </w:p>
        </w:tc>
        <w:tc>
          <w:tcPr>
            <w:tcW w:w="540" w:type="dxa"/>
            <w:gridSpan w:val="2"/>
            <w:tcBorders>
              <w:top w:val="single" w:sz="4" w:space="0" w:color="000000"/>
              <w:left w:val="single" w:sz="4" w:space="0" w:color="000000"/>
              <w:bottom w:val="single" w:sz="4" w:space="0" w:color="000000"/>
              <w:right w:val="nil"/>
            </w:tcBorders>
            <w:shd w:val="clear" w:color="auto" w:fill="BFBFBF"/>
          </w:tcPr>
          <w:p w14:paraId="3711E7F8"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shd w:val="clear" w:color="auto" w:fill="BFBFBF"/>
          </w:tcPr>
          <w:p w14:paraId="44FCDC20" w14:textId="77777777" w:rsidR="000B3C5C" w:rsidRDefault="000B3C5C">
            <w:pPr>
              <w:spacing w:after="160" w:line="259" w:lineRule="auto"/>
              <w:ind w:left="0" w:firstLine="0"/>
            </w:pPr>
          </w:p>
        </w:tc>
        <w:tc>
          <w:tcPr>
            <w:tcW w:w="1139" w:type="dxa"/>
            <w:tcBorders>
              <w:top w:val="single" w:sz="4" w:space="0" w:color="000000"/>
              <w:left w:val="nil"/>
              <w:bottom w:val="single" w:sz="4" w:space="0" w:color="000000"/>
              <w:right w:val="nil"/>
            </w:tcBorders>
            <w:shd w:val="clear" w:color="auto" w:fill="BFBFBF"/>
            <w:vAlign w:val="center"/>
          </w:tcPr>
          <w:p w14:paraId="339598F5" w14:textId="77777777" w:rsidR="000B3C5C" w:rsidRDefault="00ED192D">
            <w:pPr>
              <w:spacing w:after="0" w:line="259" w:lineRule="auto"/>
              <w:ind w:left="193" w:firstLine="0"/>
            </w:pPr>
            <w:r>
              <w:rPr>
                <w:rFonts w:ascii="Arial" w:eastAsia="Arial" w:hAnsi="Arial" w:cs="Arial"/>
                <w:sz w:val="14"/>
              </w:rPr>
              <w:t xml:space="preserve">- </w:t>
            </w:r>
          </w:p>
        </w:tc>
        <w:tc>
          <w:tcPr>
            <w:tcW w:w="1031" w:type="dxa"/>
            <w:gridSpan w:val="2"/>
            <w:tcBorders>
              <w:top w:val="single" w:sz="4" w:space="0" w:color="000000"/>
              <w:left w:val="nil"/>
              <w:bottom w:val="single" w:sz="4" w:space="0" w:color="000000"/>
              <w:right w:val="single" w:sz="4" w:space="0" w:color="000000"/>
            </w:tcBorders>
            <w:shd w:val="clear" w:color="auto" w:fill="BFBFBF"/>
          </w:tcPr>
          <w:p w14:paraId="0D19C6F9" w14:textId="77777777" w:rsidR="000B3C5C" w:rsidRDefault="000B3C5C">
            <w:pPr>
              <w:spacing w:after="160" w:line="259" w:lineRule="auto"/>
              <w:ind w:left="0" w:firstLine="0"/>
            </w:pPr>
          </w:p>
        </w:tc>
        <w:tc>
          <w:tcPr>
            <w:tcW w:w="569" w:type="dxa"/>
            <w:gridSpan w:val="2"/>
            <w:tcBorders>
              <w:top w:val="single" w:sz="4" w:space="0" w:color="000000"/>
              <w:left w:val="single" w:sz="4" w:space="0" w:color="000000"/>
              <w:bottom w:val="single" w:sz="4" w:space="0" w:color="000000"/>
              <w:right w:val="single" w:sz="4" w:space="0" w:color="000000"/>
            </w:tcBorders>
            <w:vAlign w:val="center"/>
          </w:tcPr>
          <w:p w14:paraId="30F2FB60" w14:textId="77777777" w:rsidR="000B3C5C" w:rsidRDefault="00ED192D">
            <w:pPr>
              <w:spacing w:after="0" w:line="259" w:lineRule="auto"/>
              <w:ind w:left="14" w:firstLine="0"/>
              <w:jc w:val="center"/>
            </w:pPr>
            <w:r>
              <w:rPr>
                <w:rFonts w:ascii="Arial" w:eastAsia="Arial" w:hAnsi="Arial" w:cs="Arial"/>
                <w:sz w:val="14"/>
              </w:rPr>
              <w:t>S00</w:t>
            </w:r>
            <w:r>
              <w:rPr>
                <w:rFonts w:ascii="Arial" w:eastAsia="Arial" w:hAnsi="Arial" w:cs="Arial"/>
                <w:i/>
                <w:color w:val="0000FF"/>
                <w:sz w:val="21"/>
                <w:vertAlign w:val="superscript"/>
              </w:rPr>
              <w:t>c</w:t>
            </w:r>
          </w:p>
        </w:tc>
        <w:tc>
          <w:tcPr>
            <w:tcW w:w="1100" w:type="dxa"/>
            <w:gridSpan w:val="2"/>
            <w:tcBorders>
              <w:top w:val="single" w:sz="4" w:space="0" w:color="000000"/>
              <w:left w:val="single" w:sz="4" w:space="0" w:color="000000"/>
              <w:bottom w:val="single" w:sz="4" w:space="0" w:color="000000"/>
              <w:right w:val="single" w:sz="4" w:space="0" w:color="000000"/>
            </w:tcBorders>
            <w:shd w:val="clear" w:color="auto" w:fill="BFBFBF"/>
            <w:vAlign w:val="bottom"/>
          </w:tcPr>
          <w:p w14:paraId="74A25F33" w14:textId="77777777" w:rsidR="000B3C5C" w:rsidRDefault="00ED192D">
            <w:pPr>
              <w:spacing w:after="0" w:line="259" w:lineRule="auto"/>
              <w:ind w:left="43" w:firstLine="0"/>
              <w:jc w:val="center"/>
            </w:pPr>
            <w:r>
              <w:rPr>
                <w:rFonts w:ascii="Arial" w:eastAsia="Arial" w:hAnsi="Arial" w:cs="Arial"/>
                <w:sz w:val="14"/>
              </w:rPr>
              <w:t xml:space="preserve">- </w:t>
            </w:r>
          </w:p>
        </w:tc>
        <w:tc>
          <w:tcPr>
            <w:tcW w:w="538" w:type="dxa"/>
            <w:tcBorders>
              <w:top w:val="single" w:sz="4" w:space="0" w:color="000000"/>
              <w:left w:val="single" w:sz="4" w:space="0" w:color="000000"/>
              <w:bottom w:val="single" w:sz="4" w:space="0" w:color="000000"/>
              <w:right w:val="single" w:sz="4" w:space="0" w:color="000000"/>
            </w:tcBorders>
            <w:vAlign w:val="center"/>
          </w:tcPr>
          <w:p w14:paraId="142B12C1" w14:textId="77777777" w:rsidR="000B3C5C" w:rsidRDefault="00ED192D">
            <w:pPr>
              <w:spacing w:after="0" w:line="259" w:lineRule="auto"/>
              <w:ind w:left="42" w:firstLine="0"/>
              <w:jc w:val="center"/>
            </w:pPr>
            <w:r>
              <w:rPr>
                <w:rFonts w:ascii="Arial" w:eastAsia="Arial" w:hAnsi="Arial" w:cs="Arial"/>
                <w:sz w:val="14"/>
              </w:rPr>
              <w:t>S00</w:t>
            </w:r>
            <w:r>
              <w:rPr>
                <w:rFonts w:ascii="Arial" w:eastAsia="Arial" w:hAnsi="Arial" w:cs="Arial"/>
                <w:i/>
                <w:color w:val="0000FF"/>
                <w:sz w:val="21"/>
                <w:vertAlign w:val="superscript"/>
              </w:rPr>
              <w:t>c</w:t>
            </w:r>
          </w:p>
        </w:tc>
        <w:tc>
          <w:tcPr>
            <w:tcW w:w="440" w:type="dxa"/>
            <w:tcBorders>
              <w:top w:val="single" w:sz="4" w:space="0" w:color="000000"/>
              <w:left w:val="single" w:sz="4" w:space="0" w:color="000000"/>
              <w:bottom w:val="single" w:sz="4" w:space="0" w:color="000000"/>
              <w:right w:val="nil"/>
            </w:tcBorders>
            <w:shd w:val="clear" w:color="auto" w:fill="BFBFBF"/>
          </w:tcPr>
          <w:p w14:paraId="537B26E4" w14:textId="77777777" w:rsidR="000B3C5C" w:rsidRDefault="00ED192D">
            <w:pPr>
              <w:spacing w:after="0" w:line="259" w:lineRule="auto"/>
              <w:ind w:left="147" w:firstLine="0"/>
              <w:jc w:val="center"/>
            </w:pPr>
            <w:r>
              <w:rPr>
                <w:rFonts w:ascii="Arial" w:eastAsia="Arial" w:hAnsi="Arial" w:cs="Arial"/>
                <w:sz w:val="14"/>
              </w:rPr>
              <w:t xml:space="preserve"> - </w:t>
            </w:r>
          </w:p>
        </w:tc>
        <w:tc>
          <w:tcPr>
            <w:tcW w:w="108" w:type="dxa"/>
            <w:tcBorders>
              <w:top w:val="single" w:sz="4" w:space="0" w:color="000000"/>
              <w:left w:val="nil"/>
              <w:bottom w:val="single" w:sz="4" w:space="0" w:color="000000"/>
              <w:right w:val="single" w:sz="4" w:space="0" w:color="000000"/>
            </w:tcBorders>
            <w:shd w:val="clear" w:color="auto" w:fill="BFBFBF"/>
          </w:tcPr>
          <w:p w14:paraId="368FDC2F" w14:textId="77777777" w:rsidR="000B3C5C" w:rsidRDefault="000B3C5C">
            <w:pPr>
              <w:spacing w:after="160" w:line="259" w:lineRule="auto"/>
              <w:ind w:left="0" w:firstLine="0"/>
            </w:pPr>
          </w:p>
        </w:tc>
        <w:tc>
          <w:tcPr>
            <w:tcW w:w="509" w:type="dxa"/>
            <w:tcBorders>
              <w:top w:val="single" w:sz="4" w:space="0" w:color="000000"/>
              <w:left w:val="single" w:sz="4" w:space="0" w:color="000000"/>
              <w:bottom w:val="single" w:sz="4" w:space="0" w:color="000000"/>
              <w:right w:val="single" w:sz="7" w:space="0" w:color="000000"/>
            </w:tcBorders>
            <w:vAlign w:val="center"/>
          </w:tcPr>
          <w:p w14:paraId="47FECB5E" w14:textId="77777777" w:rsidR="000B3C5C" w:rsidRDefault="00ED192D">
            <w:pPr>
              <w:spacing w:after="0" w:line="259" w:lineRule="auto"/>
              <w:ind w:left="124" w:firstLine="0"/>
            </w:pPr>
            <w:r>
              <w:rPr>
                <w:rFonts w:ascii="Arial" w:eastAsia="Arial" w:hAnsi="Arial" w:cs="Arial"/>
                <w:sz w:val="14"/>
              </w:rPr>
              <w:t>S00</w:t>
            </w:r>
            <w:r>
              <w:rPr>
                <w:rFonts w:ascii="Arial" w:eastAsia="Arial" w:hAnsi="Arial" w:cs="Arial"/>
                <w:i/>
                <w:color w:val="0000FF"/>
                <w:sz w:val="21"/>
                <w:vertAlign w:val="superscript"/>
              </w:rPr>
              <w:t>c</w:t>
            </w:r>
          </w:p>
        </w:tc>
        <w:tc>
          <w:tcPr>
            <w:tcW w:w="1097" w:type="dxa"/>
            <w:gridSpan w:val="2"/>
            <w:tcBorders>
              <w:top w:val="single" w:sz="4" w:space="0" w:color="000000"/>
              <w:left w:val="single" w:sz="7" w:space="0" w:color="000000"/>
              <w:bottom w:val="single" w:sz="4" w:space="0" w:color="000000"/>
              <w:right w:val="nil"/>
            </w:tcBorders>
            <w:shd w:val="clear" w:color="auto" w:fill="BFBFBF"/>
            <w:vAlign w:val="center"/>
          </w:tcPr>
          <w:p w14:paraId="14CCBC41" w14:textId="77777777" w:rsidR="000B3C5C" w:rsidRDefault="00ED192D">
            <w:pPr>
              <w:spacing w:after="0" w:line="259" w:lineRule="auto"/>
              <w:ind w:left="0" w:right="168" w:firstLine="0"/>
              <w:jc w:val="right"/>
            </w:pPr>
            <w:r>
              <w:rPr>
                <w:rFonts w:ascii="Arial" w:eastAsia="Arial" w:hAnsi="Arial" w:cs="Arial"/>
                <w:sz w:val="14"/>
              </w:rPr>
              <w:t xml:space="preserve">- </w:t>
            </w:r>
          </w:p>
        </w:tc>
        <w:tc>
          <w:tcPr>
            <w:tcW w:w="656" w:type="dxa"/>
            <w:tcBorders>
              <w:top w:val="single" w:sz="4" w:space="0" w:color="000000"/>
              <w:left w:val="nil"/>
              <w:bottom w:val="single" w:sz="4" w:space="0" w:color="000000"/>
              <w:right w:val="single" w:sz="7" w:space="0" w:color="000000"/>
            </w:tcBorders>
            <w:shd w:val="clear" w:color="auto" w:fill="BFBFBF"/>
          </w:tcPr>
          <w:p w14:paraId="0D5EBAB2" w14:textId="77777777" w:rsidR="000B3C5C" w:rsidRDefault="000B3C5C">
            <w:pPr>
              <w:spacing w:after="160" w:line="259" w:lineRule="auto"/>
              <w:ind w:left="0" w:firstLine="0"/>
            </w:pPr>
          </w:p>
        </w:tc>
        <w:tc>
          <w:tcPr>
            <w:tcW w:w="697" w:type="dxa"/>
            <w:tcBorders>
              <w:top w:val="single" w:sz="4" w:space="0" w:color="000000"/>
              <w:left w:val="single" w:sz="7" w:space="0" w:color="000000"/>
              <w:bottom w:val="single" w:sz="4" w:space="0" w:color="000000"/>
              <w:right w:val="single" w:sz="7" w:space="0" w:color="000000"/>
            </w:tcBorders>
            <w:vAlign w:val="center"/>
          </w:tcPr>
          <w:p w14:paraId="062CF12B" w14:textId="77777777" w:rsidR="000B3C5C" w:rsidRDefault="00ED192D">
            <w:pPr>
              <w:spacing w:after="0" w:line="259" w:lineRule="auto"/>
              <w:ind w:left="24" w:firstLine="0"/>
              <w:jc w:val="center"/>
            </w:pPr>
            <w:r>
              <w:rPr>
                <w:rFonts w:ascii="Arial" w:eastAsia="Arial" w:hAnsi="Arial" w:cs="Arial"/>
                <w:sz w:val="14"/>
              </w:rPr>
              <w:t>S00</w:t>
            </w:r>
            <w:r>
              <w:rPr>
                <w:rFonts w:ascii="Arial" w:eastAsia="Arial" w:hAnsi="Arial" w:cs="Arial"/>
                <w:i/>
                <w:color w:val="0000FF"/>
                <w:sz w:val="14"/>
              </w:rPr>
              <w:t xml:space="preserve"> c,</w:t>
            </w:r>
            <w:r>
              <w:rPr>
                <w:rFonts w:ascii="Arial" w:eastAsia="Arial" w:hAnsi="Arial" w:cs="Arial"/>
                <w:i/>
                <w:color w:val="0000FF"/>
                <w:sz w:val="18"/>
              </w:rPr>
              <w:t>j</w:t>
            </w:r>
          </w:p>
        </w:tc>
        <w:tc>
          <w:tcPr>
            <w:tcW w:w="625" w:type="dxa"/>
            <w:tcBorders>
              <w:top w:val="single" w:sz="4" w:space="0" w:color="000000"/>
              <w:left w:val="single" w:sz="7" w:space="0" w:color="000000"/>
              <w:bottom w:val="single" w:sz="4" w:space="0" w:color="000000"/>
              <w:right w:val="single" w:sz="4" w:space="0" w:color="000000"/>
            </w:tcBorders>
            <w:shd w:val="clear" w:color="auto" w:fill="BFBFBF"/>
            <w:vAlign w:val="center"/>
          </w:tcPr>
          <w:p w14:paraId="052CC26F" w14:textId="77777777" w:rsidR="000B3C5C" w:rsidRDefault="00ED192D">
            <w:pPr>
              <w:spacing w:after="0" w:line="259" w:lineRule="auto"/>
              <w:ind w:left="29" w:firstLine="0"/>
              <w:jc w:val="center"/>
            </w:pPr>
            <w:r>
              <w:rPr>
                <w:rFonts w:ascii="Arial" w:eastAsia="Arial" w:hAnsi="Arial" w:cs="Arial"/>
                <w:sz w:val="14"/>
              </w:rPr>
              <w:t xml:space="preserve">- </w:t>
            </w:r>
          </w:p>
        </w:tc>
        <w:tc>
          <w:tcPr>
            <w:tcW w:w="564" w:type="dxa"/>
            <w:gridSpan w:val="2"/>
            <w:tcBorders>
              <w:top w:val="single" w:sz="4" w:space="0" w:color="000000"/>
              <w:left w:val="single" w:sz="4" w:space="0" w:color="000000"/>
              <w:bottom w:val="single" w:sz="4" w:space="0" w:color="000000"/>
              <w:right w:val="single" w:sz="4" w:space="0" w:color="000000"/>
            </w:tcBorders>
            <w:vAlign w:val="center"/>
          </w:tcPr>
          <w:p w14:paraId="212BDE90" w14:textId="77777777" w:rsidR="000B3C5C" w:rsidRDefault="00ED192D">
            <w:pPr>
              <w:spacing w:after="0" w:line="259" w:lineRule="auto"/>
              <w:ind w:left="29" w:firstLine="0"/>
              <w:jc w:val="center"/>
            </w:pPr>
            <w:r>
              <w:rPr>
                <w:rFonts w:ascii="Arial" w:eastAsia="Arial" w:hAnsi="Arial" w:cs="Arial"/>
                <w:sz w:val="14"/>
              </w:rPr>
              <w:t xml:space="preserve">SF00 </w:t>
            </w:r>
          </w:p>
        </w:tc>
        <w:tc>
          <w:tcPr>
            <w:tcW w:w="6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B0603AB" w14:textId="77777777" w:rsidR="000B3C5C" w:rsidRDefault="00ED192D">
            <w:pPr>
              <w:spacing w:after="0" w:line="259" w:lineRule="auto"/>
              <w:ind w:left="11" w:firstLine="0"/>
              <w:jc w:val="center"/>
            </w:pPr>
            <w:r>
              <w:rPr>
                <w:rFonts w:ascii="Arial" w:eastAsia="Arial" w:hAnsi="Arial" w:cs="Arial"/>
                <w:sz w:val="14"/>
              </w:rPr>
              <w:t xml:space="preserve">- </w:t>
            </w:r>
          </w:p>
        </w:tc>
      </w:tr>
      <w:tr w:rsidR="000B3C5C" w14:paraId="5E332C08" w14:textId="77777777">
        <w:trPr>
          <w:trHeight w:val="570"/>
        </w:trPr>
        <w:tc>
          <w:tcPr>
            <w:tcW w:w="1328" w:type="dxa"/>
            <w:tcBorders>
              <w:top w:val="single" w:sz="4" w:space="0" w:color="000000"/>
              <w:left w:val="single" w:sz="4" w:space="0" w:color="000000"/>
              <w:bottom w:val="single" w:sz="4" w:space="0" w:color="000000"/>
              <w:right w:val="single" w:sz="4" w:space="0" w:color="000000"/>
            </w:tcBorders>
          </w:tcPr>
          <w:p w14:paraId="22112A8D" w14:textId="77777777" w:rsidR="000B3C5C" w:rsidRDefault="00ED192D">
            <w:pPr>
              <w:spacing w:after="0" w:line="259" w:lineRule="auto"/>
              <w:ind w:left="72" w:firstLine="0"/>
            </w:pPr>
            <w:r>
              <w:rPr>
                <w:rFonts w:ascii="Arial" w:eastAsia="Arial" w:hAnsi="Arial" w:cs="Arial"/>
                <w:sz w:val="14"/>
              </w:rPr>
              <w:t>Isatuximab</w:t>
            </w:r>
            <w:r>
              <w:rPr>
                <w:rFonts w:ascii="Arial" w:eastAsia="Arial" w:hAnsi="Arial" w:cs="Arial"/>
                <w:b/>
                <w:i/>
                <w:color w:val="0000FF"/>
                <w:sz w:val="21"/>
                <w:vertAlign w:val="superscript"/>
              </w:rPr>
              <w:t>i</w:t>
            </w:r>
          </w:p>
          <w:p w14:paraId="079A2BC2" w14:textId="77777777" w:rsidR="000B3C5C" w:rsidRDefault="00ED192D">
            <w:pPr>
              <w:spacing w:after="0" w:line="259" w:lineRule="auto"/>
              <w:ind w:left="72" w:firstLine="0"/>
            </w:pPr>
            <w:r>
              <w:rPr>
                <w:rFonts w:ascii="Arial" w:eastAsia="Arial" w:hAnsi="Arial" w:cs="Arial"/>
                <w:sz w:val="14"/>
              </w:rPr>
              <w:t xml:space="preserve">Sample ID </w:t>
            </w:r>
          </w:p>
        </w:tc>
        <w:tc>
          <w:tcPr>
            <w:tcW w:w="462" w:type="dxa"/>
            <w:tcBorders>
              <w:top w:val="single" w:sz="4" w:space="0" w:color="000000"/>
              <w:left w:val="single" w:sz="4" w:space="0" w:color="000000"/>
              <w:bottom w:val="single" w:sz="4" w:space="0" w:color="000000"/>
              <w:right w:val="single" w:sz="4" w:space="0" w:color="000000"/>
            </w:tcBorders>
            <w:vAlign w:val="center"/>
          </w:tcPr>
          <w:p w14:paraId="408D5E5C" w14:textId="77777777" w:rsidR="000B3C5C" w:rsidRDefault="00ED192D">
            <w:pPr>
              <w:spacing w:after="0" w:line="259" w:lineRule="auto"/>
              <w:ind w:left="90" w:firstLine="0"/>
            </w:pPr>
            <w:r>
              <w:rPr>
                <w:rFonts w:ascii="Arial" w:eastAsia="Arial" w:hAnsi="Arial" w:cs="Arial"/>
                <w:sz w:val="14"/>
              </w:rPr>
              <w:t>P00</w:t>
            </w:r>
            <w:r>
              <w:rPr>
                <w:rFonts w:ascii="Arial" w:eastAsia="Arial" w:hAnsi="Arial" w:cs="Arial"/>
                <w:i/>
                <w:color w:val="0000FF"/>
                <w:sz w:val="21"/>
                <w:vertAlign w:val="superscript"/>
              </w:rPr>
              <w:t>b</w:t>
            </w:r>
          </w:p>
        </w:tc>
        <w:tc>
          <w:tcPr>
            <w:tcW w:w="44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A69C1B2" w14:textId="77777777" w:rsidR="000B3C5C" w:rsidRDefault="00ED192D">
            <w:pPr>
              <w:spacing w:after="0" w:line="259" w:lineRule="auto"/>
              <w:ind w:left="23" w:firstLine="0"/>
              <w:jc w:val="center"/>
            </w:pPr>
            <w:r>
              <w:rPr>
                <w:rFonts w:ascii="Arial" w:eastAsia="Arial" w:hAnsi="Arial" w:cs="Arial"/>
                <w:sz w:val="14"/>
              </w:rPr>
              <w:t xml:space="preserve">- </w:t>
            </w:r>
          </w:p>
        </w:tc>
        <w:tc>
          <w:tcPr>
            <w:tcW w:w="48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6388E14" w14:textId="77777777" w:rsidR="000B3C5C" w:rsidRDefault="00ED192D">
            <w:pPr>
              <w:spacing w:after="0" w:line="259" w:lineRule="auto"/>
              <w:ind w:left="35" w:firstLine="0"/>
              <w:jc w:val="center"/>
            </w:pPr>
            <w:r>
              <w:rPr>
                <w:rFonts w:ascii="Arial" w:eastAsia="Arial" w:hAnsi="Arial" w:cs="Arial"/>
                <w:sz w:val="14"/>
              </w:rPr>
              <w:t xml:space="preserve">- </w:t>
            </w:r>
          </w:p>
        </w:tc>
        <w:tc>
          <w:tcPr>
            <w:tcW w:w="540" w:type="dxa"/>
            <w:gridSpan w:val="2"/>
            <w:tcBorders>
              <w:top w:val="single" w:sz="4" w:space="0" w:color="000000"/>
              <w:left w:val="single" w:sz="4" w:space="0" w:color="000000"/>
              <w:bottom w:val="single" w:sz="4" w:space="0" w:color="000000"/>
              <w:right w:val="single" w:sz="4" w:space="0" w:color="000000"/>
            </w:tcBorders>
            <w:vAlign w:val="center"/>
          </w:tcPr>
          <w:p w14:paraId="12AF4287" w14:textId="77777777" w:rsidR="000B3C5C" w:rsidRDefault="00ED192D">
            <w:pPr>
              <w:spacing w:after="0" w:line="259" w:lineRule="auto"/>
              <w:ind w:left="29" w:firstLine="0"/>
              <w:jc w:val="center"/>
            </w:pPr>
            <w:r>
              <w:rPr>
                <w:rFonts w:ascii="Arial" w:eastAsia="Arial" w:hAnsi="Arial" w:cs="Arial"/>
                <w:sz w:val="14"/>
              </w:rPr>
              <w:t>P01</w:t>
            </w:r>
            <w:r>
              <w:rPr>
                <w:rFonts w:ascii="Arial" w:eastAsia="Arial" w:hAnsi="Arial" w:cs="Arial"/>
                <w:i/>
                <w:color w:val="0000FF"/>
                <w:sz w:val="21"/>
                <w:vertAlign w:val="superscript"/>
              </w:rPr>
              <w:t>f</w:t>
            </w:r>
          </w:p>
        </w:tc>
        <w:tc>
          <w:tcPr>
            <w:tcW w:w="632" w:type="dxa"/>
            <w:tcBorders>
              <w:top w:val="single" w:sz="4" w:space="0" w:color="000000"/>
              <w:left w:val="single" w:sz="4" w:space="0" w:color="000000"/>
              <w:bottom w:val="single" w:sz="4" w:space="0" w:color="000000"/>
              <w:right w:val="single" w:sz="4" w:space="0" w:color="000000"/>
            </w:tcBorders>
            <w:vAlign w:val="center"/>
          </w:tcPr>
          <w:p w14:paraId="6897DD6D" w14:textId="77777777" w:rsidR="000B3C5C" w:rsidRDefault="00ED192D">
            <w:pPr>
              <w:spacing w:after="0" w:line="259" w:lineRule="auto"/>
              <w:ind w:left="27" w:firstLine="0"/>
              <w:jc w:val="center"/>
            </w:pPr>
            <w:r>
              <w:rPr>
                <w:rFonts w:ascii="Arial" w:eastAsia="Arial" w:hAnsi="Arial" w:cs="Arial"/>
                <w:sz w:val="14"/>
              </w:rPr>
              <w:t xml:space="preserve">P02 </w:t>
            </w:r>
          </w:p>
        </w:tc>
        <w:tc>
          <w:tcPr>
            <w:tcW w:w="548" w:type="dxa"/>
            <w:tcBorders>
              <w:top w:val="single" w:sz="4" w:space="0" w:color="000000"/>
              <w:left w:val="single" w:sz="4" w:space="0" w:color="000000"/>
              <w:bottom w:val="single" w:sz="4" w:space="0" w:color="000000"/>
              <w:right w:val="single" w:sz="4" w:space="0" w:color="000000"/>
            </w:tcBorders>
            <w:vAlign w:val="center"/>
          </w:tcPr>
          <w:p w14:paraId="25169B21" w14:textId="77777777" w:rsidR="000B3C5C" w:rsidRDefault="00ED192D">
            <w:pPr>
              <w:spacing w:after="0" w:line="259" w:lineRule="auto"/>
              <w:ind w:left="33" w:firstLine="0"/>
              <w:jc w:val="center"/>
            </w:pPr>
            <w:r>
              <w:rPr>
                <w:rFonts w:ascii="Arial" w:eastAsia="Arial" w:hAnsi="Arial" w:cs="Arial"/>
                <w:sz w:val="14"/>
              </w:rPr>
              <w:t xml:space="preserve">P03 </w:t>
            </w:r>
          </w:p>
        </w:tc>
        <w:tc>
          <w:tcPr>
            <w:tcW w:w="1139" w:type="dxa"/>
            <w:tcBorders>
              <w:top w:val="single" w:sz="4" w:space="0" w:color="000000"/>
              <w:left w:val="single" w:sz="4" w:space="0" w:color="000000"/>
              <w:bottom w:val="single" w:sz="4" w:space="0" w:color="000000"/>
              <w:right w:val="single" w:sz="4" w:space="0" w:color="000000"/>
            </w:tcBorders>
            <w:vAlign w:val="center"/>
          </w:tcPr>
          <w:p w14:paraId="6F4A167B" w14:textId="77777777" w:rsidR="000B3C5C" w:rsidRDefault="00ED192D">
            <w:pPr>
              <w:spacing w:after="0" w:line="259" w:lineRule="auto"/>
              <w:ind w:left="33" w:firstLine="0"/>
              <w:jc w:val="center"/>
            </w:pPr>
            <w:r>
              <w:rPr>
                <w:rFonts w:ascii="Arial" w:eastAsia="Arial" w:hAnsi="Arial" w:cs="Arial"/>
                <w:sz w:val="14"/>
              </w:rPr>
              <w:t>P04</w:t>
            </w:r>
            <w:r>
              <w:rPr>
                <w:rFonts w:ascii="Arial" w:eastAsia="Arial" w:hAnsi="Arial" w:cs="Arial"/>
                <w:i/>
                <w:color w:val="0000FF"/>
                <w:sz w:val="14"/>
              </w:rPr>
              <w:t>d,g</w:t>
            </w:r>
          </w:p>
        </w:tc>
        <w:tc>
          <w:tcPr>
            <w:tcW w:w="554" w:type="dxa"/>
            <w:tcBorders>
              <w:top w:val="single" w:sz="4" w:space="0" w:color="000000"/>
              <w:left w:val="single" w:sz="4" w:space="0" w:color="000000"/>
              <w:bottom w:val="single" w:sz="4" w:space="0" w:color="000000"/>
              <w:right w:val="single" w:sz="4" w:space="0" w:color="000000"/>
            </w:tcBorders>
            <w:vAlign w:val="center"/>
          </w:tcPr>
          <w:p w14:paraId="084D5031" w14:textId="77777777" w:rsidR="000B3C5C" w:rsidRDefault="00ED192D">
            <w:pPr>
              <w:spacing w:after="0" w:line="259" w:lineRule="auto"/>
              <w:ind w:left="34" w:firstLine="0"/>
              <w:jc w:val="center"/>
            </w:pPr>
            <w:r>
              <w:rPr>
                <w:rFonts w:ascii="Arial" w:eastAsia="Arial" w:hAnsi="Arial" w:cs="Arial"/>
                <w:sz w:val="14"/>
              </w:rPr>
              <w:t>P05</w:t>
            </w:r>
            <w:r>
              <w:rPr>
                <w:rFonts w:ascii="Arial" w:eastAsia="Arial" w:hAnsi="Arial" w:cs="Arial"/>
                <w:i/>
                <w:color w:val="0000FF"/>
                <w:sz w:val="21"/>
                <w:vertAlign w:val="superscript"/>
              </w:rPr>
              <w:t>g</w:t>
            </w:r>
          </w:p>
        </w:tc>
        <w:tc>
          <w:tcPr>
            <w:tcW w:w="476" w:type="dxa"/>
            <w:tcBorders>
              <w:top w:val="single" w:sz="4" w:space="0" w:color="000000"/>
              <w:left w:val="single" w:sz="4" w:space="0" w:color="000000"/>
              <w:bottom w:val="single" w:sz="4" w:space="0" w:color="000000"/>
              <w:right w:val="single" w:sz="4" w:space="0" w:color="000000"/>
            </w:tcBorders>
            <w:vAlign w:val="center"/>
          </w:tcPr>
          <w:p w14:paraId="190A23AC" w14:textId="77777777" w:rsidR="000B3C5C" w:rsidRDefault="00ED192D">
            <w:pPr>
              <w:spacing w:after="0" w:line="259" w:lineRule="auto"/>
              <w:ind w:left="108" w:firstLine="0"/>
            </w:pPr>
            <w:r>
              <w:rPr>
                <w:rFonts w:ascii="Arial" w:eastAsia="Arial" w:hAnsi="Arial" w:cs="Arial"/>
                <w:sz w:val="14"/>
              </w:rPr>
              <w:t>P06</w:t>
            </w:r>
            <w:r>
              <w:rPr>
                <w:rFonts w:ascii="Arial" w:eastAsia="Arial" w:hAnsi="Arial" w:cs="Arial"/>
                <w:i/>
                <w:color w:val="0000FF"/>
                <w:sz w:val="21"/>
                <w:vertAlign w:val="superscript"/>
              </w:rPr>
              <w:t>f</w:t>
            </w:r>
          </w:p>
        </w:tc>
        <w:tc>
          <w:tcPr>
            <w:tcW w:w="569" w:type="dxa"/>
            <w:gridSpan w:val="2"/>
            <w:tcBorders>
              <w:top w:val="single" w:sz="4" w:space="0" w:color="000000"/>
              <w:left w:val="single" w:sz="4" w:space="0" w:color="000000"/>
              <w:bottom w:val="single" w:sz="4" w:space="0" w:color="000000"/>
              <w:right w:val="single" w:sz="4" w:space="0" w:color="000000"/>
            </w:tcBorders>
            <w:vAlign w:val="center"/>
          </w:tcPr>
          <w:p w14:paraId="350735FB" w14:textId="77777777" w:rsidR="000B3C5C" w:rsidRDefault="00ED192D">
            <w:pPr>
              <w:spacing w:after="0" w:line="259" w:lineRule="auto"/>
              <w:ind w:left="69" w:firstLine="0"/>
            </w:pPr>
            <w:r>
              <w:rPr>
                <w:rFonts w:ascii="Arial" w:eastAsia="Arial" w:hAnsi="Arial" w:cs="Arial"/>
                <w:sz w:val="14"/>
              </w:rPr>
              <w:t>P00</w:t>
            </w:r>
            <w:r>
              <w:rPr>
                <w:rFonts w:ascii="Arial" w:eastAsia="Arial" w:hAnsi="Arial" w:cs="Arial"/>
                <w:i/>
                <w:color w:val="0000FF"/>
                <w:sz w:val="14"/>
              </w:rPr>
              <w:t>b, g</w:t>
            </w:r>
          </w:p>
        </w:tc>
        <w:tc>
          <w:tcPr>
            <w:tcW w:w="43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0AEB65F" w14:textId="77777777" w:rsidR="000B3C5C" w:rsidRDefault="00ED192D">
            <w:pPr>
              <w:spacing w:after="0" w:line="259" w:lineRule="auto"/>
              <w:ind w:left="10" w:firstLine="0"/>
              <w:jc w:val="center"/>
            </w:pPr>
            <w:r>
              <w:rPr>
                <w:rFonts w:ascii="Arial" w:eastAsia="Arial" w:hAnsi="Arial" w:cs="Arial"/>
                <w:sz w:val="14"/>
              </w:rPr>
              <w:t xml:space="preserve">- </w:t>
            </w:r>
          </w:p>
        </w:tc>
        <w:tc>
          <w:tcPr>
            <w:tcW w:w="662" w:type="dxa"/>
            <w:tcBorders>
              <w:top w:val="single" w:sz="4" w:space="0" w:color="000000"/>
              <w:left w:val="single" w:sz="4" w:space="0" w:color="000000"/>
              <w:bottom w:val="single" w:sz="4" w:space="0" w:color="000000"/>
              <w:right w:val="single" w:sz="4" w:space="0" w:color="000000"/>
            </w:tcBorders>
            <w:vAlign w:val="center"/>
          </w:tcPr>
          <w:p w14:paraId="799752B2" w14:textId="77777777" w:rsidR="000B3C5C" w:rsidRDefault="00ED192D">
            <w:pPr>
              <w:spacing w:after="0" w:line="259" w:lineRule="auto"/>
              <w:ind w:left="26" w:firstLine="0"/>
              <w:jc w:val="center"/>
            </w:pPr>
            <w:r>
              <w:rPr>
                <w:rFonts w:ascii="Arial" w:eastAsia="Arial" w:hAnsi="Arial" w:cs="Arial"/>
                <w:sz w:val="14"/>
              </w:rPr>
              <w:t>P01</w:t>
            </w:r>
            <w:r>
              <w:rPr>
                <w:rFonts w:ascii="Arial" w:eastAsia="Arial" w:hAnsi="Arial" w:cs="Arial"/>
                <w:i/>
                <w:color w:val="0000FF"/>
                <w:sz w:val="21"/>
                <w:vertAlign w:val="superscript"/>
              </w:rPr>
              <w:t>f</w:t>
            </w:r>
          </w:p>
        </w:tc>
        <w:tc>
          <w:tcPr>
            <w:tcW w:w="538" w:type="dxa"/>
            <w:tcBorders>
              <w:top w:val="single" w:sz="4" w:space="0" w:color="000000"/>
              <w:left w:val="single" w:sz="4" w:space="0" w:color="000000"/>
              <w:bottom w:val="single" w:sz="4" w:space="0" w:color="000000"/>
              <w:right w:val="single" w:sz="4" w:space="0" w:color="000000"/>
            </w:tcBorders>
            <w:vAlign w:val="center"/>
          </w:tcPr>
          <w:p w14:paraId="3D4C5DFE" w14:textId="77777777" w:rsidR="000B3C5C" w:rsidRDefault="00ED192D">
            <w:pPr>
              <w:spacing w:after="0" w:line="259" w:lineRule="auto"/>
              <w:ind w:left="77" w:firstLine="0"/>
            </w:pPr>
            <w:r>
              <w:rPr>
                <w:rFonts w:ascii="Arial" w:eastAsia="Arial" w:hAnsi="Arial" w:cs="Arial"/>
                <w:sz w:val="14"/>
              </w:rPr>
              <w:t>P00</w:t>
            </w:r>
            <w:r>
              <w:rPr>
                <w:rFonts w:ascii="Arial" w:eastAsia="Arial" w:hAnsi="Arial" w:cs="Arial"/>
                <w:i/>
                <w:color w:val="0000FF"/>
                <w:sz w:val="14"/>
              </w:rPr>
              <w:t>b, g</w:t>
            </w:r>
          </w:p>
        </w:tc>
        <w:tc>
          <w:tcPr>
            <w:tcW w:w="440" w:type="dxa"/>
            <w:tcBorders>
              <w:top w:val="single" w:sz="4" w:space="0" w:color="000000"/>
              <w:left w:val="single" w:sz="4" w:space="0" w:color="000000"/>
              <w:bottom w:val="single" w:sz="4" w:space="0" w:color="000000"/>
              <w:right w:val="nil"/>
            </w:tcBorders>
            <w:shd w:val="clear" w:color="auto" w:fill="BFBFBF"/>
            <w:vAlign w:val="center"/>
          </w:tcPr>
          <w:p w14:paraId="35BE9F55" w14:textId="77777777" w:rsidR="000B3C5C" w:rsidRDefault="00ED192D">
            <w:pPr>
              <w:spacing w:after="0" w:line="259" w:lineRule="auto"/>
              <w:ind w:left="144" w:firstLine="0"/>
              <w:jc w:val="center"/>
            </w:pPr>
            <w:r>
              <w:rPr>
                <w:rFonts w:ascii="Arial" w:eastAsia="Arial" w:hAnsi="Arial" w:cs="Arial"/>
                <w:sz w:val="14"/>
              </w:rPr>
              <w:t>-</w:t>
            </w:r>
            <w:r>
              <w:rPr>
                <w:rFonts w:ascii="Calibri" w:eastAsia="Calibri" w:hAnsi="Calibri" w:cs="Calibri"/>
                <w:sz w:val="14"/>
              </w:rPr>
              <w:t xml:space="preserve"> </w:t>
            </w:r>
          </w:p>
        </w:tc>
        <w:tc>
          <w:tcPr>
            <w:tcW w:w="108" w:type="dxa"/>
            <w:tcBorders>
              <w:top w:val="single" w:sz="4" w:space="0" w:color="000000"/>
              <w:left w:val="nil"/>
              <w:bottom w:val="single" w:sz="4" w:space="0" w:color="000000"/>
              <w:right w:val="single" w:sz="4" w:space="0" w:color="000000"/>
            </w:tcBorders>
            <w:shd w:val="clear" w:color="auto" w:fill="BFBFBF"/>
          </w:tcPr>
          <w:p w14:paraId="6CF35359" w14:textId="77777777" w:rsidR="000B3C5C" w:rsidRDefault="000B3C5C">
            <w:pPr>
              <w:spacing w:after="160" w:line="259" w:lineRule="auto"/>
              <w:ind w:left="0" w:firstLine="0"/>
            </w:pPr>
          </w:p>
        </w:tc>
        <w:tc>
          <w:tcPr>
            <w:tcW w:w="509" w:type="dxa"/>
            <w:tcBorders>
              <w:top w:val="single" w:sz="4" w:space="0" w:color="000000"/>
              <w:left w:val="single" w:sz="4" w:space="0" w:color="000000"/>
              <w:bottom w:val="single" w:sz="4" w:space="0" w:color="000000"/>
              <w:right w:val="single" w:sz="7" w:space="0" w:color="000000"/>
            </w:tcBorders>
          </w:tcPr>
          <w:p w14:paraId="4DD16482" w14:textId="77777777" w:rsidR="000B3C5C" w:rsidRDefault="00ED192D">
            <w:pPr>
              <w:spacing w:after="0" w:line="259" w:lineRule="auto"/>
              <w:ind w:left="77" w:right="5" w:firstLine="0"/>
              <w:jc w:val="center"/>
            </w:pPr>
            <w:r>
              <w:rPr>
                <w:rFonts w:ascii="Arial" w:eastAsia="Arial" w:hAnsi="Arial" w:cs="Arial"/>
                <w:sz w:val="14"/>
              </w:rPr>
              <w:t>P00</w:t>
            </w:r>
            <w:r>
              <w:rPr>
                <w:rFonts w:ascii="Arial" w:eastAsia="Arial" w:hAnsi="Arial" w:cs="Arial"/>
                <w:i/>
                <w:color w:val="0000FF"/>
                <w:sz w:val="14"/>
              </w:rPr>
              <w:t>b, g</w:t>
            </w:r>
            <w:r>
              <w:rPr>
                <w:rFonts w:ascii="Arial" w:eastAsia="Arial" w:hAnsi="Arial" w:cs="Arial"/>
                <w:sz w:val="14"/>
              </w:rPr>
              <w:t xml:space="preserve"> </w:t>
            </w:r>
          </w:p>
        </w:tc>
        <w:tc>
          <w:tcPr>
            <w:tcW w:w="615" w:type="dxa"/>
            <w:tcBorders>
              <w:top w:val="single" w:sz="4" w:space="0" w:color="000000"/>
              <w:left w:val="single" w:sz="7" w:space="0" w:color="000000"/>
              <w:bottom w:val="single" w:sz="4" w:space="0" w:color="000000"/>
              <w:right w:val="single" w:sz="4" w:space="0" w:color="000000"/>
            </w:tcBorders>
            <w:shd w:val="clear" w:color="auto" w:fill="BFBFBF"/>
            <w:vAlign w:val="center"/>
          </w:tcPr>
          <w:p w14:paraId="7509ADB5" w14:textId="77777777" w:rsidR="000B3C5C" w:rsidRDefault="00ED192D">
            <w:pPr>
              <w:spacing w:after="0" w:line="259" w:lineRule="auto"/>
              <w:ind w:left="45" w:firstLine="0"/>
              <w:jc w:val="center"/>
            </w:pPr>
            <w:r>
              <w:rPr>
                <w:rFonts w:ascii="Arial" w:eastAsia="Arial" w:hAnsi="Arial" w:cs="Arial"/>
                <w:sz w:val="14"/>
              </w:rPr>
              <w:t>-</w:t>
            </w:r>
            <w:r>
              <w:rPr>
                <w:rFonts w:ascii="Calibri" w:eastAsia="Calibri" w:hAnsi="Calibri" w:cs="Calibri"/>
                <w:sz w:val="14"/>
              </w:rPr>
              <w:t xml:space="preserve"> </w:t>
            </w:r>
          </w:p>
        </w:tc>
        <w:tc>
          <w:tcPr>
            <w:tcW w:w="482" w:type="dxa"/>
            <w:tcBorders>
              <w:top w:val="single" w:sz="4" w:space="0" w:color="000000"/>
              <w:left w:val="single" w:sz="4" w:space="0" w:color="000000"/>
              <w:bottom w:val="single" w:sz="4" w:space="0" w:color="000000"/>
              <w:right w:val="single" w:sz="4" w:space="0" w:color="000000"/>
            </w:tcBorders>
            <w:vAlign w:val="center"/>
          </w:tcPr>
          <w:p w14:paraId="0F59FAD5" w14:textId="77777777" w:rsidR="000B3C5C" w:rsidRDefault="00ED192D">
            <w:pPr>
              <w:spacing w:after="0" w:line="259" w:lineRule="auto"/>
              <w:ind w:left="36" w:firstLine="0"/>
              <w:jc w:val="center"/>
            </w:pPr>
            <w:r>
              <w:rPr>
                <w:rFonts w:ascii="Arial" w:eastAsia="Arial" w:hAnsi="Arial" w:cs="Arial"/>
                <w:sz w:val="14"/>
              </w:rPr>
              <w:t>P01</w:t>
            </w:r>
            <w:r>
              <w:rPr>
                <w:rFonts w:ascii="Arial" w:eastAsia="Arial" w:hAnsi="Arial" w:cs="Arial"/>
                <w:i/>
                <w:color w:val="0000FF"/>
                <w:sz w:val="21"/>
                <w:vertAlign w:val="superscript"/>
              </w:rPr>
              <w:t>f</w:t>
            </w:r>
          </w:p>
        </w:tc>
        <w:tc>
          <w:tcPr>
            <w:tcW w:w="656" w:type="dxa"/>
            <w:tcBorders>
              <w:top w:val="single" w:sz="4" w:space="0" w:color="000000"/>
              <w:left w:val="single" w:sz="4" w:space="0" w:color="000000"/>
              <w:bottom w:val="single" w:sz="4" w:space="0" w:color="000000"/>
              <w:right w:val="single" w:sz="7" w:space="0" w:color="000000"/>
            </w:tcBorders>
            <w:vAlign w:val="center"/>
          </w:tcPr>
          <w:p w14:paraId="09F87D72" w14:textId="77777777" w:rsidR="000B3C5C" w:rsidRDefault="00ED192D">
            <w:pPr>
              <w:spacing w:after="0" w:line="259" w:lineRule="auto"/>
              <w:ind w:left="33" w:firstLine="0"/>
              <w:jc w:val="center"/>
            </w:pPr>
            <w:r>
              <w:rPr>
                <w:rFonts w:ascii="Arial" w:eastAsia="Arial" w:hAnsi="Arial" w:cs="Arial"/>
                <w:sz w:val="14"/>
              </w:rPr>
              <w:t xml:space="preserve">P02 </w:t>
            </w:r>
          </w:p>
        </w:tc>
        <w:tc>
          <w:tcPr>
            <w:tcW w:w="697" w:type="dxa"/>
            <w:tcBorders>
              <w:top w:val="single" w:sz="4" w:space="0" w:color="000000"/>
              <w:left w:val="single" w:sz="7" w:space="0" w:color="000000"/>
              <w:bottom w:val="single" w:sz="4" w:space="0" w:color="000000"/>
              <w:right w:val="single" w:sz="7" w:space="0" w:color="000000"/>
            </w:tcBorders>
            <w:vAlign w:val="center"/>
          </w:tcPr>
          <w:p w14:paraId="1CF13D82" w14:textId="77777777" w:rsidR="000B3C5C" w:rsidRDefault="00ED192D">
            <w:pPr>
              <w:spacing w:after="0" w:line="259" w:lineRule="auto"/>
              <w:ind w:left="38" w:firstLine="0"/>
              <w:jc w:val="center"/>
            </w:pPr>
            <w:r>
              <w:rPr>
                <w:rFonts w:ascii="Arial" w:eastAsia="Arial" w:hAnsi="Arial" w:cs="Arial"/>
                <w:sz w:val="14"/>
              </w:rPr>
              <w:t>P00</w:t>
            </w:r>
            <w:r>
              <w:rPr>
                <w:rFonts w:ascii="Arial" w:eastAsia="Arial" w:hAnsi="Arial" w:cs="Arial"/>
                <w:i/>
                <w:color w:val="0000FF"/>
                <w:sz w:val="14"/>
              </w:rPr>
              <w:t>b, g</w:t>
            </w:r>
          </w:p>
        </w:tc>
        <w:tc>
          <w:tcPr>
            <w:tcW w:w="625" w:type="dxa"/>
            <w:tcBorders>
              <w:top w:val="single" w:sz="4" w:space="0" w:color="000000"/>
              <w:left w:val="single" w:sz="7" w:space="0" w:color="000000"/>
              <w:bottom w:val="single" w:sz="4" w:space="0" w:color="000000"/>
              <w:right w:val="single" w:sz="4" w:space="0" w:color="000000"/>
            </w:tcBorders>
            <w:shd w:val="clear" w:color="auto" w:fill="BFBFBF"/>
            <w:vAlign w:val="center"/>
          </w:tcPr>
          <w:p w14:paraId="6DD15574" w14:textId="77777777" w:rsidR="000B3C5C" w:rsidRDefault="00ED192D">
            <w:pPr>
              <w:spacing w:after="0" w:line="259" w:lineRule="auto"/>
              <w:ind w:left="37" w:firstLine="0"/>
              <w:jc w:val="center"/>
            </w:pPr>
            <w:r>
              <w:rPr>
                <w:sz w:val="14"/>
              </w:rPr>
              <w:t>-</w:t>
            </w:r>
            <w:r>
              <w:rPr>
                <w:rFonts w:ascii="Arial" w:eastAsia="Arial" w:hAnsi="Arial" w:cs="Arial"/>
                <w:sz w:val="14"/>
              </w:rPr>
              <w:t xml:space="preserve"> </w:t>
            </w:r>
          </w:p>
        </w:tc>
        <w:tc>
          <w:tcPr>
            <w:tcW w:w="564"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12C829F2" w14:textId="77777777" w:rsidR="000B3C5C" w:rsidRDefault="00ED192D">
            <w:pPr>
              <w:spacing w:after="0" w:line="259" w:lineRule="auto"/>
              <w:ind w:left="30" w:firstLine="0"/>
              <w:jc w:val="center"/>
            </w:pPr>
            <w:r>
              <w:rPr>
                <w:rFonts w:ascii="Arial" w:eastAsia="Arial" w:hAnsi="Arial" w:cs="Arial"/>
                <w:sz w:val="14"/>
              </w:rPr>
              <w:t xml:space="preserve">- </w:t>
            </w:r>
          </w:p>
        </w:tc>
        <w:tc>
          <w:tcPr>
            <w:tcW w:w="6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3FDE47C" w14:textId="77777777" w:rsidR="000B3C5C" w:rsidRDefault="00ED192D">
            <w:pPr>
              <w:spacing w:after="0" w:line="259" w:lineRule="auto"/>
              <w:ind w:left="11" w:firstLine="0"/>
              <w:jc w:val="center"/>
            </w:pPr>
            <w:r>
              <w:rPr>
                <w:rFonts w:ascii="Arial" w:eastAsia="Arial" w:hAnsi="Arial" w:cs="Arial"/>
                <w:sz w:val="14"/>
              </w:rPr>
              <w:t xml:space="preserve">- </w:t>
            </w:r>
          </w:p>
        </w:tc>
      </w:tr>
      <w:tr w:rsidR="000B3C5C" w14:paraId="2B43B8DA" w14:textId="77777777">
        <w:trPr>
          <w:trHeight w:val="353"/>
        </w:trPr>
        <w:tc>
          <w:tcPr>
            <w:tcW w:w="2232" w:type="dxa"/>
            <w:gridSpan w:val="3"/>
            <w:tcBorders>
              <w:top w:val="single" w:sz="4" w:space="0" w:color="000000"/>
              <w:left w:val="single" w:sz="4" w:space="0" w:color="000000"/>
              <w:bottom w:val="single" w:sz="4" w:space="0" w:color="000000"/>
              <w:right w:val="nil"/>
            </w:tcBorders>
          </w:tcPr>
          <w:p w14:paraId="6C2D1794" w14:textId="77777777" w:rsidR="000B3C5C" w:rsidRDefault="00ED192D">
            <w:pPr>
              <w:spacing w:after="0" w:line="259" w:lineRule="auto"/>
              <w:ind w:left="72" w:firstLine="0"/>
            </w:pPr>
            <w:r>
              <w:rPr>
                <w:rFonts w:ascii="Arial" w:eastAsia="Arial" w:hAnsi="Arial" w:cs="Arial"/>
                <w:b/>
                <w:sz w:val="14"/>
              </w:rPr>
              <w:t xml:space="preserve">Immunogenicity (ADA) </w:t>
            </w:r>
            <w:r>
              <w:rPr>
                <w:rFonts w:ascii="Arial" w:eastAsia="Arial" w:hAnsi="Arial" w:cs="Arial"/>
                <w:b/>
                <w:i/>
                <w:color w:val="0000FF"/>
                <w:sz w:val="21"/>
                <w:vertAlign w:val="superscript"/>
              </w:rPr>
              <w:t>a, e ,i</w:t>
            </w:r>
          </w:p>
        </w:tc>
        <w:tc>
          <w:tcPr>
            <w:tcW w:w="1022" w:type="dxa"/>
            <w:gridSpan w:val="3"/>
            <w:tcBorders>
              <w:top w:val="single" w:sz="4" w:space="0" w:color="000000"/>
              <w:left w:val="nil"/>
              <w:bottom w:val="single" w:sz="4" w:space="0" w:color="000000"/>
              <w:right w:val="nil"/>
            </w:tcBorders>
          </w:tcPr>
          <w:p w14:paraId="18EE7F74"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tcPr>
          <w:p w14:paraId="109C5431" w14:textId="77777777" w:rsidR="000B3C5C" w:rsidRDefault="000B3C5C">
            <w:pPr>
              <w:spacing w:after="160" w:line="259" w:lineRule="auto"/>
              <w:ind w:left="0" w:firstLine="0"/>
            </w:pPr>
          </w:p>
        </w:tc>
        <w:tc>
          <w:tcPr>
            <w:tcW w:w="1139" w:type="dxa"/>
            <w:tcBorders>
              <w:top w:val="single" w:sz="4" w:space="0" w:color="000000"/>
              <w:left w:val="nil"/>
              <w:bottom w:val="single" w:sz="4" w:space="0" w:color="000000"/>
              <w:right w:val="nil"/>
            </w:tcBorders>
          </w:tcPr>
          <w:p w14:paraId="5856A77A" w14:textId="77777777" w:rsidR="000B3C5C" w:rsidRDefault="000B3C5C">
            <w:pPr>
              <w:spacing w:after="160" w:line="259" w:lineRule="auto"/>
              <w:ind w:left="0" w:firstLine="0"/>
            </w:pPr>
          </w:p>
        </w:tc>
        <w:tc>
          <w:tcPr>
            <w:tcW w:w="1031" w:type="dxa"/>
            <w:gridSpan w:val="2"/>
            <w:tcBorders>
              <w:top w:val="single" w:sz="4" w:space="0" w:color="000000"/>
              <w:left w:val="nil"/>
              <w:bottom w:val="single" w:sz="4" w:space="0" w:color="000000"/>
              <w:right w:val="nil"/>
            </w:tcBorders>
          </w:tcPr>
          <w:p w14:paraId="0F63DEB2" w14:textId="77777777" w:rsidR="000B3C5C" w:rsidRDefault="000B3C5C">
            <w:pPr>
              <w:spacing w:after="160" w:line="259" w:lineRule="auto"/>
              <w:ind w:left="0" w:firstLine="0"/>
            </w:pPr>
          </w:p>
        </w:tc>
        <w:tc>
          <w:tcPr>
            <w:tcW w:w="1670" w:type="dxa"/>
            <w:gridSpan w:val="4"/>
            <w:tcBorders>
              <w:top w:val="single" w:sz="4" w:space="0" w:color="000000"/>
              <w:left w:val="nil"/>
              <w:bottom w:val="single" w:sz="4" w:space="0" w:color="000000"/>
              <w:right w:val="nil"/>
            </w:tcBorders>
          </w:tcPr>
          <w:p w14:paraId="0563114F" w14:textId="77777777" w:rsidR="000B3C5C" w:rsidRDefault="000B3C5C">
            <w:pPr>
              <w:spacing w:after="160" w:line="259" w:lineRule="auto"/>
              <w:ind w:left="0" w:firstLine="0"/>
            </w:pPr>
          </w:p>
        </w:tc>
        <w:tc>
          <w:tcPr>
            <w:tcW w:w="978" w:type="dxa"/>
            <w:gridSpan w:val="2"/>
            <w:tcBorders>
              <w:top w:val="single" w:sz="4" w:space="0" w:color="000000"/>
              <w:left w:val="nil"/>
              <w:bottom w:val="single" w:sz="4" w:space="0" w:color="000000"/>
              <w:right w:val="nil"/>
            </w:tcBorders>
          </w:tcPr>
          <w:p w14:paraId="449BB17B" w14:textId="77777777" w:rsidR="000B3C5C" w:rsidRDefault="000B3C5C">
            <w:pPr>
              <w:spacing w:after="160" w:line="259" w:lineRule="auto"/>
              <w:ind w:left="0" w:firstLine="0"/>
            </w:pPr>
          </w:p>
        </w:tc>
        <w:tc>
          <w:tcPr>
            <w:tcW w:w="617" w:type="dxa"/>
            <w:gridSpan w:val="2"/>
            <w:tcBorders>
              <w:top w:val="single" w:sz="4" w:space="0" w:color="000000"/>
              <w:left w:val="nil"/>
              <w:bottom w:val="single" w:sz="4" w:space="0" w:color="000000"/>
              <w:right w:val="nil"/>
            </w:tcBorders>
          </w:tcPr>
          <w:p w14:paraId="23F494DA" w14:textId="77777777" w:rsidR="000B3C5C" w:rsidRDefault="000B3C5C">
            <w:pPr>
              <w:spacing w:after="160" w:line="259" w:lineRule="auto"/>
              <w:ind w:left="0" w:firstLine="0"/>
            </w:pPr>
          </w:p>
        </w:tc>
        <w:tc>
          <w:tcPr>
            <w:tcW w:w="1097" w:type="dxa"/>
            <w:gridSpan w:val="2"/>
            <w:tcBorders>
              <w:top w:val="single" w:sz="4" w:space="0" w:color="000000"/>
              <w:left w:val="nil"/>
              <w:bottom w:val="single" w:sz="4" w:space="0" w:color="000000"/>
              <w:right w:val="nil"/>
            </w:tcBorders>
          </w:tcPr>
          <w:p w14:paraId="78FF2883" w14:textId="77777777" w:rsidR="000B3C5C" w:rsidRDefault="000B3C5C">
            <w:pPr>
              <w:spacing w:after="160" w:line="259" w:lineRule="auto"/>
              <w:ind w:left="0" w:firstLine="0"/>
            </w:pPr>
          </w:p>
        </w:tc>
        <w:tc>
          <w:tcPr>
            <w:tcW w:w="656" w:type="dxa"/>
            <w:tcBorders>
              <w:top w:val="single" w:sz="4" w:space="0" w:color="000000"/>
              <w:left w:val="nil"/>
              <w:bottom w:val="single" w:sz="4" w:space="0" w:color="000000"/>
              <w:right w:val="nil"/>
            </w:tcBorders>
          </w:tcPr>
          <w:p w14:paraId="6FC22811" w14:textId="77777777" w:rsidR="000B3C5C" w:rsidRDefault="000B3C5C">
            <w:pPr>
              <w:spacing w:after="160" w:line="259" w:lineRule="auto"/>
              <w:ind w:left="0" w:firstLine="0"/>
            </w:pPr>
          </w:p>
        </w:tc>
        <w:tc>
          <w:tcPr>
            <w:tcW w:w="2537" w:type="dxa"/>
            <w:gridSpan w:val="5"/>
            <w:tcBorders>
              <w:top w:val="single" w:sz="4" w:space="0" w:color="000000"/>
              <w:left w:val="nil"/>
              <w:bottom w:val="single" w:sz="4" w:space="0" w:color="000000"/>
              <w:right w:val="single" w:sz="4" w:space="0" w:color="000000"/>
            </w:tcBorders>
          </w:tcPr>
          <w:p w14:paraId="06880565" w14:textId="77777777" w:rsidR="000B3C5C" w:rsidRDefault="000B3C5C">
            <w:pPr>
              <w:spacing w:after="160" w:line="259" w:lineRule="auto"/>
              <w:ind w:left="0" w:firstLine="0"/>
            </w:pPr>
          </w:p>
        </w:tc>
      </w:tr>
      <w:tr w:rsidR="000B3C5C" w14:paraId="4935CE94" w14:textId="77777777">
        <w:trPr>
          <w:trHeight w:val="510"/>
        </w:trPr>
        <w:tc>
          <w:tcPr>
            <w:tcW w:w="1328" w:type="dxa"/>
            <w:tcBorders>
              <w:top w:val="single" w:sz="4" w:space="0" w:color="000000"/>
              <w:left w:val="single" w:sz="4" w:space="0" w:color="000000"/>
              <w:bottom w:val="single" w:sz="4" w:space="0" w:color="000000"/>
              <w:right w:val="single" w:sz="4" w:space="0" w:color="000000"/>
            </w:tcBorders>
            <w:vAlign w:val="bottom"/>
          </w:tcPr>
          <w:p w14:paraId="60174FC5" w14:textId="77777777" w:rsidR="000B3C5C" w:rsidRDefault="00ED192D">
            <w:pPr>
              <w:spacing w:after="0" w:line="259" w:lineRule="auto"/>
              <w:ind w:left="72" w:firstLine="0"/>
            </w:pPr>
            <w:r>
              <w:rPr>
                <w:rFonts w:ascii="Arial" w:eastAsia="Arial" w:hAnsi="Arial" w:cs="Arial"/>
                <w:sz w:val="14"/>
              </w:rPr>
              <w:t xml:space="preserve">Atezolizumab  </w:t>
            </w:r>
            <w:r>
              <w:rPr>
                <w:rFonts w:ascii="Arial" w:eastAsia="Arial" w:hAnsi="Arial" w:cs="Arial"/>
                <w:i/>
                <w:color w:val="0000FF"/>
                <w:sz w:val="21"/>
                <w:vertAlign w:val="superscript"/>
              </w:rPr>
              <w:t xml:space="preserve">c, </w:t>
            </w:r>
            <w:r>
              <w:rPr>
                <w:rFonts w:ascii="Arial" w:eastAsia="Arial" w:hAnsi="Arial" w:cs="Arial"/>
                <w:i/>
                <w:color w:val="0000FF"/>
                <w:sz w:val="28"/>
                <w:vertAlign w:val="superscript"/>
              </w:rPr>
              <w:t>j</w:t>
            </w:r>
          </w:p>
        </w:tc>
        <w:tc>
          <w:tcPr>
            <w:tcW w:w="462" w:type="dxa"/>
            <w:tcBorders>
              <w:top w:val="single" w:sz="4" w:space="0" w:color="000000"/>
              <w:left w:val="single" w:sz="4" w:space="0" w:color="000000"/>
              <w:bottom w:val="single" w:sz="4" w:space="0" w:color="000000"/>
              <w:right w:val="single" w:sz="8" w:space="0" w:color="000000"/>
            </w:tcBorders>
            <w:vAlign w:val="center"/>
          </w:tcPr>
          <w:p w14:paraId="795C2AD4" w14:textId="77777777" w:rsidR="000B3C5C" w:rsidRDefault="00ED192D">
            <w:pPr>
              <w:spacing w:after="0" w:line="259" w:lineRule="auto"/>
              <w:ind w:left="85" w:firstLine="0"/>
            </w:pPr>
            <w:r>
              <w:rPr>
                <w:rFonts w:ascii="Arial" w:eastAsia="Arial" w:hAnsi="Arial" w:cs="Arial"/>
                <w:sz w:val="14"/>
              </w:rPr>
              <w:t>AS00</w:t>
            </w:r>
            <w:r>
              <w:rPr>
                <w:rFonts w:ascii="Arial" w:eastAsia="Arial" w:hAnsi="Arial" w:cs="Arial"/>
                <w:color w:val="0000FF"/>
                <w:sz w:val="14"/>
              </w:rPr>
              <w:t xml:space="preserve">  </w:t>
            </w:r>
          </w:p>
        </w:tc>
        <w:tc>
          <w:tcPr>
            <w:tcW w:w="442" w:type="dxa"/>
            <w:tcBorders>
              <w:top w:val="single" w:sz="4" w:space="0" w:color="000000"/>
              <w:left w:val="single" w:sz="8" w:space="0" w:color="000000"/>
              <w:bottom w:val="single" w:sz="4" w:space="0" w:color="000000"/>
              <w:right w:val="nil"/>
            </w:tcBorders>
            <w:shd w:val="clear" w:color="auto" w:fill="BFBFBF"/>
          </w:tcPr>
          <w:p w14:paraId="5FE4074B" w14:textId="77777777" w:rsidR="000B3C5C" w:rsidRDefault="000B3C5C">
            <w:pPr>
              <w:spacing w:after="160" w:line="259" w:lineRule="auto"/>
              <w:ind w:left="0" w:firstLine="0"/>
            </w:pPr>
          </w:p>
        </w:tc>
        <w:tc>
          <w:tcPr>
            <w:tcW w:w="1022" w:type="dxa"/>
            <w:gridSpan w:val="3"/>
            <w:tcBorders>
              <w:top w:val="single" w:sz="4" w:space="0" w:color="000000"/>
              <w:left w:val="nil"/>
              <w:bottom w:val="single" w:sz="4" w:space="0" w:color="000000"/>
              <w:right w:val="nil"/>
            </w:tcBorders>
            <w:shd w:val="clear" w:color="auto" w:fill="BFBFBF"/>
          </w:tcPr>
          <w:p w14:paraId="49F8A0E3"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shd w:val="clear" w:color="auto" w:fill="BFBFBF"/>
            <w:vAlign w:val="center"/>
          </w:tcPr>
          <w:p w14:paraId="6240F9BB" w14:textId="77777777" w:rsidR="000B3C5C" w:rsidRDefault="00ED192D">
            <w:pPr>
              <w:spacing w:after="0" w:line="259" w:lineRule="auto"/>
              <w:ind w:left="905" w:firstLine="0"/>
            </w:pPr>
            <w:r>
              <w:rPr>
                <w:rFonts w:ascii="Arial" w:eastAsia="Arial" w:hAnsi="Arial" w:cs="Arial"/>
                <w:sz w:val="14"/>
              </w:rPr>
              <w:t xml:space="preserve">- </w:t>
            </w:r>
          </w:p>
        </w:tc>
        <w:tc>
          <w:tcPr>
            <w:tcW w:w="1139" w:type="dxa"/>
            <w:tcBorders>
              <w:top w:val="single" w:sz="4" w:space="0" w:color="000000"/>
              <w:left w:val="nil"/>
              <w:bottom w:val="single" w:sz="4" w:space="0" w:color="000000"/>
              <w:right w:val="nil"/>
            </w:tcBorders>
            <w:shd w:val="clear" w:color="auto" w:fill="BFBFBF"/>
          </w:tcPr>
          <w:p w14:paraId="71B96FE5" w14:textId="77777777" w:rsidR="000B3C5C" w:rsidRDefault="000B3C5C">
            <w:pPr>
              <w:spacing w:after="160" w:line="259" w:lineRule="auto"/>
              <w:ind w:left="0" w:firstLine="0"/>
            </w:pPr>
          </w:p>
        </w:tc>
        <w:tc>
          <w:tcPr>
            <w:tcW w:w="1031" w:type="dxa"/>
            <w:gridSpan w:val="2"/>
            <w:tcBorders>
              <w:top w:val="single" w:sz="4" w:space="0" w:color="000000"/>
              <w:left w:val="nil"/>
              <w:bottom w:val="single" w:sz="4" w:space="0" w:color="000000"/>
              <w:right w:val="single" w:sz="4" w:space="0" w:color="000000"/>
            </w:tcBorders>
            <w:shd w:val="clear" w:color="auto" w:fill="BFBFBF"/>
          </w:tcPr>
          <w:p w14:paraId="720692C8" w14:textId="77777777" w:rsidR="000B3C5C" w:rsidRDefault="000B3C5C">
            <w:pPr>
              <w:spacing w:after="160" w:line="259" w:lineRule="auto"/>
              <w:ind w:left="0" w:firstLine="0"/>
            </w:pPr>
          </w:p>
        </w:tc>
        <w:tc>
          <w:tcPr>
            <w:tcW w:w="459" w:type="dxa"/>
            <w:tcBorders>
              <w:top w:val="single" w:sz="4" w:space="0" w:color="000000"/>
              <w:left w:val="single" w:sz="4" w:space="0" w:color="000000"/>
              <w:bottom w:val="single" w:sz="4" w:space="0" w:color="000000"/>
              <w:right w:val="single" w:sz="4" w:space="0" w:color="000000"/>
            </w:tcBorders>
            <w:vAlign w:val="center"/>
          </w:tcPr>
          <w:p w14:paraId="013A06C2" w14:textId="77777777" w:rsidR="000B3C5C" w:rsidRDefault="00ED192D">
            <w:pPr>
              <w:spacing w:after="0" w:line="259" w:lineRule="auto"/>
              <w:ind w:left="76" w:firstLine="0"/>
            </w:pPr>
            <w:r>
              <w:rPr>
                <w:rFonts w:ascii="Arial" w:eastAsia="Arial" w:hAnsi="Arial" w:cs="Arial"/>
                <w:sz w:val="14"/>
              </w:rPr>
              <w:t xml:space="preserve">AS00 </w:t>
            </w:r>
          </w:p>
        </w:tc>
        <w:tc>
          <w:tcPr>
            <w:tcW w:w="1211"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2A21FCF2" w14:textId="77777777" w:rsidR="000B3C5C" w:rsidRDefault="00ED192D">
            <w:pPr>
              <w:spacing w:after="0" w:line="259" w:lineRule="auto"/>
              <w:ind w:left="29" w:firstLine="0"/>
              <w:jc w:val="center"/>
            </w:pPr>
            <w:r>
              <w:rPr>
                <w:rFonts w:ascii="Arial" w:eastAsia="Arial" w:hAnsi="Arial" w:cs="Arial"/>
                <w:sz w:val="14"/>
              </w:rPr>
              <w:t xml:space="preserve">- </w:t>
            </w:r>
          </w:p>
        </w:tc>
        <w:tc>
          <w:tcPr>
            <w:tcW w:w="538" w:type="dxa"/>
            <w:tcBorders>
              <w:top w:val="single" w:sz="4" w:space="0" w:color="000000"/>
              <w:left w:val="single" w:sz="4" w:space="0" w:color="000000"/>
              <w:bottom w:val="single" w:sz="4" w:space="0" w:color="000000"/>
              <w:right w:val="single" w:sz="4" w:space="0" w:color="000000"/>
            </w:tcBorders>
            <w:vAlign w:val="center"/>
          </w:tcPr>
          <w:p w14:paraId="74F199CB" w14:textId="77777777" w:rsidR="000B3C5C" w:rsidRDefault="00ED192D">
            <w:pPr>
              <w:spacing w:after="0" w:line="259" w:lineRule="auto"/>
              <w:ind w:left="122" w:firstLine="0"/>
            </w:pPr>
            <w:r>
              <w:rPr>
                <w:rFonts w:ascii="Arial" w:eastAsia="Arial" w:hAnsi="Arial" w:cs="Arial"/>
                <w:sz w:val="14"/>
              </w:rPr>
              <w:t xml:space="preserve">AS00 </w:t>
            </w:r>
          </w:p>
        </w:tc>
        <w:tc>
          <w:tcPr>
            <w:tcW w:w="440" w:type="dxa"/>
            <w:tcBorders>
              <w:top w:val="single" w:sz="4" w:space="0" w:color="000000"/>
              <w:left w:val="single" w:sz="4" w:space="0" w:color="000000"/>
              <w:bottom w:val="single" w:sz="4" w:space="0" w:color="000000"/>
              <w:right w:val="nil"/>
            </w:tcBorders>
            <w:shd w:val="clear" w:color="auto" w:fill="BFBFBF"/>
          </w:tcPr>
          <w:p w14:paraId="73A5E9D5" w14:textId="77777777" w:rsidR="000B3C5C" w:rsidRDefault="00ED192D">
            <w:pPr>
              <w:spacing w:after="0" w:line="259" w:lineRule="auto"/>
              <w:ind w:left="130" w:firstLine="0"/>
              <w:jc w:val="center"/>
            </w:pPr>
            <w:r>
              <w:rPr>
                <w:rFonts w:ascii="Arial" w:eastAsia="Arial" w:hAnsi="Arial" w:cs="Arial"/>
                <w:sz w:val="14"/>
              </w:rPr>
              <w:t xml:space="preserve">- </w:t>
            </w:r>
          </w:p>
        </w:tc>
        <w:tc>
          <w:tcPr>
            <w:tcW w:w="108" w:type="dxa"/>
            <w:tcBorders>
              <w:top w:val="single" w:sz="4" w:space="0" w:color="000000"/>
              <w:left w:val="nil"/>
              <w:bottom w:val="single" w:sz="4" w:space="0" w:color="000000"/>
              <w:right w:val="single" w:sz="4" w:space="0" w:color="000000"/>
            </w:tcBorders>
            <w:shd w:val="clear" w:color="auto" w:fill="BFBFBF"/>
          </w:tcPr>
          <w:p w14:paraId="3F0873CF" w14:textId="77777777" w:rsidR="000B3C5C" w:rsidRDefault="000B3C5C">
            <w:pPr>
              <w:spacing w:after="160" w:line="259" w:lineRule="auto"/>
              <w:ind w:left="0" w:firstLine="0"/>
            </w:pPr>
          </w:p>
        </w:tc>
        <w:tc>
          <w:tcPr>
            <w:tcW w:w="509" w:type="dxa"/>
            <w:tcBorders>
              <w:top w:val="single" w:sz="4" w:space="0" w:color="000000"/>
              <w:left w:val="single" w:sz="4" w:space="0" w:color="000000"/>
              <w:bottom w:val="single" w:sz="4" w:space="0" w:color="000000"/>
              <w:right w:val="single" w:sz="4" w:space="0" w:color="000000"/>
            </w:tcBorders>
            <w:vAlign w:val="center"/>
          </w:tcPr>
          <w:p w14:paraId="424FA789" w14:textId="77777777" w:rsidR="000B3C5C" w:rsidRDefault="00ED192D">
            <w:pPr>
              <w:spacing w:after="0" w:line="259" w:lineRule="auto"/>
              <w:ind w:left="114" w:firstLine="0"/>
            </w:pPr>
            <w:r>
              <w:rPr>
                <w:rFonts w:ascii="Arial" w:eastAsia="Arial" w:hAnsi="Arial" w:cs="Arial"/>
                <w:sz w:val="14"/>
              </w:rPr>
              <w:t xml:space="preserve">AS00 </w:t>
            </w:r>
          </w:p>
        </w:tc>
        <w:tc>
          <w:tcPr>
            <w:tcW w:w="1097" w:type="dxa"/>
            <w:gridSpan w:val="2"/>
            <w:tcBorders>
              <w:top w:val="single" w:sz="4" w:space="0" w:color="000000"/>
              <w:left w:val="single" w:sz="4" w:space="0" w:color="000000"/>
              <w:bottom w:val="single" w:sz="4" w:space="0" w:color="000000"/>
              <w:right w:val="nil"/>
            </w:tcBorders>
            <w:shd w:val="clear" w:color="auto" w:fill="BFBFBF"/>
            <w:vAlign w:val="center"/>
          </w:tcPr>
          <w:p w14:paraId="04DB1CB9" w14:textId="77777777" w:rsidR="000B3C5C" w:rsidRDefault="00ED192D">
            <w:pPr>
              <w:spacing w:after="0" w:line="259" w:lineRule="auto"/>
              <w:ind w:left="0" w:right="168" w:firstLine="0"/>
              <w:jc w:val="right"/>
            </w:pPr>
            <w:r>
              <w:rPr>
                <w:rFonts w:ascii="Arial" w:eastAsia="Arial" w:hAnsi="Arial" w:cs="Arial"/>
                <w:sz w:val="14"/>
              </w:rPr>
              <w:t xml:space="preserve">- </w:t>
            </w:r>
          </w:p>
        </w:tc>
        <w:tc>
          <w:tcPr>
            <w:tcW w:w="656" w:type="dxa"/>
            <w:tcBorders>
              <w:top w:val="single" w:sz="4" w:space="0" w:color="000000"/>
              <w:left w:val="nil"/>
              <w:bottom w:val="single" w:sz="4" w:space="0" w:color="000000"/>
              <w:right w:val="single" w:sz="4" w:space="0" w:color="000000"/>
            </w:tcBorders>
            <w:shd w:val="clear" w:color="auto" w:fill="BFBFBF"/>
          </w:tcPr>
          <w:p w14:paraId="64E99289" w14:textId="77777777" w:rsidR="000B3C5C" w:rsidRDefault="000B3C5C">
            <w:pPr>
              <w:spacing w:after="160" w:line="259" w:lineRule="auto"/>
              <w:ind w:left="0" w:firstLine="0"/>
            </w:pPr>
          </w:p>
        </w:tc>
        <w:tc>
          <w:tcPr>
            <w:tcW w:w="697" w:type="dxa"/>
            <w:tcBorders>
              <w:top w:val="single" w:sz="4" w:space="0" w:color="000000"/>
              <w:left w:val="single" w:sz="4" w:space="0" w:color="000000"/>
              <w:bottom w:val="single" w:sz="4" w:space="0" w:color="000000"/>
              <w:right w:val="single" w:sz="4" w:space="0" w:color="000000"/>
            </w:tcBorders>
            <w:vAlign w:val="bottom"/>
          </w:tcPr>
          <w:p w14:paraId="6FA78DD9" w14:textId="77777777" w:rsidR="000B3C5C" w:rsidRDefault="00ED192D">
            <w:pPr>
              <w:spacing w:after="0" w:line="259" w:lineRule="auto"/>
              <w:ind w:left="24" w:firstLine="0"/>
              <w:jc w:val="center"/>
            </w:pPr>
            <w:r>
              <w:rPr>
                <w:rFonts w:ascii="Arial" w:eastAsia="Arial" w:hAnsi="Arial" w:cs="Arial"/>
                <w:sz w:val="14"/>
              </w:rPr>
              <w:t>AS00</w:t>
            </w:r>
            <w:r>
              <w:rPr>
                <w:rFonts w:ascii="Arial" w:eastAsia="Arial" w:hAnsi="Arial" w:cs="Arial"/>
                <w:i/>
                <w:color w:val="0000FF"/>
                <w:sz w:val="21"/>
                <w:vertAlign w:val="superscript"/>
              </w:rPr>
              <w:t xml:space="preserve"> </w:t>
            </w:r>
            <w:r>
              <w:rPr>
                <w:rFonts w:ascii="Arial" w:eastAsia="Arial" w:hAnsi="Arial" w:cs="Arial"/>
                <w:i/>
                <w:color w:val="0000FF"/>
                <w:sz w:val="28"/>
                <w:vertAlign w:val="superscript"/>
              </w:rPr>
              <w:t>j</w:t>
            </w:r>
          </w:p>
        </w:tc>
        <w:tc>
          <w:tcPr>
            <w:tcW w:w="62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9F9B63F" w14:textId="77777777" w:rsidR="000B3C5C" w:rsidRDefault="00ED192D">
            <w:pPr>
              <w:spacing w:after="0" w:line="259" w:lineRule="auto"/>
              <w:ind w:left="29" w:firstLine="0"/>
              <w:jc w:val="center"/>
            </w:pPr>
            <w:r>
              <w:rPr>
                <w:rFonts w:ascii="Arial" w:eastAsia="Arial" w:hAnsi="Arial" w:cs="Arial"/>
                <w:sz w:val="14"/>
              </w:rPr>
              <w:t xml:space="preserve">- </w:t>
            </w:r>
          </w:p>
        </w:tc>
        <w:tc>
          <w:tcPr>
            <w:tcW w:w="564" w:type="dxa"/>
            <w:gridSpan w:val="2"/>
            <w:tcBorders>
              <w:top w:val="single" w:sz="4" w:space="0" w:color="000000"/>
              <w:left w:val="single" w:sz="4" w:space="0" w:color="000000"/>
              <w:bottom w:val="single" w:sz="4" w:space="0" w:color="000000"/>
              <w:right w:val="single" w:sz="4" w:space="0" w:color="000000"/>
            </w:tcBorders>
            <w:vAlign w:val="center"/>
          </w:tcPr>
          <w:p w14:paraId="4BD13E77" w14:textId="77777777" w:rsidR="000B3C5C" w:rsidRDefault="00ED192D">
            <w:pPr>
              <w:spacing w:after="0" w:line="259" w:lineRule="auto"/>
              <w:ind w:left="106" w:firstLine="0"/>
            </w:pPr>
            <w:r>
              <w:rPr>
                <w:rFonts w:ascii="Arial" w:eastAsia="Arial" w:hAnsi="Arial" w:cs="Arial"/>
                <w:sz w:val="14"/>
              </w:rPr>
              <w:t xml:space="preserve">ASF00 </w:t>
            </w:r>
          </w:p>
        </w:tc>
        <w:tc>
          <w:tcPr>
            <w:tcW w:w="65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556422F" w14:textId="77777777" w:rsidR="000B3C5C" w:rsidRDefault="00ED192D">
            <w:pPr>
              <w:spacing w:after="0" w:line="259" w:lineRule="auto"/>
              <w:ind w:left="49" w:firstLine="0"/>
              <w:jc w:val="center"/>
            </w:pPr>
            <w:r>
              <w:rPr>
                <w:rFonts w:ascii="Arial" w:eastAsia="Arial" w:hAnsi="Arial" w:cs="Arial"/>
                <w:sz w:val="14"/>
              </w:rPr>
              <w:t>-</w:t>
            </w:r>
            <w:r>
              <w:rPr>
                <w:rFonts w:ascii="Arial" w:eastAsia="Arial" w:hAnsi="Arial" w:cs="Arial"/>
                <w:color w:val="0000FF"/>
                <w:sz w:val="14"/>
              </w:rPr>
              <w:t xml:space="preserve"> </w:t>
            </w:r>
          </w:p>
        </w:tc>
      </w:tr>
      <w:tr w:rsidR="000B3C5C" w14:paraId="2BF84482" w14:textId="77777777">
        <w:trPr>
          <w:trHeight w:val="481"/>
        </w:trPr>
        <w:tc>
          <w:tcPr>
            <w:tcW w:w="1328" w:type="dxa"/>
            <w:tcBorders>
              <w:top w:val="single" w:sz="4" w:space="0" w:color="000000"/>
              <w:left w:val="single" w:sz="4" w:space="0" w:color="000000"/>
              <w:bottom w:val="single" w:sz="4" w:space="0" w:color="000000"/>
              <w:right w:val="single" w:sz="4" w:space="0" w:color="000000"/>
            </w:tcBorders>
            <w:vAlign w:val="center"/>
          </w:tcPr>
          <w:p w14:paraId="3042E4E0" w14:textId="77777777" w:rsidR="000B3C5C" w:rsidRDefault="00ED192D">
            <w:pPr>
              <w:spacing w:after="0" w:line="259" w:lineRule="auto"/>
              <w:ind w:left="72" w:firstLine="0"/>
            </w:pPr>
            <w:r>
              <w:rPr>
                <w:rFonts w:ascii="Arial" w:eastAsia="Arial" w:hAnsi="Arial" w:cs="Arial"/>
                <w:sz w:val="16"/>
              </w:rPr>
              <w:t>Isatuximab</w:t>
            </w:r>
            <w:r>
              <w:rPr>
                <w:rFonts w:ascii="Arial" w:eastAsia="Arial" w:hAnsi="Arial" w:cs="Arial"/>
                <w:i/>
                <w:color w:val="0000FF"/>
                <w:sz w:val="21"/>
                <w:vertAlign w:val="superscript"/>
              </w:rPr>
              <w:t>g</w:t>
            </w:r>
            <w:r>
              <w:rPr>
                <w:rFonts w:ascii="Arial" w:eastAsia="Arial" w:hAnsi="Arial" w:cs="Arial"/>
                <w:i/>
                <w:color w:val="0000FF"/>
                <w:sz w:val="25"/>
                <w:vertAlign w:val="superscript"/>
              </w:rPr>
              <w:t>,h</w:t>
            </w:r>
            <w:r>
              <w:rPr>
                <w:rFonts w:ascii="Arial" w:eastAsia="Arial" w:hAnsi="Arial" w:cs="Arial"/>
                <w:b/>
                <w:i/>
                <w:color w:val="0000FF"/>
                <w:sz w:val="21"/>
                <w:vertAlign w:val="superscript"/>
              </w:rPr>
              <w:t xml:space="preserve"> i</w:t>
            </w:r>
            <w:r>
              <w:rPr>
                <w:rFonts w:ascii="Arial" w:eastAsia="Arial" w:hAnsi="Arial" w:cs="Arial"/>
                <w:color w:val="0000FF"/>
                <w:sz w:val="14"/>
              </w:rPr>
              <w:t xml:space="preserve"> </w:t>
            </w:r>
          </w:p>
        </w:tc>
        <w:tc>
          <w:tcPr>
            <w:tcW w:w="462" w:type="dxa"/>
            <w:tcBorders>
              <w:top w:val="single" w:sz="4" w:space="0" w:color="000000"/>
              <w:left w:val="single" w:sz="4" w:space="0" w:color="000000"/>
              <w:bottom w:val="single" w:sz="4" w:space="0" w:color="000000"/>
              <w:right w:val="single" w:sz="8" w:space="0" w:color="000000"/>
            </w:tcBorders>
          </w:tcPr>
          <w:p w14:paraId="11532870" w14:textId="77777777" w:rsidR="000B3C5C" w:rsidRDefault="00ED192D">
            <w:pPr>
              <w:spacing w:after="0" w:line="259" w:lineRule="auto"/>
              <w:ind w:left="196" w:hanging="108"/>
            </w:pPr>
            <w:r>
              <w:rPr>
                <w:rFonts w:ascii="Arial" w:eastAsia="Arial" w:hAnsi="Arial" w:cs="Arial"/>
                <w:sz w:val="14"/>
              </w:rPr>
              <w:t xml:space="preserve">AP00 </w:t>
            </w:r>
            <w:r>
              <w:rPr>
                <w:rFonts w:ascii="Arial" w:eastAsia="Arial" w:hAnsi="Arial" w:cs="Arial"/>
                <w:i/>
                <w:color w:val="0000FF"/>
                <w:sz w:val="14"/>
              </w:rPr>
              <w:t>b</w:t>
            </w:r>
          </w:p>
        </w:tc>
        <w:tc>
          <w:tcPr>
            <w:tcW w:w="442" w:type="dxa"/>
            <w:tcBorders>
              <w:top w:val="single" w:sz="4" w:space="0" w:color="000000"/>
              <w:left w:val="single" w:sz="8" w:space="0" w:color="000000"/>
              <w:bottom w:val="single" w:sz="4" w:space="0" w:color="000000"/>
              <w:right w:val="nil"/>
            </w:tcBorders>
            <w:shd w:val="clear" w:color="auto" w:fill="BFBFBF"/>
          </w:tcPr>
          <w:p w14:paraId="3E4319F8" w14:textId="77777777" w:rsidR="000B3C5C" w:rsidRDefault="000B3C5C">
            <w:pPr>
              <w:spacing w:after="160" w:line="259" w:lineRule="auto"/>
              <w:ind w:left="0" w:firstLine="0"/>
            </w:pPr>
          </w:p>
        </w:tc>
        <w:tc>
          <w:tcPr>
            <w:tcW w:w="1022" w:type="dxa"/>
            <w:gridSpan w:val="3"/>
            <w:tcBorders>
              <w:top w:val="single" w:sz="4" w:space="0" w:color="000000"/>
              <w:left w:val="nil"/>
              <w:bottom w:val="single" w:sz="4" w:space="0" w:color="000000"/>
              <w:right w:val="nil"/>
            </w:tcBorders>
            <w:shd w:val="clear" w:color="auto" w:fill="BFBFBF"/>
          </w:tcPr>
          <w:p w14:paraId="2F480B4C" w14:textId="77777777" w:rsidR="000B3C5C" w:rsidRDefault="000B3C5C">
            <w:pPr>
              <w:spacing w:after="160" w:line="259" w:lineRule="auto"/>
              <w:ind w:left="0" w:firstLine="0"/>
            </w:pPr>
          </w:p>
        </w:tc>
        <w:tc>
          <w:tcPr>
            <w:tcW w:w="1180" w:type="dxa"/>
            <w:gridSpan w:val="2"/>
            <w:tcBorders>
              <w:top w:val="single" w:sz="4" w:space="0" w:color="000000"/>
              <w:left w:val="nil"/>
              <w:bottom w:val="single" w:sz="4" w:space="0" w:color="000000"/>
              <w:right w:val="nil"/>
            </w:tcBorders>
            <w:shd w:val="clear" w:color="auto" w:fill="BFBFBF"/>
            <w:vAlign w:val="center"/>
          </w:tcPr>
          <w:p w14:paraId="79E63208" w14:textId="77777777" w:rsidR="000B3C5C" w:rsidRDefault="00ED192D">
            <w:pPr>
              <w:spacing w:after="0" w:line="259" w:lineRule="auto"/>
              <w:ind w:left="908" w:firstLine="0"/>
            </w:pPr>
            <w:r>
              <w:rPr>
                <w:rFonts w:ascii="Arial" w:eastAsia="Arial" w:hAnsi="Arial" w:cs="Arial"/>
                <w:sz w:val="14"/>
              </w:rPr>
              <w:t xml:space="preserve">- </w:t>
            </w:r>
          </w:p>
        </w:tc>
        <w:tc>
          <w:tcPr>
            <w:tcW w:w="1139" w:type="dxa"/>
            <w:tcBorders>
              <w:top w:val="single" w:sz="4" w:space="0" w:color="000000"/>
              <w:left w:val="nil"/>
              <w:bottom w:val="single" w:sz="4" w:space="0" w:color="000000"/>
              <w:right w:val="nil"/>
            </w:tcBorders>
            <w:shd w:val="clear" w:color="auto" w:fill="BFBFBF"/>
          </w:tcPr>
          <w:p w14:paraId="0F1A4B6E" w14:textId="77777777" w:rsidR="000B3C5C" w:rsidRDefault="000B3C5C">
            <w:pPr>
              <w:spacing w:after="160" w:line="259" w:lineRule="auto"/>
              <w:ind w:left="0" w:firstLine="0"/>
            </w:pPr>
          </w:p>
        </w:tc>
        <w:tc>
          <w:tcPr>
            <w:tcW w:w="1031" w:type="dxa"/>
            <w:gridSpan w:val="2"/>
            <w:tcBorders>
              <w:top w:val="single" w:sz="4" w:space="0" w:color="000000"/>
              <w:left w:val="nil"/>
              <w:bottom w:val="single" w:sz="4" w:space="0" w:color="000000"/>
              <w:right w:val="single" w:sz="4" w:space="0" w:color="000000"/>
            </w:tcBorders>
            <w:shd w:val="clear" w:color="auto" w:fill="BFBFBF"/>
          </w:tcPr>
          <w:p w14:paraId="7ECC6B70" w14:textId="77777777" w:rsidR="000B3C5C" w:rsidRDefault="000B3C5C">
            <w:pPr>
              <w:spacing w:after="160" w:line="259" w:lineRule="auto"/>
              <w:ind w:left="0" w:firstLine="0"/>
            </w:pPr>
          </w:p>
        </w:tc>
        <w:tc>
          <w:tcPr>
            <w:tcW w:w="459" w:type="dxa"/>
            <w:tcBorders>
              <w:top w:val="single" w:sz="4" w:space="0" w:color="000000"/>
              <w:left w:val="single" w:sz="4" w:space="0" w:color="000000"/>
              <w:bottom w:val="single" w:sz="4" w:space="0" w:color="000000"/>
              <w:right w:val="single" w:sz="4" w:space="0" w:color="000000"/>
            </w:tcBorders>
          </w:tcPr>
          <w:p w14:paraId="03429589" w14:textId="77777777" w:rsidR="000B3C5C" w:rsidRDefault="00ED192D">
            <w:pPr>
              <w:spacing w:after="0" w:line="259" w:lineRule="auto"/>
              <w:ind w:left="182" w:hanging="125"/>
            </w:pPr>
            <w:r>
              <w:rPr>
                <w:sz w:val="14"/>
              </w:rPr>
              <w:t xml:space="preserve">AP00 </w:t>
            </w:r>
            <w:r>
              <w:rPr>
                <w:i/>
                <w:color w:val="0000FF"/>
                <w:sz w:val="14"/>
              </w:rPr>
              <w:t>b</w:t>
            </w:r>
            <w:r>
              <w:rPr>
                <w:rFonts w:ascii="Arial" w:eastAsia="Arial" w:hAnsi="Arial" w:cs="Arial"/>
                <w:sz w:val="14"/>
              </w:rPr>
              <w:t xml:space="preserve"> </w:t>
            </w:r>
          </w:p>
        </w:tc>
        <w:tc>
          <w:tcPr>
            <w:tcW w:w="1211"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2C6F6730" w14:textId="77777777" w:rsidR="000B3C5C" w:rsidRDefault="00ED192D">
            <w:pPr>
              <w:spacing w:after="0" w:line="259" w:lineRule="auto"/>
              <w:ind w:left="29" w:firstLine="0"/>
              <w:jc w:val="center"/>
            </w:pPr>
            <w:r>
              <w:rPr>
                <w:rFonts w:ascii="Arial" w:eastAsia="Arial" w:hAnsi="Arial" w:cs="Arial"/>
                <w:sz w:val="14"/>
              </w:rPr>
              <w:t xml:space="preserve">- </w:t>
            </w:r>
          </w:p>
        </w:tc>
        <w:tc>
          <w:tcPr>
            <w:tcW w:w="538" w:type="dxa"/>
            <w:tcBorders>
              <w:top w:val="single" w:sz="4" w:space="0" w:color="000000"/>
              <w:left w:val="single" w:sz="4" w:space="0" w:color="000000"/>
              <w:bottom w:val="single" w:sz="4" w:space="0" w:color="000000"/>
              <w:right w:val="single" w:sz="4" w:space="0" w:color="000000"/>
            </w:tcBorders>
            <w:vAlign w:val="center"/>
          </w:tcPr>
          <w:p w14:paraId="48D65BAE" w14:textId="77777777" w:rsidR="000B3C5C" w:rsidRDefault="00ED192D">
            <w:pPr>
              <w:spacing w:after="0" w:line="259" w:lineRule="auto"/>
              <w:ind w:left="91" w:firstLine="0"/>
            </w:pPr>
            <w:r>
              <w:rPr>
                <w:rFonts w:ascii="Arial" w:eastAsia="Arial" w:hAnsi="Arial" w:cs="Arial"/>
                <w:sz w:val="14"/>
              </w:rPr>
              <w:t>AP00</w:t>
            </w:r>
            <w:r>
              <w:rPr>
                <w:rFonts w:ascii="Arial" w:eastAsia="Arial" w:hAnsi="Arial" w:cs="Arial"/>
                <w:i/>
                <w:color w:val="0000FF"/>
                <w:sz w:val="21"/>
                <w:vertAlign w:val="superscript"/>
              </w:rPr>
              <w:t>b</w:t>
            </w:r>
            <w:r>
              <w:rPr>
                <w:rFonts w:ascii="Arial" w:eastAsia="Arial" w:hAnsi="Arial" w:cs="Arial"/>
                <w:sz w:val="20"/>
              </w:rPr>
              <w:t xml:space="preserve"> </w:t>
            </w:r>
          </w:p>
        </w:tc>
        <w:tc>
          <w:tcPr>
            <w:tcW w:w="440" w:type="dxa"/>
            <w:tcBorders>
              <w:top w:val="single" w:sz="4" w:space="0" w:color="000000"/>
              <w:left w:val="single" w:sz="4" w:space="0" w:color="000000"/>
              <w:bottom w:val="single" w:sz="4" w:space="0" w:color="000000"/>
              <w:right w:val="nil"/>
            </w:tcBorders>
            <w:shd w:val="clear" w:color="auto" w:fill="BFBFBF"/>
            <w:vAlign w:val="center"/>
          </w:tcPr>
          <w:p w14:paraId="6287F860" w14:textId="77777777" w:rsidR="000B3C5C" w:rsidRDefault="00ED192D">
            <w:pPr>
              <w:spacing w:after="0" w:line="259" w:lineRule="auto"/>
              <w:ind w:left="130" w:firstLine="0"/>
              <w:jc w:val="center"/>
            </w:pPr>
            <w:r>
              <w:rPr>
                <w:rFonts w:ascii="Arial" w:eastAsia="Arial" w:hAnsi="Arial" w:cs="Arial"/>
                <w:sz w:val="14"/>
              </w:rPr>
              <w:t xml:space="preserve">- </w:t>
            </w:r>
          </w:p>
        </w:tc>
        <w:tc>
          <w:tcPr>
            <w:tcW w:w="108" w:type="dxa"/>
            <w:tcBorders>
              <w:top w:val="single" w:sz="4" w:space="0" w:color="000000"/>
              <w:left w:val="nil"/>
              <w:bottom w:val="single" w:sz="4" w:space="0" w:color="000000"/>
              <w:right w:val="single" w:sz="4" w:space="0" w:color="000000"/>
            </w:tcBorders>
            <w:shd w:val="clear" w:color="auto" w:fill="BFBFBF"/>
          </w:tcPr>
          <w:p w14:paraId="155076BC" w14:textId="77777777" w:rsidR="000B3C5C" w:rsidRDefault="000B3C5C">
            <w:pPr>
              <w:spacing w:after="160" w:line="259" w:lineRule="auto"/>
              <w:ind w:left="0" w:firstLine="0"/>
            </w:pPr>
          </w:p>
        </w:tc>
        <w:tc>
          <w:tcPr>
            <w:tcW w:w="509" w:type="dxa"/>
            <w:tcBorders>
              <w:top w:val="single" w:sz="4" w:space="0" w:color="000000"/>
              <w:left w:val="single" w:sz="4" w:space="0" w:color="000000"/>
              <w:bottom w:val="single" w:sz="4" w:space="0" w:color="000000"/>
              <w:right w:val="single" w:sz="4" w:space="0" w:color="000000"/>
            </w:tcBorders>
            <w:vAlign w:val="center"/>
          </w:tcPr>
          <w:p w14:paraId="4AE7C770" w14:textId="77777777" w:rsidR="000B3C5C" w:rsidRDefault="00ED192D">
            <w:pPr>
              <w:spacing w:after="0" w:line="259" w:lineRule="auto"/>
              <w:ind w:left="80" w:firstLine="0"/>
            </w:pPr>
            <w:r>
              <w:rPr>
                <w:rFonts w:ascii="Arial" w:eastAsia="Arial" w:hAnsi="Arial" w:cs="Arial"/>
                <w:sz w:val="14"/>
              </w:rPr>
              <w:t>AP00</w:t>
            </w:r>
            <w:r>
              <w:rPr>
                <w:rFonts w:ascii="Arial" w:eastAsia="Arial" w:hAnsi="Arial" w:cs="Arial"/>
                <w:i/>
                <w:color w:val="0000FF"/>
                <w:sz w:val="21"/>
                <w:vertAlign w:val="superscript"/>
              </w:rPr>
              <w:t>b</w:t>
            </w:r>
            <w:r>
              <w:rPr>
                <w:rFonts w:ascii="Arial" w:eastAsia="Arial" w:hAnsi="Arial" w:cs="Arial"/>
                <w:sz w:val="20"/>
              </w:rPr>
              <w:t xml:space="preserve"> </w:t>
            </w:r>
          </w:p>
        </w:tc>
        <w:tc>
          <w:tcPr>
            <w:tcW w:w="1097" w:type="dxa"/>
            <w:gridSpan w:val="2"/>
            <w:tcBorders>
              <w:top w:val="single" w:sz="4" w:space="0" w:color="000000"/>
              <w:left w:val="single" w:sz="4" w:space="0" w:color="000000"/>
              <w:bottom w:val="single" w:sz="4" w:space="0" w:color="000000"/>
              <w:right w:val="nil"/>
            </w:tcBorders>
            <w:shd w:val="clear" w:color="auto" w:fill="BFBFBF"/>
            <w:vAlign w:val="center"/>
          </w:tcPr>
          <w:p w14:paraId="38DAF5EB" w14:textId="77777777" w:rsidR="000B3C5C" w:rsidRDefault="00ED192D">
            <w:pPr>
              <w:spacing w:after="0" w:line="259" w:lineRule="auto"/>
              <w:ind w:left="0" w:right="168" w:firstLine="0"/>
              <w:jc w:val="right"/>
            </w:pPr>
            <w:r>
              <w:rPr>
                <w:rFonts w:ascii="Arial" w:eastAsia="Arial" w:hAnsi="Arial" w:cs="Arial"/>
                <w:sz w:val="14"/>
              </w:rPr>
              <w:t xml:space="preserve">- </w:t>
            </w:r>
          </w:p>
        </w:tc>
        <w:tc>
          <w:tcPr>
            <w:tcW w:w="656" w:type="dxa"/>
            <w:tcBorders>
              <w:top w:val="single" w:sz="4" w:space="0" w:color="000000"/>
              <w:left w:val="nil"/>
              <w:bottom w:val="single" w:sz="4" w:space="0" w:color="000000"/>
              <w:right w:val="single" w:sz="4" w:space="0" w:color="000000"/>
            </w:tcBorders>
            <w:shd w:val="clear" w:color="auto" w:fill="BFBFBF"/>
          </w:tcPr>
          <w:p w14:paraId="4319173B" w14:textId="77777777" w:rsidR="000B3C5C" w:rsidRDefault="000B3C5C">
            <w:pPr>
              <w:spacing w:after="160" w:line="259" w:lineRule="auto"/>
              <w:ind w:left="0" w:firstLine="0"/>
            </w:pPr>
          </w:p>
        </w:tc>
        <w:tc>
          <w:tcPr>
            <w:tcW w:w="697" w:type="dxa"/>
            <w:tcBorders>
              <w:top w:val="single" w:sz="4" w:space="0" w:color="000000"/>
              <w:left w:val="single" w:sz="4" w:space="0" w:color="000000"/>
              <w:bottom w:val="single" w:sz="4" w:space="0" w:color="000000"/>
              <w:right w:val="single" w:sz="4" w:space="0" w:color="000000"/>
            </w:tcBorders>
            <w:vAlign w:val="center"/>
          </w:tcPr>
          <w:p w14:paraId="349D0AA0" w14:textId="77777777" w:rsidR="000B3C5C" w:rsidRDefault="00ED192D">
            <w:pPr>
              <w:spacing w:after="0" w:line="259" w:lineRule="auto"/>
              <w:ind w:left="26" w:firstLine="0"/>
              <w:jc w:val="center"/>
            </w:pPr>
            <w:r>
              <w:rPr>
                <w:rFonts w:ascii="Arial" w:eastAsia="Arial" w:hAnsi="Arial" w:cs="Arial"/>
                <w:sz w:val="14"/>
              </w:rPr>
              <w:t>AP00</w:t>
            </w:r>
            <w:r>
              <w:rPr>
                <w:rFonts w:ascii="Arial" w:eastAsia="Arial" w:hAnsi="Arial" w:cs="Arial"/>
                <w:i/>
                <w:color w:val="0000FF"/>
                <w:sz w:val="21"/>
                <w:vertAlign w:val="superscript"/>
              </w:rPr>
              <w:t>b</w:t>
            </w:r>
            <w:r>
              <w:rPr>
                <w:rFonts w:ascii="Arial" w:eastAsia="Arial" w:hAnsi="Arial" w:cs="Arial"/>
                <w:sz w:val="20"/>
              </w:rPr>
              <w:t xml:space="preserve"> </w:t>
            </w:r>
          </w:p>
        </w:tc>
        <w:tc>
          <w:tcPr>
            <w:tcW w:w="1190"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07AD6DF3" w14:textId="77777777" w:rsidR="000B3C5C" w:rsidRDefault="00ED192D">
            <w:pPr>
              <w:spacing w:after="0" w:line="259" w:lineRule="auto"/>
              <w:ind w:left="26" w:firstLine="0"/>
              <w:jc w:val="center"/>
            </w:pPr>
            <w:r>
              <w:rPr>
                <w:rFonts w:ascii="Arial" w:eastAsia="Arial" w:hAnsi="Arial" w:cs="Arial"/>
                <w:sz w:val="14"/>
              </w:rPr>
              <w:t xml:space="preserve">- </w:t>
            </w:r>
          </w:p>
        </w:tc>
        <w:tc>
          <w:tcPr>
            <w:tcW w:w="650" w:type="dxa"/>
            <w:tcBorders>
              <w:top w:val="single" w:sz="4" w:space="0" w:color="000000"/>
              <w:left w:val="single" w:sz="4" w:space="0" w:color="000000"/>
              <w:bottom w:val="single" w:sz="4" w:space="0" w:color="000000"/>
              <w:right w:val="single" w:sz="4" w:space="0" w:color="000000"/>
            </w:tcBorders>
            <w:vAlign w:val="center"/>
          </w:tcPr>
          <w:p w14:paraId="235FC43E" w14:textId="77777777" w:rsidR="000B3C5C" w:rsidRDefault="00ED192D">
            <w:pPr>
              <w:spacing w:after="0" w:line="259" w:lineRule="auto"/>
              <w:ind w:left="127" w:firstLine="0"/>
            </w:pPr>
            <w:r>
              <w:rPr>
                <w:rFonts w:ascii="Arial" w:eastAsia="Arial" w:hAnsi="Arial" w:cs="Arial"/>
                <w:sz w:val="14"/>
              </w:rPr>
              <w:t>APF00</w:t>
            </w:r>
            <w:r>
              <w:rPr>
                <w:rFonts w:ascii="Arial" w:eastAsia="Arial" w:hAnsi="Arial" w:cs="Arial"/>
                <w:i/>
                <w:color w:val="0000FF"/>
                <w:sz w:val="21"/>
                <w:vertAlign w:val="superscript"/>
              </w:rPr>
              <w:t>h</w:t>
            </w:r>
          </w:p>
        </w:tc>
      </w:tr>
    </w:tbl>
    <w:p w14:paraId="6E68FBBA" w14:textId="77777777" w:rsidR="000B3C5C" w:rsidRDefault="00ED192D">
      <w:pPr>
        <w:spacing w:after="12"/>
        <w:ind w:left="-5" w:right="2778"/>
      </w:pPr>
      <w:r>
        <w:rPr>
          <w:rFonts w:ascii="Arial" w:eastAsia="Arial" w:hAnsi="Arial" w:cs="Arial"/>
          <w:i/>
          <w:sz w:val="18"/>
        </w:rPr>
        <w:t xml:space="preserve">a </w:t>
      </w:r>
      <w:r>
        <w:rPr>
          <w:rFonts w:ascii="Arial" w:eastAsia="Arial" w:hAnsi="Arial" w:cs="Arial"/>
          <w:sz w:val="18"/>
        </w:rPr>
        <w:t xml:space="preserve">Refer to the laboratory manual for sample collection, processing and shipping.  </w:t>
      </w:r>
      <w:r>
        <w:rPr>
          <w:rFonts w:ascii="Arial" w:eastAsia="Arial" w:hAnsi="Arial" w:cs="Arial"/>
          <w:i/>
          <w:sz w:val="18"/>
        </w:rPr>
        <w:t xml:space="preserve">b </w:t>
      </w:r>
      <w:r>
        <w:rPr>
          <w:rFonts w:ascii="Arial" w:eastAsia="Arial" w:hAnsi="Arial" w:cs="Arial"/>
          <w:sz w:val="18"/>
        </w:rPr>
        <w:t xml:space="preserve">Isatuximab PK or ADA predose samples should be collected before isatuximab administration and at the same time as atezolizumab predose samples when applicable. </w:t>
      </w:r>
      <w:r>
        <w:rPr>
          <w:rFonts w:ascii="Arial" w:eastAsia="Arial" w:hAnsi="Arial" w:cs="Arial"/>
          <w:i/>
          <w:sz w:val="18"/>
        </w:rPr>
        <w:t xml:space="preserve">c </w:t>
      </w:r>
      <w:r>
        <w:rPr>
          <w:rFonts w:ascii="Arial" w:eastAsia="Arial" w:hAnsi="Arial" w:cs="Arial"/>
          <w:sz w:val="18"/>
        </w:rPr>
        <w:t xml:space="preserve">Atezolizumab sample collected strictly before the start of atezolizumab infusion (during treatment phase). </w:t>
      </w:r>
      <w:r>
        <w:rPr>
          <w:rFonts w:ascii="Arial" w:eastAsia="Arial" w:hAnsi="Arial" w:cs="Arial"/>
          <w:i/>
          <w:sz w:val="18"/>
        </w:rPr>
        <w:t xml:space="preserve">d </w:t>
      </w:r>
      <w:r>
        <w:rPr>
          <w:rFonts w:ascii="Arial" w:eastAsia="Arial" w:hAnsi="Arial" w:cs="Arial"/>
          <w:sz w:val="18"/>
        </w:rPr>
        <w:t xml:space="preserve">P04 sample must be collected even if the participant withdraws the study without receiving the second administration of isatuximab. </w:t>
      </w:r>
    </w:p>
    <w:p w14:paraId="4C8DF9DE" w14:textId="77777777" w:rsidR="000B3C5C" w:rsidRDefault="00ED192D">
      <w:pPr>
        <w:numPr>
          <w:ilvl w:val="0"/>
          <w:numId w:val="16"/>
        </w:numPr>
        <w:spacing w:after="12"/>
        <w:ind w:right="2473" w:hanging="245"/>
      </w:pPr>
      <w:r>
        <w:rPr>
          <w:rFonts w:ascii="Arial" w:eastAsia="Arial" w:hAnsi="Arial" w:cs="Arial"/>
          <w:sz w:val="18"/>
        </w:rPr>
        <w:t xml:space="preserve">After start of study treatment, if 1 drug is prematurely discontinued, ADA samples for this drug will be collected and tested on Day 1 of the 2 next cycles. The ADA sample collection for other drug should be done as planned. </w:t>
      </w:r>
    </w:p>
    <w:p w14:paraId="7DB797AE" w14:textId="77777777" w:rsidR="000B3C5C" w:rsidRDefault="00ED192D">
      <w:pPr>
        <w:spacing w:after="0" w:line="259" w:lineRule="auto"/>
        <w:ind w:left="2002" w:firstLine="0"/>
        <w:jc w:val="center"/>
      </w:pPr>
      <w:r>
        <w:rPr>
          <w:rFonts w:ascii="Arial" w:eastAsia="Arial" w:hAnsi="Arial" w:cs="Arial"/>
          <w:sz w:val="18"/>
        </w:rPr>
        <w:t xml:space="preserve"> </w:t>
      </w:r>
    </w:p>
    <w:p w14:paraId="0742ECD8" w14:textId="77777777" w:rsidR="000B3C5C" w:rsidRDefault="00ED192D">
      <w:pPr>
        <w:spacing w:after="0" w:line="259" w:lineRule="auto"/>
        <w:ind w:left="2862" w:firstLine="0"/>
        <w:jc w:val="center"/>
      </w:pPr>
      <w:r>
        <w:rPr>
          <w:rFonts w:ascii="Arial" w:eastAsia="Arial" w:hAnsi="Arial" w:cs="Arial"/>
          <w:color w:val="0070C0"/>
          <w:sz w:val="18"/>
        </w:rPr>
        <w:t xml:space="preserve"> </w:t>
      </w:r>
    </w:p>
    <w:p w14:paraId="2D84CCE6" w14:textId="77777777" w:rsidR="000B3C5C" w:rsidRDefault="00ED192D">
      <w:pPr>
        <w:spacing w:after="0" w:line="259" w:lineRule="auto"/>
        <w:ind w:left="0" w:firstLine="0"/>
      </w:pPr>
      <w:r>
        <w:rPr>
          <w:rFonts w:ascii="Arial" w:eastAsia="Arial" w:hAnsi="Arial" w:cs="Arial"/>
          <w:sz w:val="18"/>
        </w:rPr>
        <w:t xml:space="preserve"> </w:t>
      </w:r>
    </w:p>
    <w:p w14:paraId="5AB55065" w14:textId="77777777" w:rsidR="000B3C5C" w:rsidRDefault="00ED192D">
      <w:pPr>
        <w:numPr>
          <w:ilvl w:val="0"/>
          <w:numId w:val="16"/>
        </w:numPr>
        <w:spacing w:after="12"/>
        <w:ind w:right="2473" w:hanging="245"/>
      </w:pPr>
      <w:r>
        <w:rPr>
          <w:rFonts w:ascii="Arial" w:eastAsia="Arial" w:hAnsi="Arial" w:cs="Arial"/>
          <w:sz w:val="18"/>
        </w:rPr>
        <w:t xml:space="preserve">Sample collected just before actual end of infusion of isatuximab. </w:t>
      </w:r>
      <w:r>
        <w:rPr>
          <w:rFonts w:ascii="Arial" w:eastAsia="Arial" w:hAnsi="Arial" w:cs="Arial"/>
          <w:i/>
          <w:sz w:val="18"/>
        </w:rPr>
        <w:t xml:space="preserve">g </w:t>
      </w:r>
      <w:r>
        <w:rPr>
          <w:rFonts w:ascii="Arial" w:eastAsia="Arial" w:hAnsi="Arial" w:cs="Arial"/>
          <w:sz w:val="18"/>
        </w:rPr>
        <w:t xml:space="preserve">Isatuximab sample collected strictly before the start of isatuximab infusion (during treatment phase). </w:t>
      </w:r>
      <w:r>
        <w:rPr>
          <w:rFonts w:ascii="Arial" w:eastAsia="Arial" w:hAnsi="Arial" w:cs="Arial"/>
          <w:i/>
          <w:sz w:val="18"/>
        </w:rPr>
        <w:t xml:space="preserve">h </w:t>
      </w:r>
      <w:r>
        <w:rPr>
          <w:rFonts w:ascii="Arial" w:eastAsia="Arial" w:hAnsi="Arial" w:cs="Arial"/>
          <w:sz w:val="18"/>
        </w:rPr>
        <w:t xml:space="preserve">After FUP 90(±7) days after last isatuximab administration no further ADA will be sampled even if the status is positive or inconclusive. </w:t>
      </w:r>
    </w:p>
    <w:p w14:paraId="78DA1F69" w14:textId="77777777" w:rsidR="000B3C5C" w:rsidRDefault="00ED192D">
      <w:pPr>
        <w:numPr>
          <w:ilvl w:val="0"/>
          <w:numId w:val="17"/>
        </w:numPr>
        <w:spacing w:after="12"/>
        <w:ind w:right="2" w:hanging="245"/>
      </w:pPr>
      <w:r>
        <w:rPr>
          <w:rFonts w:ascii="Arial" w:eastAsia="Arial" w:hAnsi="Arial" w:cs="Arial"/>
          <w:sz w:val="18"/>
        </w:rPr>
        <w:t>Isatuximab PK and ADA samples to be collected each cycle until the last study treatment for PK and until FUP 90(±7) days after last IMP administration for ADA or at the cut-off date, whichever comes first. However, collection can be reduced or stopped earlier</w:t>
      </w:r>
      <w:r>
        <w:t xml:space="preserve"> </w:t>
      </w:r>
      <w:r>
        <w:rPr>
          <w:rFonts w:ascii="Arial" w:eastAsia="Arial" w:hAnsi="Arial" w:cs="Arial"/>
          <w:sz w:val="18"/>
        </w:rPr>
        <w:t xml:space="preserve">upon notification from the Sponsor based on the updated knowledge of isatuximab on PK/ADA. </w:t>
      </w:r>
    </w:p>
    <w:p w14:paraId="62F3EE7C" w14:textId="77777777" w:rsidR="000B3C5C" w:rsidRDefault="00ED192D">
      <w:pPr>
        <w:numPr>
          <w:ilvl w:val="0"/>
          <w:numId w:val="17"/>
        </w:numPr>
        <w:spacing w:after="237"/>
        <w:ind w:right="2" w:hanging="245"/>
      </w:pPr>
      <w:r>
        <w:rPr>
          <w:rFonts w:ascii="Arial" w:eastAsia="Arial" w:hAnsi="Arial" w:cs="Arial"/>
          <w:sz w:val="18"/>
        </w:rPr>
        <w:t xml:space="preserve">For subsequent cycles, atezolizumab PK and ADA samples (pre-dose) are to be collected at Cycle 8 Day 1 and Cycle 16 Day 1 only. </w:t>
      </w:r>
    </w:p>
    <w:p w14:paraId="4311081A" w14:textId="77777777" w:rsidR="000B3C5C" w:rsidRDefault="00ED192D">
      <w:pPr>
        <w:spacing w:after="12"/>
        <w:ind w:left="-5" w:right="2"/>
      </w:pPr>
      <w:r>
        <w:rPr>
          <w:rFonts w:ascii="Arial" w:eastAsia="Arial" w:hAnsi="Arial" w:cs="Arial"/>
          <w:sz w:val="18"/>
        </w:rPr>
        <w:t xml:space="preserve">Abbreviations: SOI: Start of infusion, EOI: End of infusion, P= Plasma, S= Serum, AP= Antibody-Plasma, AS= Antibody-Serum, IMP= Investigational medicine product, D= Day, EOT= End of treatment, FUP= followup period, RNT= relative nominal time, IV= Intravenous, ID= Identification,  ADA= Anti-drug antibody </w:t>
      </w:r>
      <w:r>
        <w:br w:type="page"/>
      </w:r>
    </w:p>
    <w:p w14:paraId="7F70AD5A" w14:textId="77777777" w:rsidR="000B3C5C" w:rsidRDefault="00ED192D">
      <w:pPr>
        <w:spacing w:after="0" w:line="259" w:lineRule="auto"/>
        <w:ind w:left="0" w:right="5954" w:firstLine="0"/>
        <w:jc w:val="right"/>
      </w:pPr>
      <w:r>
        <w:rPr>
          <w:rFonts w:ascii="Arial" w:eastAsia="Arial" w:hAnsi="Arial" w:cs="Arial"/>
          <w:sz w:val="18"/>
        </w:rPr>
        <w:t xml:space="preserve"> </w:t>
      </w:r>
    </w:p>
    <w:p w14:paraId="20B742B8" w14:textId="77777777" w:rsidR="000B3C5C" w:rsidRDefault="00ED192D">
      <w:pPr>
        <w:spacing w:after="0" w:line="259" w:lineRule="auto"/>
        <w:ind w:left="0" w:right="5525" w:firstLine="0"/>
        <w:jc w:val="right"/>
      </w:pPr>
      <w:r>
        <w:rPr>
          <w:rFonts w:ascii="Arial" w:eastAsia="Arial" w:hAnsi="Arial" w:cs="Arial"/>
          <w:color w:val="0070C0"/>
          <w:sz w:val="18"/>
        </w:rPr>
        <w:t xml:space="preserve"> </w:t>
      </w:r>
    </w:p>
    <w:p w14:paraId="31874B69" w14:textId="77777777" w:rsidR="000B3C5C" w:rsidRDefault="00ED192D">
      <w:pPr>
        <w:spacing w:after="261" w:line="259" w:lineRule="auto"/>
        <w:ind w:left="0" w:firstLine="0"/>
      </w:pPr>
      <w:r>
        <w:rPr>
          <w:rFonts w:ascii="Arial" w:eastAsia="Arial" w:hAnsi="Arial" w:cs="Arial"/>
          <w:sz w:val="18"/>
        </w:rPr>
        <w:t xml:space="preserve"> </w:t>
      </w:r>
    </w:p>
    <w:p w14:paraId="2E64C852" w14:textId="77777777" w:rsidR="000B3C5C" w:rsidRDefault="00ED192D">
      <w:pPr>
        <w:pStyle w:val="Heading4"/>
        <w:spacing w:after="10"/>
        <w:ind w:left="-5"/>
      </w:pPr>
      <w:r>
        <w:t xml:space="preserve">EXPLORATORY BIOMARKER FLOW CHART </w:t>
      </w:r>
    </w:p>
    <w:tbl>
      <w:tblPr>
        <w:tblStyle w:val="TableGrid"/>
        <w:tblW w:w="14266" w:type="dxa"/>
        <w:tblInd w:w="-72" w:type="dxa"/>
        <w:tblCellMar>
          <w:top w:w="99" w:type="dxa"/>
          <w:left w:w="72" w:type="dxa"/>
          <w:bottom w:w="0" w:type="dxa"/>
          <w:right w:w="36" w:type="dxa"/>
        </w:tblCellMar>
        <w:tblLook w:val="04A0" w:firstRow="1" w:lastRow="0" w:firstColumn="1" w:lastColumn="0" w:noHBand="0" w:noVBand="1"/>
      </w:tblPr>
      <w:tblGrid>
        <w:gridCol w:w="1447"/>
        <w:gridCol w:w="549"/>
        <w:gridCol w:w="1901"/>
        <w:gridCol w:w="1088"/>
        <w:gridCol w:w="635"/>
        <w:gridCol w:w="713"/>
        <w:gridCol w:w="813"/>
        <w:gridCol w:w="1443"/>
        <w:gridCol w:w="1085"/>
        <w:gridCol w:w="1169"/>
        <w:gridCol w:w="3423"/>
      </w:tblGrid>
      <w:tr w:rsidR="000B3C5C" w14:paraId="0AD64796" w14:textId="77777777">
        <w:trPr>
          <w:trHeight w:val="379"/>
        </w:trPr>
        <w:tc>
          <w:tcPr>
            <w:tcW w:w="2004" w:type="dxa"/>
            <w:gridSpan w:val="2"/>
            <w:vMerge w:val="restart"/>
            <w:tcBorders>
              <w:top w:val="single" w:sz="8" w:space="0" w:color="000000"/>
              <w:left w:val="single" w:sz="8" w:space="0" w:color="000000"/>
              <w:bottom w:val="single" w:sz="8" w:space="0" w:color="000000"/>
              <w:right w:val="single" w:sz="8" w:space="0" w:color="000000"/>
            </w:tcBorders>
            <w:vAlign w:val="center"/>
          </w:tcPr>
          <w:p w14:paraId="6B65CF13" w14:textId="77777777" w:rsidR="000B3C5C" w:rsidRDefault="00ED192D">
            <w:pPr>
              <w:spacing w:after="0" w:line="259" w:lineRule="auto"/>
              <w:ind w:left="0" w:right="37" w:firstLine="0"/>
              <w:jc w:val="center"/>
            </w:pPr>
            <w:r>
              <w:rPr>
                <w:rFonts w:ascii="Arial" w:eastAsia="Arial" w:hAnsi="Arial" w:cs="Arial"/>
                <w:b/>
                <w:sz w:val="16"/>
              </w:rPr>
              <w:t xml:space="preserve">Sample Collection </w:t>
            </w:r>
          </w:p>
        </w:tc>
        <w:tc>
          <w:tcPr>
            <w:tcW w:w="1906" w:type="dxa"/>
            <w:vMerge w:val="restart"/>
            <w:tcBorders>
              <w:top w:val="single" w:sz="8" w:space="0" w:color="000000"/>
              <w:left w:val="single" w:sz="8" w:space="0" w:color="000000"/>
              <w:bottom w:val="single" w:sz="8" w:space="0" w:color="000000"/>
              <w:right w:val="single" w:sz="8" w:space="0" w:color="000000"/>
            </w:tcBorders>
            <w:vAlign w:val="center"/>
          </w:tcPr>
          <w:p w14:paraId="3BC5EB36" w14:textId="77777777" w:rsidR="000B3C5C" w:rsidRDefault="00ED192D">
            <w:pPr>
              <w:spacing w:after="0" w:line="259" w:lineRule="auto"/>
              <w:ind w:left="0" w:right="41" w:firstLine="0"/>
              <w:jc w:val="center"/>
            </w:pPr>
            <w:r>
              <w:rPr>
                <w:rFonts w:ascii="Arial" w:eastAsia="Arial" w:hAnsi="Arial" w:cs="Arial"/>
                <w:b/>
                <w:sz w:val="16"/>
              </w:rPr>
              <w:t xml:space="preserve">Biomarker Analysis </w:t>
            </w:r>
          </w:p>
        </w:tc>
        <w:tc>
          <w:tcPr>
            <w:tcW w:w="1090" w:type="dxa"/>
            <w:vMerge w:val="restart"/>
            <w:tcBorders>
              <w:top w:val="single" w:sz="8" w:space="0" w:color="000000"/>
              <w:left w:val="single" w:sz="8" w:space="0" w:color="000000"/>
              <w:bottom w:val="single" w:sz="8" w:space="0" w:color="000000"/>
              <w:right w:val="single" w:sz="8" w:space="0" w:color="000000"/>
            </w:tcBorders>
          </w:tcPr>
          <w:p w14:paraId="32DD5241" w14:textId="77777777" w:rsidR="000B3C5C" w:rsidRDefault="00ED192D">
            <w:pPr>
              <w:spacing w:after="180" w:line="259" w:lineRule="auto"/>
              <w:ind w:left="0" w:right="40" w:firstLine="0"/>
              <w:jc w:val="center"/>
            </w:pPr>
            <w:r>
              <w:rPr>
                <w:rFonts w:ascii="Arial" w:eastAsia="Arial" w:hAnsi="Arial" w:cs="Arial"/>
                <w:b/>
                <w:sz w:val="16"/>
              </w:rPr>
              <w:t xml:space="preserve">Screening </w:t>
            </w:r>
          </w:p>
          <w:p w14:paraId="6FA96712" w14:textId="77777777" w:rsidR="000B3C5C" w:rsidRDefault="00ED192D">
            <w:pPr>
              <w:spacing w:after="0" w:line="259" w:lineRule="auto"/>
              <w:ind w:left="32" w:firstLine="0"/>
              <w:jc w:val="center"/>
            </w:pPr>
            <w:r>
              <w:rPr>
                <w:rFonts w:ascii="Arial" w:eastAsia="Arial" w:hAnsi="Arial" w:cs="Arial"/>
                <w:b/>
                <w:sz w:val="16"/>
              </w:rPr>
              <w:t xml:space="preserve">  </w:t>
            </w:r>
          </w:p>
        </w:tc>
        <w:tc>
          <w:tcPr>
            <w:tcW w:w="636" w:type="dxa"/>
            <w:tcBorders>
              <w:top w:val="single" w:sz="8" w:space="0" w:color="000000"/>
              <w:left w:val="single" w:sz="8" w:space="0" w:color="000000"/>
              <w:bottom w:val="single" w:sz="8" w:space="0" w:color="000000"/>
              <w:right w:val="nil"/>
            </w:tcBorders>
          </w:tcPr>
          <w:p w14:paraId="50E4071D" w14:textId="77777777" w:rsidR="000B3C5C" w:rsidRDefault="000B3C5C">
            <w:pPr>
              <w:spacing w:after="160" w:line="259" w:lineRule="auto"/>
              <w:ind w:left="0" w:firstLine="0"/>
            </w:pPr>
          </w:p>
        </w:tc>
        <w:tc>
          <w:tcPr>
            <w:tcW w:w="2913" w:type="dxa"/>
            <w:gridSpan w:val="3"/>
            <w:tcBorders>
              <w:top w:val="single" w:sz="8" w:space="0" w:color="000000"/>
              <w:left w:val="nil"/>
              <w:bottom w:val="single" w:sz="8" w:space="0" w:color="000000"/>
              <w:right w:val="single" w:sz="8" w:space="0" w:color="000000"/>
            </w:tcBorders>
          </w:tcPr>
          <w:p w14:paraId="56F1BAD3" w14:textId="77777777" w:rsidR="000B3C5C" w:rsidRDefault="00ED192D">
            <w:pPr>
              <w:spacing w:after="0" w:line="259" w:lineRule="auto"/>
              <w:ind w:left="535" w:firstLine="0"/>
            </w:pPr>
            <w:r>
              <w:rPr>
                <w:rFonts w:ascii="Arial" w:eastAsia="Arial" w:hAnsi="Arial" w:cs="Arial"/>
                <w:b/>
                <w:sz w:val="16"/>
              </w:rPr>
              <w:t xml:space="preserve">Treatment Phase </w:t>
            </w:r>
            <w:r>
              <w:rPr>
                <w:rFonts w:ascii="Arial" w:eastAsia="Arial" w:hAnsi="Arial" w:cs="Arial"/>
                <w:sz w:val="20"/>
              </w:rPr>
              <w:t xml:space="preserve"> </w:t>
            </w:r>
          </w:p>
        </w:tc>
        <w:tc>
          <w:tcPr>
            <w:tcW w:w="2267" w:type="dxa"/>
            <w:gridSpan w:val="2"/>
            <w:tcBorders>
              <w:top w:val="single" w:sz="8" w:space="0" w:color="000000"/>
              <w:left w:val="single" w:sz="8" w:space="0" w:color="000000"/>
              <w:bottom w:val="single" w:sz="8" w:space="0" w:color="000000"/>
              <w:right w:val="single" w:sz="8" w:space="0" w:color="000000"/>
            </w:tcBorders>
          </w:tcPr>
          <w:p w14:paraId="129921F2" w14:textId="77777777" w:rsidR="000B3C5C" w:rsidRDefault="00ED192D">
            <w:pPr>
              <w:spacing w:after="0" w:line="259" w:lineRule="auto"/>
              <w:ind w:left="0" w:right="32" w:firstLine="0"/>
              <w:jc w:val="center"/>
            </w:pPr>
            <w:r>
              <w:rPr>
                <w:rFonts w:ascii="Arial" w:eastAsia="Arial" w:hAnsi="Arial" w:cs="Arial"/>
                <w:b/>
                <w:sz w:val="16"/>
              </w:rPr>
              <w:t xml:space="preserve">Post-Treatment Phase </w:t>
            </w:r>
          </w:p>
        </w:tc>
        <w:tc>
          <w:tcPr>
            <w:tcW w:w="3449" w:type="dxa"/>
            <w:tcBorders>
              <w:top w:val="single" w:sz="8" w:space="0" w:color="000000"/>
              <w:left w:val="single" w:sz="8" w:space="0" w:color="000000"/>
              <w:bottom w:val="single" w:sz="8" w:space="0" w:color="000000"/>
              <w:right w:val="single" w:sz="8" w:space="0" w:color="000000"/>
            </w:tcBorders>
            <w:vAlign w:val="center"/>
          </w:tcPr>
          <w:p w14:paraId="17B80CF8" w14:textId="77777777" w:rsidR="000B3C5C" w:rsidRDefault="00ED192D">
            <w:pPr>
              <w:spacing w:after="0" w:line="259" w:lineRule="auto"/>
              <w:ind w:left="0" w:right="33" w:firstLine="0"/>
              <w:jc w:val="center"/>
            </w:pPr>
            <w:r>
              <w:rPr>
                <w:rFonts w:ascii="Arial" w:eastAsia="Arial" w:hAnsi="Arial" w:cs="Arial"/>
                <w:b/>
                <w:sz w:val="16"/>
              </w:rPr>
              <w:t xml:space="preserve">Notes </w:t>
            </w:r>
          </w:p>
        </w:tc>
      </w:tr>
      <w:tr w:rsidR="000B3C5C" w14:paraId="1FC751FD" w14:textId="77777777">
        <w:trPr>
          <w:trHeight w:val="325"/>
        </w:trPr>
        <w:tc>
          <w:tcPr>
            <w:tcW w:w="0" w:type="auto"/>
            <w:gridSpan w:val="2"/>
            <w:vMerge/>
            <w:tcBorders>
              <w:top w:val="nil"/>
              <w:left w:val="single" w:sz="8" w:space="0" w:color="000000"/>
              <w:bottom w:val="nil"/>
              <w:right w:val="single" w:sz="8" w:space="0" w:color="000000"/>
            </w:tcBorders>
          </w:tcPr>
          <w:p w14:paraId="5984EF87" w14:textId="77777777" w:rsidR="000B3C5C" w:rsidRDefault="000B3C5C">
            <w:pPr>
              <w:spacing w:after="160" w:line="259" w:lineRule="auto"/>
              <w:ind w:left="0" w:firstLine="0"/>
            </w:pPr>
          </w:p>
        </w:tc>
        <w:tc>
          <w:tcPr>
            <w:tcW w:w="0" w:type="auto"/>
            <w:vMerge/>
            <w:tcBorders>
              <w:top w:val="nil"/>
              <w:left w:val="single" w:sz="8" w:space="0" w:color="000000"/>
              <w:bottom w:val="nil"/>
              <w:right w:val="single" w:sz="8" w:space="0" w:color="000000"/>
            </w:tcBorders>
          </w:tcPr>
          <w:p w14:paraId="5BE5E40F" w14:textId="77777777" w:rsidR="000B3C5C" w:rsidRDefault="000B3C5C">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14:paraId="1D6B015F" w14:textId="77777777" w:rsidR="000B3C5C" w:rsidRDefault="000B3C5C">
            <w:pPr>
              <w:spacing w:after="160" w:line="259" w:lineRule="auto"/>
              <w:ind w:left="0" w:firstLine="0"/>
            </w:pPr>
          </w:p>
        </w:tc>
        <w:tc>
          <w:tcPr>
            <w:tcW w:w="636" w:type="dxa"/>
            <w:tcBorders>
              <w:top w:val="single" w:sz="8" w:space="0" w:color="000000"/>
              <w:left w:val="single" w:sz="8" w:space="0" w:color="000000"/>
              <w:bottom w:val="single" w:sz="8" w:space="0" w:color="000000"/>
              <w:right w:val="single" w:sz="8" w:space="0" w:color="000000"/>
            </w:tcBorders>
          </w:tcPr>
          <w:p w14:paraId="2D205EE6" w14:textId="77777777" w:rsidR="000B3C5C" w:rsidRDefault="00ED192D">
            <w:pPr>
              <w:spacing w:after="0" w:line="259" w:lineRule="auto"/>
              <w:ind w:left="14" w:firstLine="0"/>
            </w:pPr>
            <w:r>
              <w:rPr>
                <w:rFonts w:ascii="Arial" w:eastAsia="Arial" w:hAnsi="Arial" w:cs="Arial"/>
                <w:b/>
                <w:sz w:val="16"/>
              </w:rPr>
              <w:t xml:space="preserve">Cycle 1 </w:t>
            </w:r>
          </w:p>
        </w:tc>
        <w:tc>
          <w:tcPr>
            <w:tcW w:w="644" w:type="dxa"/>
            <w:tcBorders>
              <w:top w:val="single" w:sz="8" w:space="0" w:color="000000"/>
              <w:left w:val="single" w:sz="8" w:space="0" w:color="000000"/>
              <w:bottom w:val="single" w:sz="8" w:space="0" w:color="000000"/>
              <w:right w:val="single" w:sz="8" w:space="0" w:color="000000"/>
            </w:tcBorders>
          </w:tcPr>
          <w:p w14:paraId="4DE558AC" w14:textId="77777777" w:rsidR="000B3C5C" w:rsidRDefault="00ED192D">
            <w:pPr>
              <w:spacing w:after="0" w:line="259" w:lineRule="auto"/>
              <w:ind w:left="19" w:firstLine="0"/>
            </w:pPr>
            <w:r>
              <w:rPr>
                <w:rFonts w:ascii="Arial" w:eastAsia="Arial" w:hAnsi="Arial" w:cs="Arial"/>
                <w:b/>
                <w:sz w:val="16"/>
              </w:rPr>
              <w:t xml:space="preserve">Cycle 2 </w:t>
            </w:r>
          </w:p>
        </w:tc>
        <w:tc>
          <w:tcPr>
            <w:tcW w:w="816" w:type="dxa"/>
            <w:tcBorders>
              <w:top w:val="single" w:sz="8" w:space="0" w:color="000000"/>
              <w:left w:val="single" w:sz="8" w:space="0" w:color="000000"/>
              <w:bottom w:val="single" w:sz="8" w:space="0" w:color="000000"/>
              <w:right w:val="single" w:sz="8" w:space="0" w:color="000000"/>
            </w:tcBorders>
          </w:tcPr>
          <w:p w14:paraId="7287A462" w14:textId="77777777" w:rsidR="000B3C5C" w:rsidRDefault="00ED192D">
            <w:pPr>
              <w:spacing w:after="0" w:line="259" w:lineRule="auto"/>
              <w:ind w:left="0" w:right="35" w:firstLine="0"/>
              <w:jc w:val="center"/>
            </w:pPr>
            <w:r>
              <w:rPr>
                <w:rFonts w:ascii="Arial" w:eastAsia="Arial" w:hAnsi="Arial" w:cs="Arial"/>
                <w:b/>
                <w:sz w:val="16"/>
              </w:rPr>
              <w:t xml:space="preserve">Cycle 3 </w:t>
            </w:r>
          </w:p>
        </w:tc>
        <w:tc>
          <w:tcPr>
            <w:tcW w:w="1452" w:type="dxa"/>
            <w:tcBorders>
              <w:top w:val="single" w:sz="8" w:space="0" w:color="000000"/>
              <w:left w:val="single" w:sz="8" w:space="0" w:color="000000"/>
              <w:bottom w:val="single" w:sz="8" w:space="0" w:color="000000"/>
              <w:right w:val="single" w:sz="8" w:space="0" w:color="000000"/>
            </w:tcBorders>
          </w:tcPr>
          <w:p w14:paraId="58BA4500" w14:textId="77777777" w:rsidR="000B3C5C" w:rsidRDefault="00ED192D">
            <w:pPr>
              <w:spacing w:after="0" w:line="259" w:lineRule="auto"/>
              <w:ind w:left="30" w:firstLine="0"/>
            </w:pPr>
            <w:r>
              <w:rPr>
                <w:rFonts w:ascii="Arial" w:eastAsia="Arial" w:hAnsi="Arial" w:cs="Arial"/>
                <w:b/>
                <w:sz w:val="16"/>
              </w:rPr>
              <w:t xml:space="preserve">Cycle 5 and Beyond </w:t>
            </w:r>
          </w:p>
        </w:tc>
        <w:tc>
          <w:tcPr>
            <w:tcW w:w="1092" w:type="dxa"/>
            <w:tcBorders>
              <w:top w:val="single" w:sz="8" w:space="0" w:color="000000"/>
              <w:left w:val="single" w:sz="8" w:space="0" w:color="000000"/>
              <w:bottom w:val="single" w:sz="8" w:space="0" w:color="000000"/>
              <w:right w:val="single" w:sz="8" w:space="0" w:color="000000"/>
            </w:tcBorders>
          </w:tcPr>
          <w:p w14:paraId="7CF60583" w14:textId="77777777" w:rsidR="000B3C5C" w:rsidRDefault="00ED192D">
            <w:pPr>
              <w:spacing w:after="0" w:line="259" w:lineRule="auto"/>
              <w:ind w:left="0" w:right="35" w:firstLine="0"/>
              <w:jc w:val="center"/>
            </w:pPr>
            <w:r>
              <w:rPr>
                <w:rFonts w:ascii="Arial" w:eastAsia="Arial" w:hAnsi="Arial" w:cs="Arial"/>
                <w:b/>
                <w:sz w:val="16"/>
              </w:rPr>
              <w:t xml:space="preserve">EOT </w:t>
            </w:r>
          </w:p>
        </w:tc>
        <w:tc>
          <w:tcPr>
            <w:tcW w:w="1175" w:type="dxa"/>
            <w:tcBorders>
              <w:top w:val="single" w:sz="8" w:space="0" w:color="000000"/>
              <w:left w:val="single" w:sz="8" w:space="0" w:color="000000"/>
              <w:bottom w:val="single" w:sz="8" w:space="0" w:color="000000"/>
              <w:right w:val="single" w:sz="8" w:space="0" w:color="000000"/>
            </w:tcBorders>
          </w:tcPr>
          <w:p w14:paraId="053E5DBE" w14:textId="77777777" w:rsidR="000B3C5C" w:rsidRDefault="00ED192D">
            <w:pPr>
              <w:spacing w:after="0" w:line="259" w:lineRule="auto"/>
              <w:ind w:left="0" w:right="31" w:firstLine="0"/>
              <w:jc w:val="center"/>
            </w:pPr>
            <w:r>
              <w:rPr>
                <w:rFonts w:ascii="Arial" w:eastAsia="Arial" w:hAnsi="Arial" w:cs="Arial"/>
                <w:b/>
                <w:sz w:val="16"/>
              </w:rPr>
              <w:t xml:space="preserve">Follow-up </w:t>
            </w:r>
          </w:p>
        </w:tc>
        <w:tc>
          <w:tcPr>
            <w:tcW w:w="3449" w:type="dxa"/>
            <w:tcBorders>
              <w:top w:val="single" w:sz="8" w:space="0" w:color="000000"/>
              <w:left w:val="single" w:sz="8" w:space="0" w:color="000000"/>
              <w:bottom w:val="single" w:sz="8" w:space="0" w:color="000000"/>
              <w:right w:val="single" w:sz="8" w:space="0" w:color="000000"/>
            </w:tcBorders>
          </w:tcPr>
          <w:p w14:paraId="449EEBC2" w14:textId="77777777" w:rsidR="000B3C5C" w:rsidRDefault="00ED192D">
            <w:pPr>
              <w:spacing w:after="0" w:line="259" w:lineRule="auto"/>
              <w:ind w:left="3" w:firstLine="0"/>
              <w:jc w:val="center"/>
            </w:pPr>
            <w:r>
              <w:rPr>
                <w:rFonts w:ascii="Arial" w:eastAsia="Arial" w:hAnsi="Arial" w:cs="Arial"/>
                <w:b/>
                <w:sz w:val="16"/>
              </w:rPr>
              <w:t xml:space="preserve"> </w:t>
            </w:r>
          </w:p>
        </w:tc>
      </w:tr>
      <w:tr w:rsidR="000B3C5C" w14:paraId="5A842E4B" w14:textId="77777777">
        <w:trPr>
          <w:trHeight w:val="694"/>
        </w:trPr>
        <w:tc>
          <w:tcPr>
            <w:tcW w:w="0" w:type="auto"/>
            <w:gridSpan w:val="2"/>
            <w:vMerge/>
            <w:tcBorders>
              <w:top w:val="nil"/>
              <w:left w:val="single" w:sz="8" w:space="0" w:color="000000"/>
              <w:bottom w:val="single" w:sz="8" w:space="0" w:color="000000"/>
              <w:right w:val="single" w:sz="8" w:space="0" w:color="000000"/>
            </w:tcBorders>
          </w:tcPr>
          <w:p w14:paraId="3CA10897" w14:textId="77777777" w:rsidR="000B3C5C" w:rsidRDefault="000B3C5C">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14:paraId="08D34CBF" w14:textId="77777777" w:rsidR="000B3C5C" w:rsidRDefault="000B3C5C">
            <w:pPr>
              <w:spacing w:after="160" w:line="259" w:lineRule="auto"/>
              <w:ind w:left="0" w:firstLine="0"/>
            </w:pPr>
          </w:p>
        </w:tc>
        <w:tc>
          <w:tcPr>
            <w:tcW w:w="1090" w:type="dxa"/>
            <w:tcBorders>
              <w:top w:val="single" w:sz="8" w:space="0" w:color="000000"/>
              <w:left w:val="single" w:sz="8" w:space="0" w:color="000000"/>
              <w:bottom w:val="single" w:sz="8" w:space="0" w:color="000000"/>
              <w:right w:val="single" w:sz="8" w:space="0" w:color="000000"/>
            </w:tcBorders>
            <w:vAlign w:val="center"/>
          </w:tcPr>
          <w:p w14:paraId="2D33DE3B" w14:textId="77777777" w:rsidR="000B3C5C" w:rsidRDefault="00ED192D">
            <w:pPr>
              <w:spacing w:after="0" w:line="259" w:lineRule="auto"/>
              <w:ind w:left="0" w:right="42" w:firstLine="0"/>
              <w:jc w:val="center"/>
            </w:pPr>
            <w:r>
              <w:rPr>
                <w:rFonts w:ascii="Arial" w:eastAsia="Arial" w:hAnsi="Arial" w:cs="Arial"/>
                <w:b/>
                <w:sz w:val="16"/>
              </w:rPr>
              <w:t xml:space="preserve">D-28 to D-1 </w:t>
            </w:r>
          </w:p>
        </w:tc>
        <w:tc>
          <w:tcPr>
            <w:tcW w:w="636" w:type="dxa"/>
            <w:tcBorders>
              <w:top w:val="single" w:sz="8" w:space="0" w:color="000000"/>
              <w:left w:val="single" w:sz="8" w:space="0" w:color="000000"/>
              <w:bottom w:val="single" w:sz="8" w:space="0" w:color="000000"/>
              <w:right w:val="single" w:sz="8" w:space="0" w:color="000000"/>
            </w:tcBorders>
            <w:vAlign w:val="center"/>
          </w:tcPr>
          <w:p w14:paraId="39E142AB" w14:textId="77777777" w:rsidR="000B3C5C" w:rsidRDefault="00ED192D">
            <w:pPr>
              <w:spacing w:after="0" w:line="259" w:lineRule="auto"/>
              <w:ind w:left="0" w:firstLine="0"/>
              <w:jc w:val="center"/>
            </w:pPr>
            <w:r>
              <w:rPr>
                <w:rFonts w:ascii="Arial" w:eastAsia="Arial" w:hAnsi="Arial" w:cs="Arial"/>
                <w:b/>
                <w:sz w:val="16"/>
              </w:rPr>
              <w:t xml:space="preserve">D1 (-1 day) a </w:t>
            </w:r>
          </w:p>
        </w:tc>
        <w:tc>
          <w:tcPr>
            <w:tcW w:w="644" w:type="dxa"/>
            <w:tcBorders>
              <w:top w:val="single" w:sz="8" w:space="0" w:color="000000"/>
              <w:left w:val="single" w:sz="8" w:space="0" w:color="000000"/>
              <w:bottom w:val="single" w:sz="8" w:space="0" w:color="000000"/>
              <w:right w:val="single" w:sz="8" w:space="0" w:color="000000"/>
            </w:tcBorders>
            <w:vAlign w:val="center"/>
          </w:tcPr>
          <w:p w14:paraId="11C76DAB" w14:textId="77777777" w:rsidR="000B3C5C" w:rsidRDefault="00ED192D">
            <w:pPr>
              <w:spacing w:after="0" w:line="259" w:lineRule="auto"/>
              <w:ind w:left="0" w:right="36" w:firstLine="0"/>
              <w:jc w:val="center"/>
            </w:pPr>
            <w:r>
              <w:rPr>
                <w:rFonts w:ascii="Arial" w:eastAsia="Arial" w:hAnsi="Arial" w:cs="Arial"/>
                <w:b/>
                <w:sz w:val="16"/>
              </w:rPr>
              <w:t xml:space="preserve">D1 </w:t>
            </w:r>
          </w:p>
        </w:tc>
        <w:tc>
          <w:tcPr>
            <w:tcW w:w="816" w:type="dxa"/>
            <w:tcBorders>
              <w:top w:val="single" w:sz="8" w:space="0" w:color="000000"/>
              <w:left w:val="single" w:sz="8" w:space="0" w:color="000000"/>
              <w:bottom w:val="single" w:sz="8" w:space="0" w:color="000000"/>
              <w:right w:val="single" w:sz="8" w:space="0" w:color="000000"/>
            </w:tcBorders>
            <w:vAlign w:val="center"/>
          </w:tcPr>
          <w:p w14:paraId="2AC700E7" w14:textId="77777777" w:rsidR="000B3C5C" w:rsidRDefault="00ED192D">
            <w:pPr>
              <w:spacing w:after="0" w:line="259" w:lineRule="auto"/>
              <w:ind w:left="0" w:right="37" w:firstLine="0"/>
              <w:jc w:val="center"/>
            </w:pPr>
            <w:r>
              <w:rPr>
                <w:rFonts w:ascii="Arial" w:eastAsia="Arial" w:hAnsi="Arial" w:cs="Arial"/>
                <w:b/>
                <w:sz w:val="16"/>
              </w:rPr>
              <w:t xml:space="preserve">D1 </w:t>
            </w:r>
          </w:p>
        </w:tc>
        <w:tc>
          <w:tcPr>
            <w:tcW w:w="1452" w:type="dxa"/>
            <w:tcBorders>
              <w:top w:val="single" w:sz="8" w:space="0" w:color="000000"/>
              <w:left w:val="single" w:sz="8" w:space="0" w:color="000000"/>
              <w:bottom w:val="single" w:sz="8" w:space="0" w:color="000000"/>
              <w:right w:val="single" w:sz="8" w:space="0" w:color="000000"/>
            </w:tcBorders>
            <w:vAlign w:val="center"/>
          </w:tcPr>
          <w:p w14:paraId="2F7A7835" w14:textId="77777777" w:rsidR="000B3C5C" w:rsidRDefault="00ED192D">
            <w:pPr>
              <w:spacing w:after="0" w:line="259" w:lineRule="auto"/>
              <w:ind w:left="0" w:right="35" w:firstLine="0"/>
              <w:jc w:val="center"/>
            </w:pPr>
            <w:r>
              <w:rPr>
                <w:rFonts w:ascii="Arial" w:eastAsia="Arial" w:hAnsi="Arial" w:cs="Arial"/>
                <w:b/>
                <w:sz w:val="16"/>
              </w:rPr>
              <w:t xml:space="preserve">D1 </w:t>
            </w:r>
          </w:p>
        </w:tc>
        <w:tc>
          <w:tcPr>
            <w:tcW w:w="1092" w:type="dxa"/>
            <w:tcBorders>
              <w:top w:val="single" w:sz="8" w:space="0" w:color="000000"/>
              <w:left w:val="single" w:sz="8" w:space="0" w:color="000000"/>
              <w:bottom w:val="single" w:sz="8" w:space="0" w:color="000000"/>
              <w:right w:val="single" w:sz="8" w:space="0" w:color="000000"/>
            </w:tcBorders>
          </w:tcPr>
          <w:p w14:paraId="08625E60" w14:textId="77777777" w:rsidR="000B3C5C" w:rsidRDefault="00ED192D">
            <w:pPr>
              <w:spacing w:after="0" w:line="259" w:lineRule="auto"/>
              <w:ind w:left="0" w:firstLine="0"/>
              <w:jc w:val="center"/>
            </w:pPr>
            <w:r>
              <w:rPr>
                <w:rFonts w:ascii="Arial" w:eastAsia="Arial" w:hAnsi="Arial" w:cs="Arial"/>
                <w:b/>
                <w:sz w:val="16"/>
              </w:rPr>
              <w:t xml:space="preserve">30 (±7) days after last IMP admin </w:t>
            </w:r>
          </w:p>
        </w:tc>
        <w:tc>
          <w:tcPr>
            <w:tcW w:w="1175" w:type="dxa"/>
            <w:tcBorders>
              <w:top w:val="single" w:sz="8" w:space="0" w:color="000000"/>
              <w:left w:val="single" w:sz="8" w:space="0" w:color="000000"/>
              <w:bottom w:val="single" w:sz="8" w:space="0" w:color="000000"/>
              <w:right w:val="single" w:sz="8" w:space="0" w:color="000000"/>
            </w:tcBorders>
          </w:tcPr>
          <w:p w14:paraId="40CB498A" w14:textId="77777777" w:rsidR="000B3C5C" w:rsidRDefault="00ED192D">
            <w:pPr>
              <w:spacing w:after="0" w:line="259" w:lineRule="auto"/>
              <w:ind w:left="0" w:firstLine="0"/>
              <w:jc w:val="center"/>
            </w:pPr>
            <w:r>
              <w:rPr>
                <w:rFonts w:ascii="Arial" w:eastAsia="Arial" w:hAnsi="Arial" w:cs="Arial"/>
                <w:b/>
                <w:sz w:val="16"/>
              </w:rPr>
              <w:t xml:space="preserve">60 (±7) days after last IMP admin </w:t>
            </w:r>
          </w:p>
        </w:tc>
        <w:tc>
          <w:tcPr>
            <w:tcW w:w="3449" w:type="dxa"/>
            <w:tcBorders>
              <w:top w:val="single" w:sz="8" w:space="0" w:color="000000"/>
              <w:left w:val="single" w:sz="8" w:space="0" w:color="000000"/>
              <w:bottom w:val="single" w:sz="8" w:space="0" w:color="000000"/>
              <w:right w:val="single" w:sz="8" w:space="0" w:color="000000"/>
            </w:tcBorders>
          </w:tcPr>
          <w:p w14:paraId="51D1039B" w14:textId="77777777" w:rsidR="000B3C5C" w:rsidRDefault="00ED192D">
            <w:pPr>
              <w:spacing w:after="0" w:line="259" w:lineRule="auto"/>
              <w:ind w:left="167" w:right="168" w:firstLine="0"/>
              <w:jc w:val="center"/>
            </w:pPr>
            <w:r>
              <w:rPr>
                <w:rFonts w:ascii="Arial" w:eastAsia="Arial" w:hAnsi="Arial" w:cs="Arial"/>
                <w:sz w:val="16"/>
              </w:rPr>
              <w:t xml:space="preserve">a. Biomarker blood draw may be performed within 1 working day prior to IMP administration. </w:t>
            </w:r>
          </w:p>
        </w:tc>
      </w:tr>
      <w:tr w:rsidR="000B3C5C" w14:paraId="7CD4CE6F" w14:textId="77777777">
        <w:trPr>
          <w:trHeight w:val="565"/>
        </w:trPr>
        <w:tc>
          <w:tcPr>
            <w:tcW w:w="2004" w:type="dxa"/>
            <w:gridSpan w:val="2"/>
            <w:vMerge w:val="restart"/>
            <w:tcBorders>
              <w:top w:val="single" w:sz="8" w:space="0" w:color="000000"/>
              <w:left w:val="single" w:sz="8" w:space="0" w:color="000000"/>
              <w:bottom w:val="single" w:sz="8" w:space="0" w:color="000000"/>
              <w:right w:val="single" w:sz="8" w:space="0" w:color="000000"/>
            </w:tcBorders>
            <w:vAlign w:val="center"/>
          </w:tcPr>
          <w:p w14:paraId="1BF0DD0C" w14:textId="77777777" w:rsidR="000B3C5C" w:rsidRDefault="00ED192D">
            <w:pPr>
              <w:spacing w:after="43" w:line="259" w:lineRule="auto"/>
              <w:ind w:left="0" w:firstLine="0"/>
            </w:pPr>
            <w:r>
              <w:rPr>
                <w:rFonts w:ascii="Arial" w:eastAsia="Arial" w:hAnsi="Arial" w:cs="Arial"/>
                <w:sz w:val="16"/>
              </w:rPr>
              <w:t xml:space="preserve">Peripheral Blood </w:t>
            </w:r>
          </w:p>
          <w:p w14:paraId="025CDB1F" w14:textId="77777777" w:rsidR="000B3C5C" w:rsidRDefault="00ED192D">
            <w:pPr>
              <w:spacing w:after="45" w:line="259" w:lineRule="auto"/>
              <w:ind w:left="0" w:right="1" w:firstLine="0"/>
              <w:jc w:val="center"/>
            </w:pPr>
            <w:r>
              <w:rPr>
                <w:rFonts w:ascii="Arial" w:eastAsia="Arial" w:hAnsi="Arial" w:cs="Arial"/>
                <w:sz w:val="16"/>
              </w:rPr>
              <w:t xml:space="preserve"> </w:t>
            </w:r>
          </w:p>
          <w:p w14:paraId="3F4EEBDC" w14:textId="77777777" w:rsidR="000B3C5C" w:rsidRDefault="00ED192D">
            <w:pPr>
              <w:spacing w:after="0" w:line="259" w:lineRule="auto"/>
              <w:ind w:left="0" w:right="1" w:firstLine="0"/>
              <w:jc w:val="center"/>
            </w:pPr>
            <w:r>
              <w:rPr>
                <w:rFonts w:ascii="Arial" w:eastAsia="Arial" w:hAnsi="Arial" w:cs="Arial"/>
                <w:sz w:val="16"/>
              </w:rPr>
              <w:t xml:space="preserve"> </w:t>
            </w:r>
          </w:p>
        </w:tc>
        <w:tc>
          <w:tcPr>
            <w:tcW w:w="1906" w:type="dxa"/>
            <w:tcBorders>
              <w:top w:val="single" w:sz="8" w:space="0" w:color="000000"/>
              <w:left w:val="single" w:sz="8" w:space="0" w:color="000000"/>
              <w:bottom w:val="single" w:sz="8" w:space="0" w:color="000000"/>
              <w:right w:val="single" w:sz="8" w:space="0" w:color="000000"/>
            </w:tcBorders>
          </w:tcPr>
          <w:p w14:paraId="51BB2838" w14:textId="77777777" w:rsidR="000B3C5C" w:rsidRDefault="00ED192D">
            <w:pPr>
              <w:spacing w:after="45" w:line="259" w:lineRule="auto"/>
              <w:ind w:left="0" w:firstLine="0"/>
            </w:pPr>
            <w:r>
              <w:rPr>
                <w:rFonts w:ascii="Arial" w:eastAsia="Arial" w:hAnsi="Arial" w:cs="Arial"/>
                <w:sz w:val="16"/>
              </w:rPr>
              <w:t xml:space="preserve"> </w:t>
            </w:r>
          </w:p>
          <w:p w14:paraId="1402E043" w14:textId="77777777" w:rsidR="000B3C5C" w:rsidRDefault="00ED192D">
            <w:pPr>
              <w:spacing w:after="0" w:line="259" w:lineRule="auto"/>
              <w:ind w:left="0" w:firstLine="0"/>
            </w:pPr>
            <w:r>
              <w:rPr>
                <w:rFonts w:ascii="Arial" w:eastAsia="Arial" w:hAnsi="Arial" w:cs="Arial"/>
                <w:sz w:val="16"/>
              </w:rPr>
              <w:t xml:space="preserve">Immune genetic markers </w:t>
            </w:r>
          </w:p>
        </w:tc>
        <w:tc>
          <w:tcPr>
            <w:tcW w:w="1090"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4D621DBD" w14:textId="77777777" w:rsidR="000B3C5C" w:rsidRDefault="00ED192D">
            <w:pPr>
              <w:spacing w:after="0" w:line="259" w:lineRule="auto"/>
              <w:ind w:left="0" w:right="4" w:firstLine="0"/>
              <w:jc w:val="center"/>
            </w:pPr>
            <w:r>
              <w:rPr>
                <w:rFonts w:ascii="Arial" w:eastAsia="Arial" w:hAnsi="Arial" w:cs="Arial"/>
                <w:sz w:val="16"/>
              </w:rPr>
              <w:t xml:space="preserve"> </w:t>
            </w:r>
          </w:p>
        </w:tc>
        <w:tc>
          <w:tcPr>
            <w:tcW w:w="636" w:type="dxa"/>
            <w:tcBorders>
              <w:top w:val="single" w:sz="8" w:space="0" w:color="000000"/>
              <w:left w:val="single" w:sz="8" w:space="0" w:color="000000"/>
              <w:bottom w:val="single" w:sz="8" w:space="0" w:color="000000"/>
              <w:right w:val="single" w:sz="8" w:space="0" w:color="000000"/>
            </w:tcBorders>
            <w:vAlign w:val="center"/>
          </w:tcPr>
          <w:p w14:paraId="481BCCBA"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644"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6D89D914" w14:textId="77777777" w:rsidR="000B3C5C" w:rsidRDefault="00ED192D">
            <w:pPr>
              <w:spacing w:after="0" w:line="259" w:lineRule="auto"/>
              <w:ind w:left="0" w:firstLine="0"/>
              <w:jc w:val="center"/>
            </w:pPr>
            <w:r>
              <w:rPr>
                <w:rFonts w:ascii="Arial" w:eastAsia="Arial" w:hAnsi="Arial" w:cs="Arial"/>
                <w:sz w:val="16"/>
              </w:rPr>
              <w:t xml:space="preserve"> </w:t>
            </w:r>
          </w:p>
        </w:tc>
        <w:tc>
          <w:tcPr>
            <w:tcW w:w="816"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5C59C87A" w14:textId="77777777" w:rsidR="000B3C5C" w:rsidRDefault="00ED192D">
            <w:pPr>
              <w:spacing w:after="0" w:line="259" w:lineRule="auto"/>
              <w:ind w:left="0" w:right="2" w:firstLine="0"/>
              <w:jc w:val="center"/>
            </w:pPr>
            <w:r>
              <w:rPr>
                <w:rFonts w:ascii="Arial" w:eastAsia="Arial" w:hAnsi="Arial" w:cs="Arial"/>
                <w:sz w:val="16"/>
              </w:rPr>
              <w:t xml:space="preserve"> </w:t>
            </w:r>
          </w:p>
        </w:tc>
        <w:tc>
          <w:tcPr>
            <w:tcW w:w="145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7B6CE608" w14:textId="77777777" w:rsidR="000B3C5C" w:rsidRDefault="00ED192D">
            <w:pPr>
              <w:spacing w:after="0" w:line="259" w:lineRule="auto"/>
              <w:ind w:left="1" w:firstLine="0"/>
              <w:jc w:val="center"/>
            </w:pPr>
            <w:r>
              <w:rPr>
                <w:rFonts w:ascii="Arial" w:eastAsia="Arial" w:hAnsi="Arial" w:cs="Arial"/>
                <w:sz w:val="16"/>
              </w:rPr>
              <w:t xml:space="preserve"> </w:t>
            </w:r>
          </w:p>
        </w:tc>
        <w:tc>
          <w:tcPr>
            <w:tcW w:w="109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1BC1A876" w14:textId="77777777" w:rsidR="000B3C5C" w:rsidRDefault="00ED192D">
            <w:pPr>
              <w:spacing w:after="0" w:line="259" w:lineRule="auto"/>
              <w:ind w:left="1" w:firstLine="0"/>
              <w:jc w:val="center"/>
            </w:pPr>
            <w:r>
              <w:rPr>
                <w:rFonts w:ascii="Arial" w:eastAsia="Arial" w:hAnsi="Arial" w:cs="Arial"/>
                <w:sz w:val="16"/>
              </w:rPr>
              <w:t xml:space="preserve"> </w:t>
            </w:r>
          </w:p>
        </w:tc>
        <w:tc>
          <w:tcPr>
            <w:tcW w:w="1175"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6F686B64" w14:textId="77777777" w:rsidR="000B3C5C" w:rsidRDefault="00ED192D">
            <w:pPr>
              <w:spacing w:after="0" w:line="259" w:lineRule="auto"/>
              <w:ind w:left="5" w:firstLine="0"/>
              <w:jc w:val="center"/>
            </w:pPr>
            <w:r>
              <w:rPr>
                <w:rFonts w:ascii="Arial" w:eastAsia="Arial" w:hAnsi="Arial" w:cs="Arial"/>
                <w:sz w:val="16"/>
              </w:rPr>
              <w:t xml:space="preserve"> </w:t>
            </w:r>
          </w:p>
        </w:tc>
        <w:tc>
          <w:tcPr>
            <w:tcW w:w="3449" w:type="dxa"/>
            <w:tcBorders>
              <w:top w:val="single" w:sz="8" w:space="0" w:color="000000"/>
              <w:left w:val="single" w:sz="8" w:space="0" w:color="000000"/>
              <w:bottom w:val="single" w:sz="8" w:space="0" w:color="000000"/>
              <w:right w:val="single" w:sz="8" w:space="0" w:color="000000"/>
            </w:tcBorders>
          </w:tcPr>
          <w:p w14:paraId="13ECC1D5" w14:textId="77777777" w:rsidR="000B3C5C" w:rsidRDefault="00ED192D">
            <w:pPr>
              <w:spacing w:after="0" w:line="259" w:lineRule="auto"/>
              <w:ind w:left="3" w:firstLine="0"/>
              <w:jc w:val="center"/>
            </w:pPr>
            <w:r>
              <w:rPr>
                <w:rFonts w:ascii="Arial" w:eastAsia="Arial" w:hAnsi="Arial" w:cs="Arial"/>
                <w:sz w:val="16"/>
              </w:rPr>
              <w:t xml:space="preserve"> </w:t>
            </w:r>
          </w:p>
        </w:tc>
      </w:tr>
      <w:tr w:rsidR="000B3C5C" w14:paraId="4D9EBB93" w14:textId="77777777">
        <w:trPr>
          <w:trHeight w:val="508"/>
        </w:trPr>
        <w:tc>
          <w:tcPr>
            <w:tcW w:w="0" w:type="auto"/>
            <w:gridSpan w:val="2"/>
            <w:vMerge/>
            <w:tcBorders>
              <w:top w:val="nil"/>
              <w:left w:val="single" w:sz="8" w:space="0" w:color="000000"/>
              <w:bottom w:val="nil"/>
              <w:right w:val="single" w:sz="8" w:space="0" w:color="000000"/>
            </w:tcBorders>
          </w:tcPr>
          <w:p w14:paraId="0B007229" w14:textId="77777777" w:rsidR="000B3C5C" w:rsidRDefault="000B3C5C">
            <w:pPr>
              <w:spacing w:after="160" w:line="259" w:lineRule="auto"/>
              <w:ind w:left="0" w:firstLine="0"/>
            </w:pPr>
          </w:p>
        </w:tc>
        <w:tc>
          <w:tcPr>
            <w:tcW w:w="1906" w:type="dxa"/>
            <w:tcBorders>
              <w:top w:val="single" w:sz="8" w:space="0" w:color="000000"/>
              <w:left w:val="single" w:sz="8" w:space="0" w:color="000000"/>
              <w:bottom w:val="single" w:sz="8" w:space="0" w:color="000000"/>
              <w:right w:val="single" w:sz="8" w:space="0" w:color="000000"/>
            </w:tcBorders>
          </w:tcPr>
          <w:p w14:paraId="2B284FB6" w14:textId="77777777" w:rsidR="000B3C5C" w:rsidRDefault="00ED192D">
            <w:pPr>
              <w:spacing w:after="0" w:line="259" w:lineRule="auto"/>
              <w:ind w:left="0" w:firstLine="0"/>
            </w:pPr>
            <w:r>
              <w:rPr>
                <w:rFonts w:ascii="Arial" w:eastAsia="Arial" w:hAnsi="Arial" w:cs="Arial"/>
                <w:sz w:val="16"/>
              </w:rPr>
              <w:t xml:space="preserve">Tumor mutational profile (plasma cell free DNA) </w:t>
            </w:r>
          </w:p>
        </w:tc>
        <w:tc>
          <w:tcPr>
            <w:tcW w:w="1090"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4486B12A" w14:textId="77777777" w:rsidR="000B3C5C" w:rsidRDefault="00ED192D">
            <w:pPr>
              <w:spacing w:after="0" w:line="259" w:lineRule="auto"/>
              <w:ind w:left="0" w:right="4" w:firstLine="0"/>
              <w:jc w:val="center"/>
            </w:pPr>
            <w:r>
              <w:rPr>
                <w:rFonts w:ascii="Arial" w:eastAsia="Arial" w:hAnsi="Arial" w:cs="Arial"/>
                <w:sz w:val="16"/>
              </w:rPr>
              <w:t xml:space="preserve"> </w:t>
            </w:r>
          </w:p>
        </w:tc>
        <w:tc>
          <w:tcPr>
            <w:tcW w:w="636" w:type="dxa"/>
            <w:tcBorders>
              <w:top w:val="single" w:sz="8" w:space="0" w:color="000000"/>
              <w:left w:val="single" w:sz="8" w:space="0" w:color="000000"/>
              <w:bottom w:val="single" w:sz="8" w:space="0" w:color="000000"/>
              <w:right w:val="single" w:sz="8" w:space="0" w:color="000000"/>
            </w:tcBorders>
            <w:vAlign w:val="center"/>
          </w:tcPr>
          <w:p w14:paraId="7E476D00"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644" w:type="dxa"/>
            <w:tcBorders>
              <w:top w:val="single" w:sz="8" w:space="0" w:color="000000"/>
              <w:left w:val="single" w:sz="8" w:space="0" w:color="000000"/>
              <w:bottom w:val="single" w:sz="8" w:space="0" w:color="000000"/>
              <w:right w:val="single" w:sz="8" w:space="0" w:color="000000"/>
            </w:tcBorders>
            <w:vAlign w:val="center"/>
          </w:tcPr>
          <w:p w14:paraId="152D838D" w14:textId="77777777" w:rsidR="000B3C5C" w:rsidRDefault="00ED192D">
            <w:pPr>
              <w:spacing w:after="0" w:line="259" w:lineRule="auto"/>
              <w:ind w:left="0" w:right="35" w:firstLine="0"/>
              <w:jc w:val="center"/>
            </w:pPr>
            <w:r>
              <w:rPr>
                <w:rFonts w:ascii="Arial" w:eastAsia="Arial" w:hAnsi="Arial" w:cs="Arial"/>
                <w:sz w:val="16"/>
              </w:rPr>
              <w:t xml:space="preserve">X </w:t>
            </w:r>
          </w:p>
        </w:tc>
        <w:tc>
          <w:tcPr>
            <w:tcW w:w="816" w:type="dxa"/>
            <w:tcBorders>
              <w:top w:val="single" w:sz="8" w:space="0" w:color="000000"/>
              <w:left w:val="single" w:sz="8" w:space="0" w:color="000000"/>
              <w:bottom w:val="single" w:sz="8" w:space="0" w:color="000000"/>
              <w:right w:val="single" w:sz="8" w:space="0" w:color="000000"/>
            </w:tcBorders>
            <w:vAlign w:val="center"/>
          </w:tcPr>
          <w:p w14:paraId="0E1C76F1"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145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750BB04C" w14:textId="77777777" w:rsidR="000B3C5C" w:rsidRDefault="00ED192D">
            <w:pPr>
              <w:spacing w:after="0" w:line="259" w:lineRule="auto"/>
              <w:ind w:left="1" w:firstLine="0"/>
              <w:jc w:val="center"/>
            </w:pPr>
            <w:r>
              <w:rPr>
                <w:rFonts w:ascii="Arial" w:eastAsia="Arial" w:hAnsi="Arial" w:cs="Arial"/>
                <w:sz w:val="16"/>
              </w:rPr>
              <w:t xml:space="preserve"> </w:t>
            </w:r>
          </w:p>
        </w:tc>
        <w:tc>
          <w:tcPr>
            <w:tcW w:w="1092" w:type="dxa"/>
            <w:tcBorders>
              <w:top w:val="single" w:sz="8" w:space="0" w:color="000000"/>
              <w:left w:val="single" w:sz="8" w:space="0" w:color="000000"/>
              <w:bottom w:val="single" w:sz="8" w:space="0" w:color="000000"/>
              <w:right w:val="single" w:sz="8" w:space="0" w:color="000000"/>
            </w:tcBorders>
            <w:vAlign w:val="center"/>
          </w:tcPr>
          <w:p w14:paraId="5C774F04" w14:textId="77777777" w:rsidR="000B3C5C" w:rsidRDefault="00ED192D">
            <w:pPr>
              <w:spacing w:after="0" w:line="259" w:lineRule="auto"/>
              <w:ind w:left="0" w:right="34" w:firstLine="0"/>
              <w:jc w:val="center"/>
            </w:pPr>
            <w:r>
              <w:rPr>
                <w:rFonts w:ascii="Arial" w:eastAsia="Arial" w:hAnsi="Arial" w:cs="Arial"/>
                <w:sz w:val="16"/>
              </w:rPr>
              <w:t xml:space="preserve">X </w:t>
            </w:r>
          </w:p>
        </w:tc>
        <w:tc>
          <w:tcPr>
            <w:tcW w:w="1175"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681F2C96" w14:textId="77777777" w:rsidR="000B3C5C" w:rsidRDefault="00ED192D">
            <w:pPr>
              <w:spacing w:after="0" w:line="259" w:lineRule="auto"/>
              <w:ind w:left="5" w:firstLine="0"/>
              <w:jc w:val="center"/>
            </w:pPr>
            <w:r>
              <w:rPr>
                <w:rFonts w:ascii="Arial" w:eastAsia="Arial" w:hAnsi="Arial" w:cs="Arial"/>
                <w:sz w:val="16"/>
              </w:rPr>
              <w:t xml:space="preserve"> </w:t>
            </w:r>
          </w:p>
        </w:tc>
        <w:tc>
          <w:tcPr>
            <w:tcW w:w="3449" w:type="dxa"/>
            <w:tcBorders>
              <w:top w:val="single" w:sz="8" w:space="0" w:color="000000"/>
              <w:left w:val="single" w:sz="8" w:space="0" w:color="000000"/>
              <w:bottom w:val="single" w:sz="8" w:space="0" w:color="000000"/>
              <w:right w:val="single" w:sz="8" w:space="0" w:color="000000"/>
            </w:tcBorders>
          </w:tcPr>
          <w:p w14:paraId="0EFE520F" w14:textId="77777777" w:rsidR="000B3C5C" w:rsidRDefault="00ED192D">
            <w:pPr>
              <w:spacing w:after="0" w:line="259" w:lineRule="auto"/>
              <w:ind w:left="3" w:firstLine="0"/>
              <w:jc w:val="center"/>
            </w:pPr>
            <w:r>
              <w:rPr>
                <w:rFonts w:ascii="Arial" w:eastAsia="Arial" w:hAnsi="Arial" w:cs="Arial"/>
                <w:sz w:val="16"/>
              </w:rPr>
              <w:t xml:space="preserve"> </w:t>
            </w:r>
          </w:p>
        </w:tc>
      </w:tr>
      <w:tr w:rsidR="000B3C5C" w14:paraId="51ED710C" w14:textId="77777777">
        <w:trPr>
          <w:trHeight w:val="322"/>
        </w:trPr>
        <w:tc>
          <w:tcPr>
            <w:tcW w:w="0" w:type="auto"/>
            <w:gridSpan w:val="2"/>
            <w:vMerge/>
            <w:tcBorders>
              <w:top w:val="nil"/>
              <w:left w:val="single" w:sz="8" w:space="0" w:color="000000"/>
              <w:bottom w:val="nil"/>
              <w:right w:val="single" w:sz="8" w:space="0" w:color="000000"/>
            </w:tcBorders>
          </w:tcPr>
          <w:p w14:paraId="5D8EE419" w14:textId="77777777" w:rsidR="000B3C5C" w:rsidRDefault="000B3C5C">
            <w:pPr>
              <w:spacing w:after="160" w:line="259" w:lineRule="auto"/>
              <w:ind w:left="0" w:firstLine="0"/>
            </w:pPr>
          </w:p>
        </w:tc>
        <w:tc>
          <w:tcPr>
            <w:tcW w:w="1906" w:type="dxa"/>
            <w:tcBorders>
              <w:top w:val="single" w:sz="8" w:space="0" w:color="000000"/>
              <w:left w:val="single" w:sz="8" w:space="0" w:color="000000"/>
              <w:bottom w:val="single" w:sz="8" w:space="0" w:color="000000"/>
              <w:right w:val="single" w:sz="8" w:space="0" w:color="000000"/>
            </w:tcBorders>
          </w:tcPr>
          <w:p w14:paraId="4DD169EC" w14:textId="77777777" w:rsidR="000B3C5C" w:rsidRDefault="00ED192D">
            <w:pPr>
              <w:spacing w:after="0" w:line="259" w:lineRule="auto"/>
              <w:ind w:left="0" w:firstLine="0"/>
            </w:pPr>
            <w:r>
              <w:rPr>
                <w:rFonts w:ascii="Arial" w:eastAsia="Arial" w:hAnsi="Arial" w:cs="Arial"/>
                <w:sz w:val="16"/>
              </w:rPr>
              <w:t xml:space="preserve">Immunophenotyping </w:t>
            </w:r>
          </w:p>
        </w:tc>
        <w:tc>
          <w:tcPr>
            <w:tcW w:w="1090" w:type="dxa"/>
            <w:tcBorders>
              <w:top w:val="single" w:sz="8" w:space="0" w:color="000000"/>
              <w:left w:val="single" w:sz="8" w:space="0" w:color="000000"/>
              <w:bottom w:val="single" w:sz="8" w:space="0" w:color="000000"/>
              <w:right w:val="single" w:sz="8" w:space="0" w:color="000000"/>
            </w:tcBorders>
            <w:shd w:val="clear" w:color="auto" w:fill="7F7F7F"/>
          </w:tcPr>
          <w:p w14:paraId="75D97094" w14:textId="77777777" w:rsidR="000B3C5C" w:rsidRDefault="00ED192D">
            <w:pPr>
              <w:spacing w:after="0" w:line="259" w:lineRule="auto"/>
              <w:ind w:left="0" w:right="4" w:firstLine="0"/>
              <w:jc w:val="center"/>
            </w:pPr>
            <w:r>
              <w:rPr>
                <w:rFonts w:ascii="Arial" w:eastAsia="Arial" w:hAnsi="Arial" w:cs="Arial"/>
                <w:sz w:val="16"/>
              </w:rPr>
              <w:t xml:space="preserve"> </w:t>
            </w:r>
          </w:p>
        </w:tc>
        <w:tc>
          <w:tcPr>
            <w:tcW w:w="636" w:type="dxa"/>
            <w:tcBorders>
              <w:top w:val="single" w:sz="8" w:space="0" w:color="000000"/>
              <w:left w:val="single" w:sz="8" w:space="0" w:color="000000"/>
              <w:bottom w:val="single" w:sz="8" w:space="0" w:color="000000"/>
              <w:right w:val="single" w:sz="8" w:space="0" w:color="000000"/>
            </w:tcBorders>
          </w:tcPr>
          <w:p w14:paraId="31C0C28C"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644" w:type="dxa"/>
            <w:tcBorders>
              <w:top w:val="single" w:sz="8" w:space="0" w:color="000000"/>
              <w:left w:val="single" w:sz="8" w:space="0" w:color="000000"/>
              <w:bottom w:val="single" w:sz="8" w:space="0" w:color="000000"/>
              <w:right w:val="single" w:sz="8" w:space="0" w:color="000000"/>
            </w:tcBorders>
          </w:tcPr>
          <w:p w14:paraId="4AF4342C" w14:textId="77777777" w:rsidR="000B3C5C" w:rsidRDefault="00ED192D">
            <w:pPr>
              <w:spacing w:after="0" w:line="259" w:lineRule="auto"/>
              <w:ind w:left="0" w:right="35" w:firstLine="0"/>
              <w:jc w:val="center"/>
            </w:pPr>
            <w:r>
              <w:rPr>
                <w:rFonts w:ascii="Arial" w:eastAsia="Arial" w:hAnsi="Arial" w:cs="Arial"/>
                <w:sz w:val="16"/>
              </w:rPr>
              <w:t xml:space="preserve">X </w:t>
            </w:r>
          </w:p>
        </w:tc>
        <w:tc>
          <w:tcPr>
            <w:tcW w:w="816" w:type="dxa"/>
            <w:tcBorders>
              <w:top w:val="single" w:sz="8" w:space="0" w:color="000000"/>
              <w:left w:val="single" w:sz="8" w:space="0" w:color="000000"/>
              <w:bottom w:val="single" w:sz="8" w:space="0" w:color="000000"/>
              <w:right w:val="single" w:sz="8" w:space="0" w:color="000000"/>
            </w:tcBorders>
          </w:tcPr>
          <w:p w14:paraId="1582687C"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1452" w:type="dxa"/>
            <w:tcBorders>
              <w:top w:val="single" w:sz="8" w:space="0" w:color="000000"/>
              <w:left w:val="single" w:sz="8" w:space="0" w:color="000000"/>
              <w:bottom w:val="single" w:sz="8" w:space="0" w:color="000000"/>
              <w:right w:val="single" w:sz="8" w:space="0" w:color="000000"/>
            </w:tcBorders>
          </w:tcPr>
          <w:p w14:paraId="46EF111F" w14:textId="77777777" w:rsidR="000B3C5C" w:rsidRDefault="00ED192D">
            <w:pPr>
              <w:spacing w:after="0" w:line="259" w:lineRule="auto"/>
              <w:ind w:left="0" w:right="35" w:firstLine="0"/>
              <w:jc w:val="center"/>
            </w:pPr>
            <w:r>
              <w:rPr>
                <w:rFonts w:ascii="Arial" w:eastAsia="Arial" w:hAnsi="Arial" w:cs="Arial"/>
                <w:sz w:val="16"/>
              </w:rPr>
              <w:t xml:space="preserve">X (odd cycles only)  </w:t>
            </w:r>
          </w:p>
        </w:tc>
        <w:tc>
          <w:tcPr>
            <w:tcW w:w="1092" w:type="dxa"/>
            <w:tcBorders>
              <w:top w:val="single" w:sz="8" w:space="0" w:color="000000"/>
              <w:left w:val="single" w:sz="8" w:space="0" w:color="000000"/>
              <w:bottom w:val="single" w:sz="8" w:space="0" w:color="000000"/>
              <w:right w:val="single" w:sz="8" w:space="0" w:color="000000"/>
            </w:tcBorders>
          </w:tcPr>
          <w:p w14:paraId="5C70B551" w14:textId="77777777" w:rsidR="000B3C5C" w:rsidRDefault="00ED192D">
            <w:pPr>
              <w:spacing w:after="0" w:line="259" w:lineRule="auto"/>
              <w:ind w:left="0" w:right="34" w:firstLine="0"/>
              <w:jc w:val="center"/>
            </w:pPr>
            <w:r>
              <w:rPr>
                <w:rFonts w:ascii="Arial" w:eastAsia="Arial" w:hAnsi="Arial" w:cs="Arial"/>
                <w:sz w:val="16"/>
              </w:rPr>
              <w:t xml:space="preserve">X </w:t>
            </w:r>
          </w:p>
        </w:tc>
        <w:tc>
          <w:tcPr>
            <w:tcW w:w="1175" w:type="dxa"/>
            <w:tcBorders>
              <w:top w:val="single" w:sz="8" w:space="0" w:color="000000"/>
              <w:left w:val="single" w:sz="8" w:space="0" w:color="000000"/>
              <w:bottom w:val="single" w:sz="8" w:space="0" w:color="000000"/>
              <w:right w:val="single" w:sz="8" w:space="0" w:color="000000"/>
            </w:tcBorders>
          </w:tcPr>
          <w:p w14:paraId="6AE8C335" w14:textId="77777777" w:rsidR="000B3C5C" w:rsidRDefault="00ED192D">
            <w:pPr>
              <w:spacing w:after="0" w:line="259" w:lineRule="auto"/>
              <w:ind w:left="0" w:right="30" w:firstLine="0"/>
              <w:jc w:val="center"/>
            </w:pPr>
            <w:r>
              <w:rPr>
                <w:rFonts w:ascii="Arial" w:eastAsia="Arial" w:hAnsi="Arial" w:cs="Arial"/>
                <w:sz w:val="16"/>
              </w:rPr>
              <w:t xml:space="preserve">X </w:t>
            </w:r>
          </w:p>
        </w:tc>
        <w:tc>
          <w:tcPr>
            <w:tcW w:w="3449" w:type="dxa"/>
            <w:tcBorders>
              <w:top w:val="single" w:sz="8" w:space="0" w:color="000000"/>
              <w:left w:val="single" w:sz="8" w:space="0" w:color="000000"/>
              <w:bottom w:val="single" w:sz="8" w:space="0" w:color="000000"/>
              <w:right w:val="single" w:sz="8" w:space="0" w:color="000000"/>
            </w:tcBorders>
          </w:tcPr>
          <w:p w14:paraId="7E95BFD6" w14:textId="77777777" w:rsidR="000B3C5C" w:rsidRDefault="00ED192D">
            <w:pPr>
              <w:spacing w:after="0" w:line="259" w:lineRule="auto"/>
              <w:ind w:left="0" w:right="34" w:firstLine="0"/>
              <w:jc w:val="center"/>
            </w:pPr>
            <w:r>
              <w:rPr>
                <w:rFonts w:ascii="Arial" w:eastAsia="Arial" w:hAnsi="Arial" w:cs="Arial"/>
                <w:sz w:val="16"/>
              </w:rPr>
              <w:t xml:space="preserve">Only for Phase 2 Stage 2 participants </w:t>
            </w:r>
          </w:p>
        </w:tc>
      </w:tr>
      <w:tr w:rsidR="000B3C5C" w14:paraId="6E07A7BD" w14:textId="77777777">
        <w:trPr>
          <w:trHeight w:val="328"/>
        </w:trPr>
        <w:tc>
          <w:tcPr>
            <w:tcW w:w="0" w:type="auto"/>
            <w:gridSpan w:val="2"/>
            <w:vMerge/>
            <w:tcBorders>
              <w:top w:val="nil"/>
              <w:left w:val="single" w:sz="8" w:space="0" w:color="000000"/>
              <w:bottom w:val="nil"/>
              <w:right w:val="single" w:sz="8" w:space="0" w:color="000000"/>
            </w:tcBorders>
          </w:tcPr>
          <w:p w14:paraId="1D16C063" w14:textId="77777777" w:rsidR="000B3C5C" w:rsidRDefault="000B3C5C">
            <w:pPr>
              <w:spacing w:after="160" w:line="259" w:lineRule="auto"/>
              <w:ind w:left="0" w:firstLine="0"/>
            </w:pPr>
          </w:p>
        </w:tc>
        <w:tc>
          <w:tcPr>
            <w:tcW w:w="1906" w:type="dxa"/>
            <w:tcBorders>
              <w:top w:val="single" w:sz="8" w:space="0" w:color="000000"/>
              <w:left w:val="single" w:sz="8" w:space="0" w:color="000000"/>
              <w:bottom w:val="single" w:sz="8" w:space="0" w:color="000000"/>
              <w:right w:val="single" w:sz="8" w:space="0" w:color="000000"/>
            </w:tcBorders>
          </w:tcPr>
          <w:p w14:paraId="0CDF6671" w14:textId="77777777" w:rsidR="000B3C5C" w:rsidRDefault="00ED192D">
            <w:pPr>
              <w:spacing w:after="0" w:line="259" w:lineRule="auto"/>
              <w:ind w:left="0" w:firstLine="0"/>
            </w:pPr>
            <w:r>
              <w:rPr>
                <w:rFonts w:ascii="Arial" w:eastAsia="Arial" w:hAnsi="Arial" w:cs="Arial"/>
                <w:sz w:val="16"/>
              </w:rPr>
              <w:t xml:space="preserve">Plasma or serum cytokines </w:t>
            </w:r>
          </w:p>
        </w:tc>
        <w:tc>
          <w:tcPr>
            <w:tcW w:w="1090" w:type="dxa"/>
            <w:tcBorders>
              <w:top w:val="single" w:sz="8" w:space="0" w:color="000000"/>
              <w:left w:val="single" w:sz="8" w:space="0" w:color="000000"/>
              <w:bottom w:val="single" w:sz="8" w:space="0" w:color="000000"/>
              <w:right w:val="single" w:sz="8" w:space="0" w:color="000000"/>
            </w:tcBorders>
          </w:tcPr>
          <w:p w14:paraId="7169B3AC" w14:textId="77777777" w:rsidR="000B3C5C" w:rsidRDefault="00ED192D">
            <w:pPr>
              <w:spacing w:after="0" w:line="259" w:lineRule="auto"/>
              <w:ind w:left="0" w:right="39" w:firstLine="0"/>
              <w:jc w:val="center"/>
            </w:pPr>
            <w:r>
              <w:rPr>
                <w:rFonts w:ascii="Arial" w:eastAsia="Arial" w:hAnsi="Arial" w:cs="Arial"/>
                <w:sz w:val="16"/>
              </w:rPr>
              <w:t xml:space="preserve">X </w:t>
            </w:r>
          </w:p>
        </w:tc>
        <w:tc>
          <w:tcPr>
            <w:tcW w:w="636" w:type="dxa"/>
            <w:tcBorders>
              <w:top w:val="single" w:sz="8" w:space="0" w:color="000000"/>
              <w:left w:val="single" w:sz="8" w:space="0" w:color="000000"/>
              <w:bottom w:val="single" w:sz="8" w:space="0" w:color="000000"/>
              <w:right w:val="single" w:sz="8" w:space="0" w:color="000000"/>
            </w:tcBorders>
          </w:tcPr>
          <w:p w14:paraId="7F1EB748"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644" w:type="dxa"/>
            <w:tcBorders>
              <w:top w:val="single" w:sz="8" w:space="0" w:color="000000"/>
              <w:left w:val="single" w:sz="8" w:space="0" w:color="000000"/>
              <w:bottom w:val="single" w:sz="8" w:space="0" w:color="000000"/>
              <w:right w:val="single" w:sz="8" w:space="0" w:color="000000"/>
            </w:tcBorders>
          </w:tcPr>
          <w:p w14:paraId="586A3147" w14:textId="77777777" w:rsidR="000B3C5C" w:rsidRDefault="00ED192D">
            <w:pPr>
              <w:spacing w:after="0" w:line="259" w:lineRule="auto"/>
              <w:ind w:left="0" w:right="35" w:firstLine="0"/>
              <w:jc w:val="center"/>
            </w:pPr>
            <w:r>
              <w:rPr>
                <w:rFonts w:ascii="Arial" w:eastAsia="Arial" w:hAnsi="Arial" w:cs="Arial"/>
                <w:sz w:val="16"/>
              </w:rPr>
              <w:t xml:space="preserve">X </w:t>
            </w:r>
          </w:p>
        </w:tc>
        <w:tc>
          <w:tcPr>
            <w:tcW w:w="816" w:type="dxa"/>
            <w:tcBorders>
              <w:top w:val="single" w:sz="8" w:space="0" w:color="000000"/>
              <w:left w:val="single" w:sz="8" w:space="0" w:color="000000"/>
              <w:bottom w:val="single" w:sz="8" w:space="0" w:color="000000"/>
              <w:right w:val="single" w:sz="8" w:space="0" w:color="000000"/>
            </w:tcBorders>
          </w:tcPr>
          <w:p w14:paraId="7CF14ED3"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1452" w:type="dxa"/>
            <w:tcBorders>
              <w:top w:val="single" w:sz="8" w:space="0" w:color="000000"/>
              <w:left w:val="single" w:sz="8" w:space="0" w:color="000000"/>
              <w:bottom w:val="single" w:sz="8" w:space="0" w:color="000000"/>
              <w:right w:val="single" w:sz="8" w:space="0" w:color="000000"/>
            </w:tcBorders>
          </w:tcPr>
          <w:p w14:paraId="5069F348" w14:textId="77777777" w:rsidR="000B3C5C" w:rsidRDefault="00ED192D">
            <w:pPr>
              <w:spacing w:after="0" w:line="259" w:lineRule="auto"/>
              <w:ind w:left="0" w:right="35" w:firstLine="0"/>
              <w:jc w:val="center"/>
            </w:pPr>
            <w:r>
              <w:rPr>
                <w:rFonts w:ascii="Arial" w:eastAsia="Arial" w:hAnsi="Arial" w:cs="Arial"/>
                <w:sz w:val="16"/>
              </w:rPr>
              <w:t xml:space="preserve">X (odd cycles only)  </w:t>
            </w:r>
          </w:p>
        </w:tc>
        <w:tc>
          <w:tcPr>
            <w:tcW w:w="1092" w:type="dxa"/>
            <w:tcBorders>
              <w:top w:val="single" w:sz="8" w:space="0" w:color="000000"/>
              <w:left w:val="single" w:sz="8" w:space="0" w:color="000000"/>
              <w:bottom w:val="single" w:sz="8" w:space="0" w:color="000000"/>
              <w:right w:val="single" w:sz="8" w:space="0" w:color="000000"/>
            </w:tcBorders>
          </w:tcPr>
          <w:p w14:paraId="0BA6E9F3" w14:textId="77777777" w:rsidR="000B3C5C" w:rsidRDefault="00ED192D">
            <w:pPr>
              <w:spacing w:after="0" w:line="259" w:lineRule="auto"/>
              <w:ind w:left="0" w:right="34" w:firstLine="0"/>
              <w:jc w:val="center"/>
            </w:pPr>
            <w:r>
              <w:rPr>
                <w:rFonts w:ascii="Arial" w:eastAsia="Arial" w:hAnsi="Arial" w:cs="Arial"/>
                <w:sz w:val="16"/>
              </w:rPr>
              <w:t xml:space="preserve">X </w:t>
            </w:r>
          </w:p>
        </w:tc>
        <w:tc>
          <w:tcPr>
            <w:tcW w:w="1175" w:type="dxa"/>
            <w:tcBorders>
              <w:top w:val="single" w:sz="8" w:space="0" w:color="000000"/>
              <w:left w:val="single" w:sz="8" w:space="0" w:color="000000"/>
              <w:bottom w:val="single" w:sz="8" w:space="0" w:color="000000"/>
              <w:right w:val="single" w:sz="8" w:space="0" w:color="000000"/>
            </w:tcBorders>
          </w:tcPr>
          <w:p w14:paraId="1D69CC1F" w14:textId="77777777" w:rsidR="000B3C5C" w:rsidRDefault="00ED192D">
            <w:pPr>
              <w:spacing w:after="0" w:line="259" w:lineRule="auto"/>
              <w:ind w:left="0" w:right="30" w:firstLine="0"/>
              <w:jc w:val="center"/>
            </w:pPr>
            <w:r>
              <w:rPr>
                <w:rFonts w:ascii="Arial" w:eastAsia="Arial" w:hAnsi="Arial" w:cs="Arial"/>
                <w:sz w:val="16"/>
              </w:rPr>
              <w:t xml:space="preserve">X </w:t>
            </w:r>
          </w:p>
        </w:tc>
        <w:tc>
          <w:tcPr>
            <w:tcW w:w="3449" w:type="dxa"/>
            <w:tcBorders>
              <w:top w:val="single" w:sz="8" w:space="0" w:color="000000"/>
              <w:left w:val="single" w:sz="8" w:space="0" w:color="000000"/>
              <w:bottom w:val="single" w:sz="8" w:space="0" w:color="000000"/>
              <w:right w:val="single" w:sz="8" w:space="0" w:color="000000"/>
            </w:tcBorders>
          </w:tcPr>
          <w:p w14:paraId="7EC8879E" w14:textId="77777777" w:rsidR="000B3C5C" w:rsidRDefault="00ED192D">
            <w:pPr>
              <w:spacing w:after="0" w:line="259" w:lineRule="auto"/>
              <w:ind w:left="0" w:right="34" w:firstLine="0"/>
              <w:jc w:val="center"/>
            </w:pPr>
            <w:r>
              <w:rPr>
                <w:rFonts w:ascii="Arial" w:eastAsia="Arial" w:hAnsi="Arial" w:cs="Arial"/>
                <w:sz w:val="16"/>
              </w:rPr>
              <w:t xml:space="preserve">Only for Phase 2 Stage 2 participants </w:t>
            </w:r>
          </w:p>
        </w:tc>
      </w:tr>
      <w:tr w:rsidR="000B3C5C" w14:paraId="76BDD5A2" w14:textId="77777777">
        <w:trPr>
          <w:trHeight w:val="689"/>
        </w:trPr>
        <w:tc>
          <w:tcPr>
            <w:tcW w:w="0" w:type="auto"/>
            <w:gridSpan w:val="2"/>
            <w:vMerge/>
            <w:tcBorders>
              <w:top w:val="nil"/>
              <w:left w:val="single" w:sz="8" w:space="0" w:color="000000"/>
              <w:bottom w:val="nil"/>
              <w:right w:val="single" w:sz="8" w:space="0" w:color="000000"/>
            </w:tcBorders>
          </w:tcPr>
          <w:p w14:paraId="36BAFAB7" w14:textId="77777777" w:rsidR="000B3C5C" w:rsidRDefault="000B3C5C">
            <w:pPr>
              <w:spacing w:after="160" w:line="259" w:lineRule="auto"/>
              <w:ind w:left="0" w:firstLine="0"/>
            </w:pPr>
          </w:p>
        </w:tc>
        <w:tc>
          <w:tcPr>
            <w:tcW w:w="1906" w:type="dxa"/>
            <w:tcBorders>
              <w:top w:val="single" w:sz="8" w:space="0" w:color="000000"/>
              <w:left w:val="single" w:sz="8" w:space="0" w:color="000000"/>
              <w:bottom w:val="single" w:sz="8" w:space="0" w:color="000000"/>
              <w:right w:val="single" w:sz="8" w:space="0" w:color="000000"/>
            </w:tcBorders>
            <w:vAlign w:val="center"/>
          </w:tcPr>
          <w:p w14:paraId="3E311E77" w14:textId="77777777" w:rsidR="000B3C5C" w:rsidRDefault="00ED192D">
            <w:pPr>
              <w:spacing w:after="0" w:line="259" w:lineRule="auto"/>
              <w:ind w:left="0" w:firstLine="0"/>
            </w:pPr>
            <w:r>
              <w:rPr>
                <w:rFonts w:ascii="Arial" w:eastAsia="Arial" w:hAnsi="Arial" w:cs="Arial"/>
                <w:sz w:val="16"/>
              </w:rPr>
              <w:t xml:space="preserve">Adaptive immunity </w:t>
            </w:r>
          </w:p>
        </w:tc>
        <w:tc>
          <w:tcPr>
            <w:tcW w:w="1090"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7D6A88DA" w14:textId="77777777" w:rsidR="000B3C5C" w:rsidRDefault="00ED192D">
            <w:pPr>
              <w:spacing w:after="0" w:line="259" w:lineRule="auto"/>
              <w:ind w:left="0" w:right="4" w:firstLine="0"/>
              <w:jc w:val="center"/>
            </w:pPr>
            <w:r>
              <w:rPr>
                <w:rFonts w:ascii="Arial" w:eastAsia="Arial" w:hAnsi="Arial" w:cs="Arial"/>
                <w:sz w:val="16"/>
              </w:rPr>
              <w:t xml:space="preserve"> </w:t>
            </w:r>
          </w:p>
        </w:tc>
        <w:tc>
          <w:tcPr>
            <w:tcW w:w="636" w:type="dxa"/>
            <w:tcBorders>
              <w:top w:val="single" w:sz="8" w:space="0" w:color="000000"/>
              <w:left w:val="single" w:sz="8" w:space="0" w:color="000000"/>
              <w:bottom w:val="single" w:sz="8" w:space="0" w:color="000000"/>
              <w:right w:val="single" w:sz="8" w:space="0" w:color="000000"/>
            </w:tcBorders>
            <w:vAlign w:val="center"/>
          </w:tcPr>
          <w:p w14:paraId="7B111A4A"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2913" w:type="dxa"/>
            <w:gridSpan w:val="3"/>
            <w:tcBorders>
              <w:top w:val="single" w:sz="8" w:space="0" w:color="000000"/>
              <w:left w:val="single" w:sz="8" w:space="0" w:color="000000"/>
              <w:bottom w:val="single" w:sz="8" w:space="0" w:color="000000"/>
              <w:right w:val="single" w:sz="8" w:space="0" w:color="000000"/>
            </w:tcBorders>
            <w:vAlign w:val="center"/>
          </w:tcPr>
          <w:p w14:paraId="5A2A75E7" w14:textId="77777777" w:rsidR="000B3C5C" w:rsidRDefault="00ED192D">
            <w:pPr>
              <w:spacing w:after="0" w:line="259" w:lineRule="auto"/>
              <w:ind w:left="0" w:firstLine="0"/>
              <w:jc w:val="center"/>
            </w:pPr>
            <w:r>
              <w:rPr>
                <w:rFonts w:ascii="Arial" w:eastAsia="Arial" w:hAnsi="Arial" w:cs="Arial"/>
                <w:sz w:val="16"/>
              </w:rPr>
              <w:t xml:space="preserve">X (only 1 on-treatment sample, see Study Reference Manual for details) </w:t>
            </w:r>
          </w:p>
        </w:tc>
        <w:tc>
          <w:tcPr>
            <w:tcW w:w="109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29FA03D9" w14:textId="77777777" w:rsidR="000B3C5C" w:rsidRDefault="00ED192D">
            <w:pPr>
              <w:spacing w:after="0" w:line="259" w:lineRule="auto"/>
              <w:ind w:left="1" w:firstLine="0"/>
              <w:jc w:val="center"/>
            </w:pPr>
            <w:r>
              <w:rPr>
                <w:rFonts w:ascii="Arial" w:eastAsia="Arial" w:hAnsi="Arial" w:cs="Arial"/>
                <w:sz w:val="16"/>
              </w:rPr>
              <w:t xml:space="preserve"> </w:t>
            </w:r>
          </w:p>
        </w:tc>
        <w:tc>
          <w:tcPr>
            <w:tcW w:w="1175"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77726901" w14:textId="77777777" w:rsidR="000B3C5C" w:rsidRDefault="00ED192D">
            <w:pPr>
              <w:spacing w:after="0" w:line="259" w:lineRule="auto"/>
              <w:ind w:left="5" w:firstLine="0"/>
              <w:jc w:val="center"/>
            </w:pPr>
            <w:r>
              <w:rPr>
                <w:rFonts w:ascii="Arial" w:eastAsia="Arial" w:hAnsi="Arial" w:cs="Arial"/>
                <w:sz w:val="16"/>
              </w:rPr>
              <w:t xml:space="preserve"> </w:t>
            </w:r>
          </w:p>
        </w:tc>
        <w:tc>
          <w:tcPr>
            <w:tcW w:w="3449" w:type="dxa"/>
            <w:tcBorders>
              <w:top w:val="single" w:sz="8" w:space="0" w:color="000000"/>
              <w:left w:val="single" w:sz="8" w:space="0" w:color="000000"/>
              <w:bottom w:val="single" w:sz="8" w:space="0" w:color="000000"/>
              <w:right w:val="single" w:sz="8" w:space="0" w:color="000000"/>
            </w:tcBorders>
          </w:tcPr>
          <w:p w14:paraId="7B334F02" w14:textId="77777777" w:rsidR="000B3C5C" w:rsidRDefault="00ED192D">
            <w:pPr>
              <w:spacing w:after="2" w:line="237" w:lineRule="auto"/>
              <w:ind w:left="0" w:firstLine="0"/>
              <w:jc w:val="center"/>
            </w:pPr>
            <w:r>
              <w:rPr>
                <w:rFonts w:ascii="Arial" w:eastAsia="Arial" w:hAnsi="Arial" w:cs="Arial"/>
                <w:sz w:val="16"/>
              </w:rPr>
              <w:t xml:space="preserve">Only Phase 2 Stage 2 participants, if sufficient clinical response is observable in Phase 1 and Phase 2 Stage 1 </w:t>
            </w:r>
          </w:p>
          <w:p w14:paraId="7A6B0578" w14:textId="77777777" w:rsidR="000B3C5C" w:rsidRDefault="00ED192D">
            <w:pPr>
              <w:spacing w:after="0" w:line="259" w:lineRule="auto"/>
              <w:ind w:left="0" w:right="33" w:firstLine="0"/>
              <w:jc w:val="center"/>
            </w:pPr>
            <w:r>
              <w:rPr>
                <w:rFonts w:ascii="Arial" w:eastAsia="Arial" w:hAnsi="Arial" w:cs="Arial"/>
                <w:sz w:val="16"/>
              </w:rPr>
              <w:t xml:space="preserve">participants </w:t>
            </w:r>
          </w:p>
        </w:tc>
      </w:tr>
      <w:tr w:rsidR="000B3C5C" w14:paraId="585EFA64" w14:textId="77777777">
        <w:trPr>
          <w:trHeight w:val="690"/>
        </w:trPr>
        <w:tc>
          <w:tcPr>
            <w:tcW w:w="0" w:type="auto"/>
            <w:gridSpan w:val="2"/>
            <w:vMerge/>
            <w:tcBorders>
              <w:top w:val="nil"/>
              <w:left w:val="single" w:sz="8" w:space="0" w:color="000000"/>
              <w:bottom w:val="single" w:sz="8" w:space="0" w:color="000000"/>
              <w:right w:val="single" w:sz="8" w:space="0" w:color="000000"/>
            </w:tcBorders>
          </w:tcPr>
          <w:p w14:paraId="6BB9B098" w14:textId="77777777" w:rsidR="000B3C5C" w:rsidRDefault="000B3C5C">
            <w:pPr>
              <w:spacing w:after="160" w:line="259" w:lineRule="auto"/>
              <w:ind w:left="0" w:firstLine="0"/>
            </w:pPr>
          </w:p>
        </w:tc>
        <w:tc>
          <w:tcPr>
            <w:tcW w:w="1906" w:type="dxa"/>
            <w:tcBorders>
              <w:top w:val="single" w:sz="8" w:space="0" w:color="000000"/>
              <w:left w:val="single" w:sz="8" w:space="0" w:color="000000"/>
              <w:bottom w:val="single" w:sz="8" w:space="0" w:color="000000"/>
              <w:right w:val="single" w:sz="8" w:space="0" w:color="000000"/>
            </w:tcBorders>
            <w:vAlign w:val="center"/>
          </w:tcPr>
          <w:p w14:paraId="4DB8A417" w14:textId="77777777" w:rsidR="000B3C5C" w:rsidRDefault="00ED192D">
            <w:pPr>
              <w:spacing w:after="0" w:line="259" w:lineRule="auto"/>
              <w:ind w:left="0" w:firstLine="0"/>
            </w:pPr>
            <w:r>
              <w:rPr>
                <w:rFonts w:ascii="Arial" w:eastAsia="Arial" w:hAnsi="Arial" w:cs="Arial"/>
                <w:sz w:val="16"/>
              </w:rPr>
              <w:t xml:space="preserve">Plasma or serum Metabolites </w:t>
            </w:r>
          </w:p>
        </w:tc>
        <w:tc>
          <w:tcPr>
            <w:tcW w:w="1090"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3F7BDD59" w14:textId="77777777" w:rsidR="000B3C5C" w:rsidRDefault="00ED192D">
            <w:pPr>
              <w:spacing w:after="0" w:line="259" w:lineRule="auto"/>
              <w:ind w:left="0" w:right="4" w:firstLine="0"/>
              <w:jc w:val="center"/>
            </w:pPr>
            <w:r>
              <w:rPr>
                <w:rFonts w:ascii="Arial" w:eastAsia="Arial" w:hAnsi="Arial" w:cs="Arial"/>
                <w:sz w:val="16"/>
              </w:rPr>
              <w:t xml:space="preserve"> </w:t>
            </w:r>
          </w:p>
        </w:tc>
        <w:tc>
          <w:tcPr>
            <w:tcW w:w="636" w:type="dxa"/>
            <w:tcBorders>
              <w:top w:val="single" w:sz="8" w:space="0" w:color="000000"/>
              <w:left w:val="single" w:sz="8" w:space="0" w:color="000000"/>
              <w:bottom w:val="single" w:sz="8" w:space="0" w:color="000000"/>
              <w:right w:val="single" w:sz="8" w:space="0" w:color="000000"/>
            </w:tcBorders>
            <w:vAlign w:val="center"/>
          </w:tcPr>
          <w:p w14:paraId="0DE774C1"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644" w:type="dxa"/>
            <w:tcBorders>
              <w:top w:val="single" w:sz="8" w:space="0" w:color="000000"/>
              <w:left w:val="single" w:sz="8" w:space="0" w:color="000000"/>
              <w:bottom w:val="single" w:sz="8" w:space="0" w:color="000000"/>
              <w:right w:val="single" w:sz="8" w:space="0" w:color="000000"/>
            </w:tcBorders>
            <w:vAlign w:val="center"/>
          </w:tcPr>
          <w:p w14:paraId="0376C64A" w14:textId="77777777" w:rsidR="000B3C5C" w:rsidRDefault="00ED192D">
            <w:pPr>
              <w:spacing w:after="0" w:line="259" w:lineRule="auto"/>
              <w:ind w:left="0" w:right="35" w:firstLine="0"/>
              <w:jc w:val="center"/>
            </w:pPr>
            <w:r>
              <w:rPr>
                <w:rFonts w:ascii="Arial" w:eastAsia="Arial" w:hAnsi="Arial" w:cs="Arial"/>
                <w:sz w:val="16"/>
              </w:rPr>
              <w:t xml:space="preserve">X </w:t>
            </w:r>
          </w:p>
        </w:tc>
        <w:tc>
          <w:tcPr>
            <w:tcW w:w="816" w:type="dxa"/>
            <w:tcBorders>
              <w:top w:val="single" w:sz="8" w:space="0" w:color="000000"/>
              <w:left w:val="single" w:sz="8" w:space="0" w:color="000000"/>
              <w:bottom w:val="single" w:sz="8" w:space="0" w:color="000000"/>
              <w:right w:val="single" w:sz="8" w:space="0" w:color="000000"/>
            </w:tcBorders>
            <w:vAlign w:val="center"/>
          </w:tcPr>
          <w:p w14:paraId="7EA1C4DE" w14:textId="77777777" w:rsidR="000B3C5C" w:rsidRDefault="00ED192D">
            <w:pPr>
              <w:spacing w:after="0" w:line="259" w:lineRule="auto"/>
              <w:ind w:left="0" w:right="37" w:firstLine="0"/>
              <w:jc w:val="center"/>
            </w:pPr>
            <w:r>
              <w:rPr>
                <w:rFonts w:ascii="Arial" w:eastAsia="Arial" w:hAnsi="Arial" w:cs="Arial"/>
                <w:sz w:val="16"/>
              </w:rPr>
              <w:t xml:space="preserve">X </w:t>
            </w:r>
          </w:p>
        </w:tc>
        <w:tc>
          <w:tcPr>
            <w:tcW w:w="1452" w:type="dxa"/>
            <w:tcBorders>
              <w:top w:val="single" w:sz="8" w:space="0" w:color="000000"/>
              <w:left w:val="single" w:sz="8" w:space="0" w:color="000000"/>
              <w:bottom w:val="single" w:sz="8" w:space="0" w:color="000000"/>
              <w:right w:val="single" w:sz="8" w:space="0" w:color="000000"/>
            </w:tcBorders>
            <w:vAlign w:val="center"/>
          </w:tcPr>
          <w:p w14:paraId="1F0A7D80" w14:textId="77777777" w:rsidR="000B3C5C" w:rsidRDefault="00ED192D">
            <w:pPr>
              <w:spacing w:after="0" w:line="259" w:lineRule="auto"/>
              <w:ind w:left="0" w:right="35" w:firstLine="0"/>
              <w:jc w:val="center"/>
            </w:pPr>
            <w:r>
              <w:rPr>
                <w:rFonts w:ascii="Arial" w:eastAsia="Arial" w:hAnsi="Arial" w:cs="Arial"/>
                <w:sz w:val="16"/>
              </w:rPr>
              <w:t xml:space="preserve">X (odd cycles only) </w:t>
            </w:r>
          </w:p>
        </w:tc>
        <w:tc>
          <w:tcPr>
            <w:tcW w:w="1092" w:type="dxa"/>
            <w:tcBorders>
              <w:top w:val="single" w:sz="8" w:space="0" w:color="000000"/>
              <w:left w:val="single" w:sz="8" w:space="0" w:color="000000"/>
              <w:bottom w:val="single" w:sz="8" w:space="0" w:color="000000"/>
              <w:right w:val="single" w:sz="8" w:space="0" w:color="000000"/>
            </w:tcBorders>
            <w:vAlign w:val="center"/>
          </w:tcPr>
          <w:p w14:paraId="707D4CEC" w14:textId="77777777" w:rsidR="000B3C5C" w:rsidRDefault="00ED192D">
            <w:pPr>
              <w:spacing w:after="0" w:line="259" w:lineRule="auto"/>
              <w:ind w:left="0" w:right="34" w:firstLine="0"/>
              <w:jc w:val="center"/>
            </w:pPr>
            <w:r>
              <w:rPr>
                <w:rFonts w:ascii="Arial" w:eastAsia="Arial" w:hAnsi="Arial" w:cs="Arial"/>
                <w:sz w:val="16"/>
              </w:rPr>
              <w:t xml:space="preserve">X </w:t>
            </w:r>
          </w:p>
        </w:tc>
        <w:tc>
          <w:tcPr>
            <w:tcW w:w="1175"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11FCE722" w14:textId="77777777" w:rsidR="000B3C5C" w:rsidRDefault="00ED192D">
            <w:pPr>
              <w:spacing w:after="0" w:line="259" w:lineRule="auto"/>
              <w:ind w:left="5" w:firstLine="0"/>
              <w:jc w:val="center"/>
            </w:pPr>
            <w:r>
              <w:rPr>
                <w:rFonts w:ascii="Arial" w:eastAsia="Arial" w:hAnsi="Arial" w:cs="Arial"/>
                <w:sz w:val="16"/>
              </w:rPr>
              <w:t xml:space="preserve"> </w:t>
            </w:r>
          </w:p>
        </w:tc>
        <w:tc>
          <w:tcPr>
            <w:tcW w:w="3449" w:type="dxa"/>
            <w:tcBorders>
              <w:top w:val="single" w:sz="8" w:space="0" w:color="000000"/>
              <w:left w:val="single" w:sz="8" w:space="0" w:color="000000"/>
              <w:bottom w:val="single" w:sz="8" w:space="0" w:color="000000"/>
              <w:right w:val="single" w:sz="8" w:space="0" w:color="000000"/>
            </w:tcBorders>
          </w:tcPr>
          <w:p w14:paraId="2E3BBE52" w14:textId="77777777" w:rsidR="000B3C5C" w:rsidRDefault="00ED192D">
            <w:pPr>
              <w:spacing w:after="2" w:line="237" w:lineRule="auto"/>
              <w:ind w:left="0" w:firstLine="0"/>
              <w:jc w:val="center"/>
            </w:pPr>
            <w:r>
              <w:rPr>
                <w:rFonts w:ascii="Arial" w:eastAsia="Arial" w:hAnsi="Arial" w:cs="Arial"/>
                <w:sz w:val="16"/>
              </w:rPr>
              <w:t xml:space="preserve">Only Phase 2 Stage 2 participants, if sufficient clinical response is observable in Phase 1 and Phase 2 Stage 1 </w:t>
            </w:r>
          </w:p>
          <w:p w14:paraId="450127C1" w14:textId="77777777" w:rsidR="000B3C5C" w:rsidRDefault="00ED192D">
            <w:pPr>
              <w:spacing w:after="0" w:line="259" w:lineRule="auto"/>
              <w:ind w:left="0" w:right="33" w:firstLine="0"/>
              <w:jc w:val="center"/>
            </w:pPr>
            <w:r>
              <w:rPr>
                <w:rFonts w:ascii="Arial" w:eastAsia="Arial" w:hAnsi="Arial" w:cs="Arial"/>
                <w:sz w:val="16"/>
              </w:rPr>
              <w:t xml:space="preserve">participants </w:t>
            </w:r>
          </w:p>
        </w:tc>
      </w:tr>
      <w:tr w:rsidR="000B3C5C" w14:paraId="76693058" w14:textId="77777777">
        <w:trPr>
          <w:trHeight w:val="875"/>
        </w:trPr>
        <w:tc>
          <w:tcPr>
            <w:tcW w:w="2004" w:type="dxa"/>
            <w:gridSpan w:val="2"/>
            <w:tcBorders>
              <w:top w:val="single" w:sz="8" w:space="0" w:color="000000"/>
              <w:left w:val="single" w:sz="8" w:space="0" w:color="000000"/>
              <w:bottom w:val="single" w:sz="8" w:space="0" w:color="000000"/>
              <w:right w:val="single" w:sz="8" w:space="0" w:color="000000"/>
            </w:tcBorders>
            <w:vAlign w:val="center"/>
          </w:tcPr>
          <w:p w14:paraId="4EB8C204" w14:textId="77777777" w:rsidR="000B3C5C" w:rsidRDefault="00ED192D">
            <w:pPr>
              <w:spacing w:after="0" w:line="259" w:lineRule="auto"/>
              <w:ind w:left="0" w:firstLine="0"/>
            </w:pPr>
            <w:r>
              <w:rPr>
                <w:rFonts w:ascii="Arial" w:eastAsia="Arial" w:hAnsi="Arial" w:cs="Arial"/>
                <w:sz w:val="16"/>
              </w:rPr>
              <w:t xml:space="preserve">Archival Pre-Treatment Tumor </w:t>
            </w:r>
          </w:p>
          <w:p w14:paraId="20F7FEAD" w14:textId="77777777" w:rsidR="000B3C5C" w:rsidRDefault="00ED192D">
            <w:pPr>
              <w:spacing w:after="0" w:line="259" w:lineRule="auto"/>
              <w:ind w:left="0" w:firstLine="0"/>
            </w:pPr>
            <w:r>
              <w:rPr>
                <w:rFonts w:ascii="Arial" w:eastAsia="Arial" w:hAnsi="Arial" w:cs="Arial"/>
                <w:sz w:val="16"/>
              </w:rPr>
              <w:t xml:space="preserve">Tissue Collection (for HCC, </w:t>
            </w:r>
          </w:p>
          <w:p w14:paraId="64F209EA" w14:textId="77777777" w:rsidR="000B3C5C" w:rsidRDefault="00ED192D">
            <w:pPr>
              <w:spacing w:after="0" w:line="259" w:lineRule="auto"/>
              <w:ind w:left="0" w:firstLine="0"/>
            </w:pPr>
            <w:r>
              <w:rPr>
                <w:rFonts w:ascii="Arial" w:eastAsia="Arial" w:hAnsi="Arial" w:cs="Arial"/>
                <w:sz w:val="16"/>
              </w:rPr>
              <w:t xml:space="preserve">SCCHN, EOC and GBM) </w:t>
            </w:r>
          </w:p>
        </w:tc>
        <w:tc>
          <w:tcPr>
            <w:tcW w:w="1906" w:type="dxa"/>
            <w:tcBorders>
              <w:top w:val="single" w:sz="8" w:space="0" w:color="000000"/>
              <w:left w:val="single" w:sz="8" w:space="0" w:color="000000"/>
              <w:bottom w:val="single" w:sz="8" w:space="0" w:color="000000"/>
              <w:right w:val="single" w:sz="8" w:space="0" w:color="000000"/>
            </w:tcBorders>
          </w:tcPr>
          <w:p w14:paraId="34733265" w14:textId="77777777" w:rsidR="000B3C5C" w:rsidRDefault="00ED192D">
            <w:pPr>
              <w:spacing w:after="0" w:line="259" w:lineRule="auto"/>
              <w:ind w:left="0" w:right="23" w:firstLine="0"/>
            </w:pPr>
            <w:r>
              <w:rPr>
                <w:rFonts w:ascii="Arial" w:eastAsia="Arial" w:hAnsi="Arial" w:cs="Arial"/>
                <w:sz w:val="16"/>
              </w:rPr>
              <w:t xml:space="preserve">If feasible, biomarker </w:t>
            </w:r>
            <w:r>
              <w:rPr>
                <w:rFonts w:ascii="Arial" w:eastAsia="Arial" w:hAnsi="Arial" w:cs="Arial"/>
                <w:sz w:val="16"/>
              </w:rPr>
              <w:t xml:space="preserve">analyses listed below for “Baseline or on treatment tumor biopsy core” </w:t>
            </w:r>
          </w:p>
        </w:tc>
        <w:tc>
          <w:tcPr>
            <w:tcW w:w="1090" w:type="dxa"/>
            <w:tcBorders>
              <w:top w:val="single" w:sz="8" w:space="0" w:color="000000"/>
              <w:left w:val="single" w:sz="8" w:space="0" w:color="000000"/>
              <w:bottom w:val="single" w:sz="8" w:space="0" w:color="000000"/>
              <w:right w:val="single" w:sz="8" w:space="0" w:color="000000"/>
            </w:tcBorders>
            <w:vAlign w:val="center"/>
          </w:tcPr>
          <w:p w14:paraId="4261251B" w14:textId="77777777" w:rsidR="000B3C5C" w:rsidRDefault="00ED192D">
            <w:pPr>
              <w:spacing w:after="0" w:line="259" w:lineRule="auto"/>
              <w:ind w:left="0" w:right="39" w:firstLine="0"/>
              <w:jc w:val="center"/>
            </w:pPr>
            <w:r>
              <w:rPr>
                <w:rFonts w:ascii="Arial" w:eastAsia="Arial" w:hAnsi="Arial" w:cs="Arial"/>
                <w:sz w:val="16"/>
              </w:rPr>
              <w:t xml:space="preserve">X </w:t>
            </w:r>
          </w:p>
        </w:tc>
        <w:tc>
          <w:tcPr>
            <w:tcW w:w="636"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23D9638A" w14:textId="77777777" w:rsidR="000B3C5C" w:rsidRDefault="00ED192D">
            <w:pPr>
              <w:spacing w:after="0" w:line="259" w:lineRule="auto"/>
              <w:ind w:left="0" w:right="2" w:firstLine="0"/>
              <w:jc w:val="center"/>
            </w:pPr>
            <w:r>
              <w:rPr>
                <w:rFonts w:ascii="Arial" w:eastAsia="Arial" w:hAnsi="Arial" w:cs="Arial"/>
                <w:sz w:val="16"/>
              </w:rPr>
              <w:t xml:space="preserve"> </w:t>
            </w:r>
          </w:p>
        </w:tc>
        <w:tc>
          <w:tcPr>
            <w:tcW w:w="644"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65CC59BB" w14:textId="77777777" w:rsidR="000B3C5C" w:rsidRDefault="00ED192D">
            <w:pPr>
              <w:spacing w:after="0" w:line="259" w:lineRule="auto"/>
              <w:ind w:left="0" w:firstLine="0"/>
              <w:jc w:val="center"/>
            </w:pPr>
            <w:r>
              <w:rPr>
                <w:rFonts w:ascii="Arial" w:eastAsia="Arial" w:hAnsi="Arial" w:cs="Arial"/>
                <w:sz w:val="16"/>
              </w:rPr>
              <w:t xml:space="preserve"> </w:t>
            </w:r>
          </w:p>
        </w:tc>
        <w:tc>
          <w:tcPr>
            <w:tcW w:w="816"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6B9B4867" w14:textId="77777777" w:rsidR="000B3C5C" w:rsidRDefault="00ED192D">
            <w:pPr>
              <w:spacing w:after="0" w:line="259" w:lineRule="auto"/>
              <w:ind w:left="0" w:right="2" w:firstLine="0"/>
              <w:jc w:val="center"/>
            </w:pPr>
            <w:r>
              <w:rPr>
                <w:rFonts w:ascii="Arial" w:eastAsia="Arial" w:hAnsi="Arial" w:cs="Arial"/>
                <w:sz w:val="16"/>
              </w:rPr>
              <w:t xml:space="preserve"> </w:t>
            </w:r>
          </w:p>
        </w:tc>
        <w:tc>
          <w:tcPr>
            <w:tcW w:w="145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3F357FB8" w14:textId="77777777" w:rsidR="000B3C5C" w:rsidRDefault="00ED192D">
            <w:pPr>
              <w:spacing w:after="0" w:line="259" w:lineRule="auto"/>
              <w:ind w:left="1" w:firstLine="0"/>
              <w:jc w:val="center"/>
            </w:pPr>
            <w:r>
              <w:rPr>
                <w:rFonts w:ascii="Arial" w:eastAsia="Arial" w:hAnsi="Arial" w:cs="Arial"/>
                <w:sz w:val="16"/>
              </w:rPr>
              <w:t xml:space="preserve"> </w:t>
            </w:r>
          </w:p>
        </w:tc>
        <w:tc>
          <w:tcPr>
            <w:tcW w:w="109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027189B1" w14:textId="77777777" w:rsidR="000B3C5C" w:rsidRDefault="00ED192D">
            <w:pPr>
              <w:spacing w:after="0" w:line="259" w:lineRule="auto"/>
              <w:ind w:left="1" w:firstLine="0"/>
              <w:jc w:val="center"/>
            </w:pPr>
            <w:r>
              <w:rPr>
                <w:rFonts w:ascii="Arial" w:eastAsia="Arial" w:hAnsi="Arial" w:cs="Arial"/>
                <w:sz w:val="16"/>
              </w:rPr>
              <w:t xml:space="preserve"> </w:t>
            </w:r>
          </w:p>
        </w:tc>
        <w:tc>
          <w:tcPr>
            <w:tcW w:w="1175"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58BC0897" w14:textId="77777777" w:rsidR="000B3C5C" w:rsidRDefault="00ED192D">
            <w:pPr>
              <w:spacing w:after="0" w:line="259" w:lineRule="auto"/>
              <w:ind w:left="5" w:firstLine="0"/>
              <w:jc w:val="center"/>
            </w:pPr>
            <w:r>
              <w:rPr>
                <w:rFonts w:ascii="Arial" w:eastAsia="Arial" w:hAnsi="Arial" w:cs="Arial"/>
                <w:sz w:val="16"/>
              </w:rPr>
              <w:t xml:space="preserve"> </w:t>
            </w:r>
          </w:p>
        </w:tc>
        <w:tc>
          <w:tcPr>
            <w:tcW w:w="3449" w:type="dxa"/>
            <w:tcBorders>
              <w:top w:val="single" w:sz="8" w:space="0" w:color="000000"/>
              <w:left w:val="single" w:sz="8" w:space="0" w:color="000000"/>
              <w:bottom w:val="single" w:sz="8" w:space="0" w:color="000000"/>
              <w:right w:val="single" w:sz="8" w:space="0" w:color="000000"/>
            </w:tcBorders>
          </w:tcPr>
          <w:p w14:paraId="40A27907" w14:textId="77777777" w:rsidR="000B3C5C" w:rsidRDefault="00ED192D">
            <w:pPr>
              <w:spacing w:after="1" w:line="239" w:lineRule="auto"/>
              <w:ind w:left="3" w:hanging="3"/>
              <w:jc w:val="center"/>
            </w:pPr>
            <w:r>
              <w:rPr>
                <w:rFonts w:ascii="Arial" w:eastAsia="Arial" w:hAnsi="Arial" w:cs="Arial"/>
                <w:sz w:val="16"/>
              </w:rPr>
              <w:t xml:space="preserve">Mandatory for all GBM participants.  For HCC, SCCHN, </w:t>
            </w:r>
            <w:r>
              <w:rPr>
                <w:rFonts w:ascii="Arial" w:eastAsia="Arial" w:hAnsi="Arial" w:cs="Arial"/>
                <w:sz w:val="16"/>
              </w:rPr>
              <w:t xml:space="preserve">and EOC participants, provision of adequate archival tumor tissue is allowed to replace mandatory baseline </w:t>
            </w:r>
          </w:p>
          <w:p w14:paraId="3409C8CD" w14:textId="77777777" w:rsidR="000B3C5C" w:rsidRDefault="00ED192D">
            <w:pPr>
              <w:spacing w:after="0" w:line="259" w:lineRule="auto"/>
              <w:ind w:left="0" w:right="33" w:firstLine="0"/>
              <w:jc w:val="center"/>
            </w:pPr>
            <w:r>
              <w:rPr>
                <w:rFonts w:ascii="Arial" w:eastAsia="Arial" w:hAnsi="Arial" w:cs="Arial"/>
                <w:sz w:val="16"/>
              </w:rPr>
              <w:t xml:space="preserve">biopsy </w:t>
            </w:r>
          </w:p>
        </w:tc>
      </w:tr>
      <w:tr w:rsidR="000B3C5C" w14:paraId="60A4E7A9" w14:textId="77777777">
        <w:trPr>
          <w:trHeight w:val="690"/>
        </w:trPr>
        <w:tc>
          <w:tcPr>
            <w:tcW w:w="1455" w:type="dxa"/>
            <w:vMerge w:val="restart"/>
            <w:tcBorders>
              <w:top w:val="single" w:sz="8" w:space="0" w:color="000000"/>
              <w:left w:val="single" w:sz="8" w:space="0" w:color="000000"/>
              <w:bottom w:val="single" w:sz="8" w:space="0" w:color="000000"/>
              <w:right w:val="single" w:sz="8" w:space="0" w:color="000000"/>
            </w:tcBorders>
            <w:vAlign w:val="center"/>
          </w:tcPr>
          <w:p w14:paraId="3C7091EF" w14:textId="77777777" w:rsidR="000B3C5C" w:rsidRDefault="00ED192D">
            <w:pPr>
              <w:spacing w:after="0" w:line="240" w:lineRule="auto"/>
              <w:ind w:left="0" w:firstLine="0"/>
              <w:jc w:val="center"/>
            </w:pPr>
            <w:r>
              <w:rPr>
                <w:rFonts w:ascii="Arial" w:eastAsia="Arial" w:hAnsi="Arial" w:cs="Arial"/>
                <w:sz w:val="16"/>
              </w:rPr>
              <w:t xml:space="preserve">Baseline or on treatment tumor </w:t>
            </w:r>
          </w:p>
          <w:p w14:paraId="459B624E" w14:textId="77777777" w:rsidR="000B3C5C" w:rsidRDefault="00ED192D">
            <w:pPr>
              <w:spacing w:after="1" w:line="238" w:lineRule="auto"/>
              <w:ind w:left="3" w:hanging="3"/>
              <w:jc w:val="center"/>
            </w:pPr>
            <w:r>
              <w:rPr>
                <w:rFonts w:ascii="Arial" w:eastAsia="Arial" w:hAnsi="Arial" w:cs="Arial"/>
                <w:sz w:val="16"/>
              </w:rPr>
              <w:t xml:space="preserve">biopsy core in order of priority (Biopsy to be performed for HCC, </w:t>
            </w:r>
          </w:p>
          <w:p w14:paraId="75171410" w14:textId="77777777" w:rsidR="000B3C5C" w:rsidRDefault="00ED192D">
            <w:pPr>
              <w:spacing w:after="0" w:line="259" w:lineRule="auto"/>
              <w:ind w:left="0" w:firstLine="0"/>
              <w:jc w:val="center"/>
            </w:pPr>
            <w:r>
              <w:rPr>
                <w:rFonts w:ascii="Arial" w:eastAsia="Arial" w:hAnsi="Arial" w:cs="Arial"/>
                <w:sz w:val="16"/>
              </w:rPr>
              <w:t>SCCHN, and EOC if adequate archival tissue is not available)</w:t>
            </w:r>
            <w:r>
              <w:rPr>
                <w:rFonts w:ascii="Arial" w:eastAsia="Arial" w:hAnsi="Arial" w:cs="Arial"/>
                <w:sz w:val="20"/>
              </w:rPr>
              <w:t xml:space="preserve"> </w:t>
            </w:r>
          </w:p>
        </w:tc>
        <w:tc>
          <w:tcPr>
            <w:tcW w:w="550" w:type="dxa"/>
            <w:tcBorders>
              <w:top w:val="single" w:sz="8" w:space="0" w:color="000000"/>
              <w:left w:val="single" w:sz="8" w:space="0" w:color="000000"/>
              <w:bottom w:val="single" w:sz="8" w:space="0" w:color="000000"/>
              <w:right w:val="single" w:sz="8" w:space="0" w:color="000000"/>
            </w:tcBorders>
            <w:vAlign w:val="center"/>
          </w:tcPr>
          <w:p w14:paraId="11699FD4" w14:textId="77777777" w:rsidR="000B3C5C" w:rsidRDefault="00ED192D">
            <w:pPr>
              <w:spacing w:after="0" w:line="259" w:lineRule="auto"/>
              <w:ind w:left="7" w:firstLine="0"/>
            </w:pPr>
            <w:r>
              <w:rPr>
                <w:rFonts w:ascii="Arial" w:eastAsia="Arial" w:hAnsi="Arial" w:cs="Arial"/>
                <w:sz w:val="16"/>
              </w:rPr>
              <w:t xml:space="preserve">Core 1 </w:t>
            </w:r>
          </w:p>
        </w:tc>
        <w:tc>
          <w:tcPr>
            <w:tcW w:w="1906" w:type="dxa"/>
            <w:tcBorders>
              <w:top w:val="single" w:sz="8" w:space="0" w:color="000000"/>
              <w:left w:val="single" w:sz="8" w:space="0" w:color="000000"/>
              <w:bottom w:val="single" w:sz="8" w:space="0" w:color="000000"/>
              <w:right w:val="single" w:sz="8" w:space="0" w:color="000000"/>
            </w:tcBorders>
          </w:tcPr>
          <w:p w14:paraId="1C253ECA" w14:textId="77777777" w:rsidR="000B3C5C" w:rsidRDefault="00ED192D">
            <w:pPr>
              <w:spacing w:after="0" w:line="259" w:lineRule="auto"/>
              <w:ind w:left="0" w:firstLine="0"/>
            </w:pPr>
            <w:r>
              <w:rPr>
                <w:rFonts w:ascii="Arial" w:eastAsia="Arial" w:hAnsi="Arial" w:cs="Arial"/>
                <w:sz w:val="16"/>
              </w:rPr>
              <w:t xml:space="preserve">CD38 and PD-L1 expression, immune contexture (IHC analyses)  </w:t>
            </w:r>
          </w:p>
        </w:tc>
        <w:tc>
          <w:tcPr>
            <w:tcW w:w="1090" w:type="dxa"/>
            <w:tcBorders>
              <w:top w:val="single" w:sz="8" w:space="0" w:color="000000"/>
              <w:left w:val="single" w:sz="8" w:space="0" w:color="000000"/>
              <w:bottom w:val="single" w:sz="8" w:space="0" w:color="000000"/>
              <w:right w:val="single" w:sz="8" w:space="0" w:color="000000"/>
            </w:tcBorders>
            <w:vAlign w:val="center"/>
          </w:tcPr>
          <w:p w14:paraId="5BE69CC1" w14:textId="77777777" w:rsidR="000B3C5C" w:rsidRDefault="00ED192D">
            <w:pPr>
              <w:spacing w:after="0" w:line="259" w:lineRule="auto"/>
              <w:ind w:left="0" w:right="39" w:firstLine="0"/>
              <w:jc w:val="center"/>
            </w:pPr>
            <w:r>
              <w:rPr>
                <w:rFonts w:ascii="Arial" w:eastAsia="Arial" w:hAnsi="Arial" w:cs="Arial"/>
                <w:sz w:val="16"/>
              </w:rPr>
              <w:t xml:space="preserve">X </w:t>
            </w:r>
          </w:p>
        </w:tc>
        <w:tc>
          <w:tcPr>
            <w:tcW w:w="636"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39187BFE" w14:textId="77777777" w:rsidR="000B3C5C" w:rsidRDefault="00ED192D">
            <w:pPr>
              <w:spacing w:after="0" w:line="259" w:lineRule="auto"/>
              <w:ind w:left="0" w:right="2" w:firstLine="0"/>
              <w:jc w:val="center"/>
            </w:pPr>
            <w:r>
              <w:rPr>
                <w:rFonts w:ascii="Arial" w:eastAsia="Arial" w:hAnsi="Arial" w:cs="Arial"/>
                <w:sz w:val="16"/>
              </w:rPr>
              <w:t xml:space="preserve"> </w:t>
            </w:r>
          </w:p>
        </w:tc>
        <w:tc>
          <w:tcPr>
            <w:tcW w:w="644" w:type="dxa"/>
            <w:tcBorders>
              <w:top w:val="single" w:sz="8" w:space="0" w:color="000000"/>
              <w:left w:val="single" w:sz="8" w:space="0" w:color="000000"/>
              <w:bottom w:val="single" w:sz="8" w:space="0" w:color="000000"/>
              <w:right w:val="single" w:sz="8" w:space="0" w:color="000000"/>
            </w:tcBorders>
          </w:tcPr>
          <w:p w14:paraId="7B599DFB" w14:textId="77777777" w:rsidR="000B3C5C" w:rsidRDefault="00ED192D">
            <w:pPr>
              <w:spacing w:after="0" w:line="259" w:lineRule="auto"/>
              <w:ind w:left="0" w:firstLine="12"/>
              <w:jc w:val="center"/>
            </w:pPr>
            <w:r>
              <w:rPr>
                <w:rFonts w:ascii="Arial" w:eastAsia="Arial" w:hAnsi="Arial" w:cs="Arial"/>
                <w:sz w:val="16"/>
              </w:rPr>
              <w:t xml:space="preserve">X (if clinically feasible) </w:t>
            </w:r>
          </w:p>
        </w:tc>
        <w:tc>
          <w:tcPr>
            <w:tcW w:w="816"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380E96CD" w14:textId="77777777" w:rsidR="000B3C5C" w:rsidRDefault="00ED192D">
            <w:pPr>
              <w:spacing w:after="0" w:line="259" w:lineRule="auto"/>
              <w:ind w:left="0" w:right="2" w:firstLine="0"/>
              <w:jc w:val="center"/>
            </w:pPr>
            <w:r>
              <w:rPr>
                <w:rFonts w:ascii="Arial" w:eastAsia="Arial" w:hAnsi="Arial" w:cs="Arial"/>
                <w:sz w:val="16"/>
              </w:rPr>
              <w:t xml:space="preserve"> </w:t>
            </w:r>
          </w:p>
        </w:tc>
        <w:tc>
          <w:tcPr>
            <w:tcW w:w="145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22BC109D" w14:textId="77777777" w:rsidR="000B3C5C" w:rsidRDefault="00ED192D">
            <w:pPr>
              <w:spacing w:after="0" w:line="259" w:lineRule="auto"/>
              <w:ind w:left="1" w:firstLine="0"/>
              <w:jc w:val="center"/>
            </w:pPr>
            <w:r>
              <w:rPr>
                <w:rFonts w:ascii="Arial" w:eastAsia="Arial" w:hAnsi="Arial" w:cs="Arial"/>
                <w:sz w:val="16"/>
              </w:rPr>
              <w:t xml:space="preserve"> </w:t>
            </w:r>
          </w:p>
        </w:tc>
        <w:tc>
          <w:tcPr>
            <w:tcW w:w="109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23D61E38" w14:textId="77777777" w:rsidR="000B3C5C" w:rsidRDefault="00ED192D">
            <w:pPr>
              <w:spacing w:after="0" w:line="259" w:lineRule="auto"/>
              <w:ind w:left="1" w:firstLine="0"/>
              <w:jc w:val="center"/>
            </w:pPr>
            <w:r>
              <w:rPr>
                <w:rFonts w:ascii="Arial" w:eastAsia="Arial" w:hAnsi="Arial" w:cs="Arial"/>
                <w:sz w:val="16"/>
              </w:rPr>
              <w:t xml:space="preserve"> </w:t>
            </w:r>
          </w:p>
        </w:tc>
        <w:tc>
          <w:tcPr>
            <w:tcW w:w="1175"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6852133F" w14:textId="77777777" w:rsidR="000B3C5C" w:rsidRDefault="00ED192D">
            <w:pPr>
              <w:spacing w:after="0" w:line="259" w:lineRule="auto"/>
              <w:ind w:left="5" w:firstLine="0"/>
              <w:jc w:val="center"/>
            </w:pPr>
            <w:r>
              <w:rPr>
                <w:rFonts w:ascii="Arial" w:eastAsia="Arial" w:hAnsi="Arial" w:cs="Arial"/>
                <w:sz w:val="16"/>
              </w:rPr>
              <w:t xml:space="preserve"> </w:t>
            </w:r>
          </w:p>
        </w:tc>
        <w:tc>
          <w:tcPr>
            <w:tcW w:w="3449" w:type="dxa"/>
            <w:vMerge w:val="restart"/>
            <w:tcBorders>
              <w:top w:val="single" w:sz="8" w:space="0" w:color="000000"/>
              <w:left w:val="single" w:sz="8" w:space="0" w:color="000000"/>
              <w:bottom w:val="single" w:sz="8" w:space="0" w:color="000000"/>
              <w:right w:val="single" w:sz="8" w:space="0" w:color="000000"/>
            </w:tcBorders>
          </w:tcPr>
          <w:p w14:paraId="2FB94DFA" w14:textId="77777777" w:rsidR="000B3C5C" w:rsidRDefault="00ED192D">
            <w:pPr>
              <w:spacing w:after="73" w:line="259" w:lineRule="auto"/>
              <w:ind w:left="3" w:firstLine="0"/>
              <w:jc w:val="center"/>
            </w:pPr>
            <w:r>
              <w:rPr>
                <w:rFonts w:ascii="Arial" w:eastAsia="Arial" w:hAnsi="Arial" w:cs="Arial"/>
                <w:sz w:val="16"/>
              </w:rPr>
              <w:t xml:space="preserve"> </w:t>
            </w:r>
          </w:p>
          <w:p w14:paraId="72F12D7C" w14:textId="77777777" w:rsidR="000B3C5C" w:rsidRDefault="00ED192D">
            <w:pPr>
              <w:spacing w:after="27" w:line="259" w:lineRule="auto"/>
              <w:ind w:left="0" w:right="33" w:firstLine="0"/>
              <w:jc w:val="center"/>
            </w:pPr>
            <w:r>
              <w:rPr>
                <w:rFonts w:ascii="Arial" w:eastAsia="Arial" w:hAnsi="Arial" w:cs="Arial"/>
                <w:sz w:val="16"/>
              </w:rPr>
              <w:t xml:space="preserve">Refer to </w:t>
            </w:r>
            <w:r>
              <w:rPr>
                <w:rFonts w:ascii="Arial" w:eastAsia="Arial" w:hAnsi="Arial" w:cs="Arial"/>
                <w:i/>
                <w:color w:val="0000FF"/>
                <w:sz w:val="18"/>
              </w:rPr>
              <w:t>I 02</w:t>
            </w:r>
            <w:r>
              <w:rPr>
                <w:rFonts w:ascii="Arial" w:eastAsia="Arial" w:hAnsi="Arial" w:cs="Arial"/>
                <w:sz w:val="16"/>
              </w:rPr>
              <w:t xml:space="preserve"> for details. </w:t>
            </w:r>
          </w:p>
          <w:p w14:paraId="296ADAB2" w14:textId="77777777" w:rsidR="000B3C5C" w:rsidRDefault="00ED192D">
            <w:pPr>
              <w:spacing w:after="45" w:line="259" w:lineRule="auto"/>
              <w:ind w:left="3" w:firstLine="0"/>
              <w:jc w:val="center"/>
            </w:pPr>
            <w:r>
              <w:rPr>
                <w:rFonts w:ascii="Arial" w:eastAsia="Arial" w:hAnsi="Arial" w:cs="Arial"/>
                <w:sz w:val="16"/>
              </w:rPr>
              <w:t xml:space="preserve"> </w:t>
            </w:r>
          </w:p>
          <w:p w14:paraId="0354A0AE" w14:textId="77777777" w:rsidR="000B3C5C" w:rsidRDefault="00ED192D">
            <w:pPr>
              <w:spacing w:after="0" w:line="259" w:lineRule="auto"/>
              <w:ind w:left="16" w:right="17" w:firstLine="0"/>
              <w:jc w:val="center"/>
            </w:pPr>
            <w:r>
              <w:rPr>
                <w:rFonts w:ascii="Arial" w:eastAsia="Arial" w:hAnsi="Arial" w:cs="Arial"/>
                <w:sz w:val="16"/>
              </w:rPr>
              <w:t xml:space="preserve">At least 1 tumor core is required, but 3 cores are optimal.  Refer to Laboratory Manual for details. </w:t>
            </w:r>
          </w:p>
        </w:tc>
      </w:tr>
      <w:tr w:rsidR="000B3C5C" w14:paraId="7F91E904" w14:textId="77777777">
        <w:trPr>
          <w:trHeight w:val="691"/>
        </w:trPr>
        <w:tc>
          <w:tcPr>
            <w:tcW w:w="0" w:type="auto"/>
            <w:vMerge/>
            <w:tcBorders>
              <w:top w:val="nil"/>
              <w:left w:val="single" w:sz="8" w:space="0" w:color="000000"/>
              <w:bottom w:val="nil"/>
              <w:right w:val="single" w:sz="8" w:space="0" w:color="000000"/>
            </w:tcBorders>
          </w:tcPr>
          <w:p w14:paraId="31581DEF" w14:textId="77777777" w:rsidR="000B3C5C" w:rsidRDefault="000B3C5C">
            <w:pPr>
              <w:spacing w:after="160" w:line="259" w:lineRule="auto"/>
              <w:ind w:left="0" w:firstLine="0"/>
            </w:pPr>
          </w:p>
        </w:tc>
        <w:tc>
          <w:tcPr>
            <w:tcW w:w="550" w:type="dxa"/>
            <w:tcBorders>
              <w:top w:val="single" w:sz="8" w:space="0" w:color="000000"/>
              <w:left w:val="single" w:sz="8" w:space="0" w:color="000000"/>
              <w:bottom w:val="single" w:sz="8" w:space="0" w:color="000000"/>
              <w:right w:val="single" w:sz="8" w:space="0" w:color="000000"/>
            </w:tcBorders>
            <w:vAlign w:val="center"/>
          </w:tcPr>
          <w:p w14:paraId="1C8114A5" w14:textId="77777777" w:rsidR="000B3C5C" w:rsidRDefault="00ED192D">
            <w:pPr>
              <w:spacing w:after="0" w:line="259" w:lineRule="auto"/>
              <w:ind w:left="7" w:firstLine="0"/>
            </w:pPr>
            <w:r>
              <w:rPr>
                <w:rFonts w:ascii="Arial" w:eastAsia="Arial" w:hAnsi="Arial" w:cs="Arial"/>
                <w:sz w:val="16"/>
              </w:rPr>
              <w:t xml:space="preserve">Core 2 </w:t>
            </w:r>
          </w:p>
        </w:tc>
        <w:tc>
          <w:tcPr>
            <w:tcW w:w="1906" w:type="dxa"/>
            <w:tcBorders>
              <w:top w:val="single" w:sz="8" w:space="0" w:color="000000"/>
              <w:left w:val="single" w:sz="8" w:space="0" w:color="000000"/>
              <w:bottom w:val="single" w:sz="8" w:space="0" w:color="000000"/>
              <w:right w:val="single" w:sz="8" w:space="0" w:color="000000"/>
            </w:tcBorders>
          </w:tcPr>
          <w:p w14:paraId="1F01C7F9" w14:textId="77777777" w:rsidR="000B3C5C" w:rsidRDefault="00ED192D">
            <w:pPr>
              <w:spacing w:after="0" w:line="259" w:lineRule="auto"/>
              <w:ind w:left="0" w:firstLine="0"/>
            </w:pPr>
            <w:r>
              <w:rPr>
                <w:rFonts w:ascii="Arial" w:eastAsia="Arial" w:hAnsi="Arial" w:cs="Arial"/>
                <w:sz w:val="16"/>
              </w:rPr>
              <w:t xml:space="preserve">CD38 and PD-L1 expression, immune contexture (IHC analyses)  </w:t>
            </w:r>
          </w:p>
        </w:tc>
        <w:tc>
          <w:tcPr>
            <w:tcW w:w="1090" w:type="dxa"/>
            <w:tcBorders>
              <w:top w:val="single" w:sz="8" w:space="0" w:color="000000"/>
              <w:left w:val="single" w:sz="8" w:space="0" w:color="000000"/>
              <w:bottom w:val="single" w:sz="8" w:space="0" w:color="000000"/>
              <w:right w:val="single" w:sz="8" w:space="0" w:color="000000"/>
            </w:tcBorders>
            <w:vAlign w:val="center"/>
          </w:tcPr>
          <w:p w14:paraId="2261609E" w14:textId="77777777" w:rsidR="000B3C5C" w:rsidRDefault="00ED192D">
            <w:pPr>
              <w:spacing w:after="0" w:line="259" w:lineRule="auto"/>
              <w:ind w:left="0" w:right="39" w:firstLine="0"/>
              <w:jc w:val="center"/>
            </w:pPr>
            <w:r>
              <w:rPr>
                <w:rFonts w:ascii="Arial" w:eastAsia="Arial" w:hAnsi="Arial" w:cs="Arial"/>
                <w:sz w:val="16"/>
              </w:rPr>
              <w:t xml:space="preserve">X </w:t>
            </w:r>
          </w:p>
        </w:tc>
        <w:tc>
          <w:tcPr>
            <w:tcW w:w="636"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0CC459FB" w14:textId="77777777" w:rsidR="000B3C5C" w:rsidRDefault="00ED192D">
            <w:pPr>
              <w:spacing w:after="0" w:line="259" w:lineRule="auto"/>
              <w:ind w:left="0" w:right="2" w:firstLine="0"/>
              <w:jc w:val="center"/>
            </w:pPr>
            <w:r>
              <w:rPr>
                <w:rFonts w:ascii="Arial" w:eastAsia="Arial" w:hAnsi="Arial" w:cs="Arial"/>
                <w:sz w:val="16"/>
              </w:rPr>
              <w:t xml:space="preserve"> </w:t>
            </w:r>
          </w:p>
        </w:tc>
        <w:tc>
          <w:tcPr>
            <w:tcW w:w="644" w:type="dxa"/>
            <w:tcBorders>
              <w:top w:val="single" w:sz="8" w:space="0" w:color="000000"/>
              <w:left w:val="single" w:sz="8" w:space="0" w:color="000000"/>
              <w:bottom w:val="single" w:sz="8" w:space="0" w:color="000000"/>
              <w:right w:val="single" w:sz="8" w:space="0" w:color="000000"/>
            </w:tcBorders>
          </w:tcPr>
          <w:p w14:paraId="63BC97B9" w14:textId="77777777" w:rsidR="000B3C5C" w:rsidRDefault="00ED192D">
            <w:pPr>
              <w:spacing w:after="0" w:line="259" w:lineRule="auto"/>
              <w:ind w:left="0" w:firstLine="12"/>
              <w:jc w:val="center"/>
            </w:pPr>
            <w:r>
              <w:rPr>
                <w:rFonts w:ascii="Arial" w:eastAsia="Arial" w:hAnsi="Arial" w:cs="Arial"/>
                <w:sz w:val="16"/>
              </w:rPr>
              <w:t xml:space="preserve">X (if clinically feasible) </w:t>
            </w:r>
          </w:p>
        </w:tc>
        <w:tc>
          <w:tcPr>
            <w:tcW w:w="816"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55156E1F" w14:textId="77777777" w:rsidR="000B3C5C" w:rsidRDefault="00ED192D">
            <w:pPr>
              <w:spacing w:after="0" w:line="259" w:lineRule="auto"/>
              <w:ind w:left="0" w:right="2" w:firstLine="0"/>
              <w:jc w:val="center"/>
            </w:pPr>
            <w:r>
              <w:rPr>
                <w:rFonts w:ascii="Arial" w:eastAsia="Arial" w:hAnsi="Arial" w:cs="Arial"/>
                <w:sz w:val="16"/>
              </w:rPr>
              <w:t xml:space="preserve"> </w:t>
            </w:r>
          </w:p>
        </w:tc>
        <w:tc>
          <w:tcPr>
            <w:tcW w:w="145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322E73E7" w14:textId="77777777" w:rsidR="000B3C5C" w:rsidRDefault="00ED192D">
            <w:pPr>
              <w:spacing w:after="0" w:line="259" w:lineRule="auto"/>
              <w:ind w:left="1" w:firstLine="0"/>
              <w:jc w:val="center"/>
            </w:pPr>
            <w:r>
              <w:rPr>
                <w:rFonts w:ascii="Arial" w:eastAsia="Arial" w:hAnsi="Arial" w:cs="Arial"/>
                <w:sz w:val="16"/>
              </w:rPr>
              <w:t xml:space="preserve"> </w:t>
            </w:r>
          </w:p>
        </w:tc>
        <w:tc>
          <w:tcPr>
            <w:tcW w:w="109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3B213A30" w14:textId="77777777" w:rsidR="000B3C5C" w:rsidRDefault="00ED192D">
            <w:pPr>
              <w:spacing w:after="0" w:line="259" w:lineRule="auto"/>
              <w:ind w:left="1" w:firstLine="0"/>
              <w:jc w:val="center"/>
            </w:pPr>
            <w:r>
              <w:rPr>
                <w:rFonts w:ascii="Arial" w:eastAsia="Arial" w:hAnsi="Arial" w:cs="Arial"/>
                <w:sz w:val="16"/>
              </w:rPr>
              <w:t xml:space="preserve"> </w:t>
            </w:r>
          </w:p>
        </w:tc>
        <w:tc>
          <w:tcPr>
            <w:tcW w:w="1175"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04C2120B" w14:textId="77777777" w:rsidR="000B3C5C" w:rsidRDefault="00ED192D">
            <w:pPr>
              <w:spacing w:after="0" w:line="259" w:lineRule="auto"/>
              <w:ind w:left="5" w:firstLine="0"/>
              <w:jc w:val="center"/>
            </w:pPr>
            <w:r>
              <w:rPr>
                <w:rFonts w:ascii="Arial" w:eastAsia="Arial" w:hAnsi="Arial" w:cs="Arial"/>
                <w:sz w:val="16"/>
              </w:rPr>
              <w:t xml:space="preserve"> </w:t>
            </w:r>
          </w:p>
        </w:tc>
        <w:tc>
          <w:tcPr>
            <w:tcW w:w="0" w:type="auto"/>
            <w:vMerge/>
            <w:tcBorders>
              <w:top w:val="nil"/>
              <w:left w:val="single" w:sz="8" w:space="0" w:color="000000"/>
              <w:bottom w:val="nil"/>
              <w:right w:val="single" w:sz="8" w:space="0" w:color="000000"/>
            </w:tcBorders>
          </w:tcPr>
          <w:p w14:paraId="243AD1DE" w14:textId="77777777" w:rsidR="000B3C5C" w:rsidRDefault="000B3C5C">
            <w:pPr>
              <w:spacing w:after="160" w:line="259" w:lineRule="auto"/>
              <w:ind w:left="0" w:firstLine="0"/>
            </w:pPr>
          </w:p>
        </w:tc>
      </w:tr>
      <w:tr w:rsidR="000B3C5C" w14:paraId="19E76664" w14:textId="77777777">
        <w:trPr>
          <w:trHeight w:val="689"/>
        </w:trPr>
        <w:tc>
          <w:tcPr>
            <w:tcW w:w="0" w:type="auto"/>
            <w:vMerge/>
            <w:tcBorders>
              <w:top w:val="nil"/>
              <w:left w:val="single" w:sz="8" w:space="0" w:color="000000"/>
              <w:bottom w:val="single" w:sz="8" w:space="0" w:color="000000"/>
              <w:right w:val="single" w:sz="8" w:space="0" w:color="000000"/>
            </w:tcBorders>
          </w:tcPr>
          <w:p w14:paraId="1BA54793" w14:textId="77777777" w:rsidR="000B3C5C" w:rsidRDefault="000B3C5C">
            <w:pPr>
              <w:spacing w:after="160" w:line="259" w:lineRule="auto"/>
              <w:ind w:left="0" w:firstLine="0"/>
            </w:pPr>
          </w:p>
        </w:tc>
        <w:tc>
          <w:tcPr>
            <w:tcW w:w="550" w:type="dxa"/>
            <w:tcBorders>
              <w:top w:val="single" w:sz="8" w:space="0" w:color="000000"/>
              <w:left w:val="single" w:sz="8" w:space="0" w:color="000000"/>
              <w:bottom w:val="single" w:sz="8" w:space="0" w:color="000000"/>
              <w:right w:val="single" w:sz="8" w:space="0" w:color="000000"/>
            </w:tcBorders>
            <w:vAlign w:val="center"/>
          </w:tcPr>
          <w:p w14:paraId="2EB79551" w14:textId="77777777" w:rsidR="000B3C5C" w:rsidRDefault="00ED192D">
            <w:pPr>
              <w:spacing w:after="0" w:line="259" w:lineRule="auto"/>
              <w:ind w:left="7" w:firstLine="0"/>
            </w:pPr>
            <w:r>
              <w:rPr>
                <w:rFonts w:ascii="Arial" w:eastAsia="Arial" w:hAnsi="Arial" w:cs="Arial"/>
                <w:sz w:val="16"/>
              </w:rPr>
              <w:t xml:space="preserve">Core 3 </w:t>
            </w:r>
          </w:p>
        </w:tc>
        <w:tc>
          <w:tcPr>
            <w:tcW w:w="1906" w:type="dxa"/>
            <w:tcBorders>
              <w:top w:val="single" w:sz="8" w:space="0" w:color="000000"/>
              <w:left w:val="single" w:sz="8" w:space="0" w:color="000000"/>
              <w:bottom w:val="single" w:sz="8" w:space="0" w:color="000000"/>
              <w:right w:val="single" w:sz="8" w:space="0" w:color="000000"/>
            </w:tcBorders>
            <w:vAlign w:val="center"/>
          </w:tcPr>
          <w:p w14:paraId="53E7FFC5" w14:textId="77777777" w:rsidR="000B3C5C" w:rsidRDefault="00ED192D">
            <w:pPr>
              <w:spacing w:after="0" w:line="259" w:lineRule="auto"/>
              <w:ind w:left="0" w:firstLine="0"/>
            </w:pPr>
            <w:r>
              <w:rPr>
                <w:rFonts w:ascii="Arial" w:eastAsia="Arial" w:hAnsi="Arial" w:cs="Arial"/>
                <w:sz w:val="16"/>
              </w:rPr>
              <w:t xml:space="preserve">Transcriptomic analysis  </w:t>
            </w:r>
          </w:p>
        </w:tc>
        <w:tc>
          <w:tcPr>
            <w:tcW w:w="1090" w:type="dxa"/>
            <w:tcBorders>
              <w:top w:val="single" w:sz="8" w:space="0" w:color="000000"/>
              <w:left w:val="single" w:sz="8" w:space="0" w:color="000000"/>
              <w:bottom w:val="single" w:sz="8" w:space="0" w:color="000000"/>
              <w:right w:val="single" w:sz="8" w:space="0" w:color="000000"/>
            </w:tcBorders>
            <w:vAlign w:val="center"/>
          </w:tcPr>
          <w:p w14:paraId="064BFD04" w14:textId="77777777" w:rsidR="000B3C5C" w:rsidRDefault="00ED192D">
            <w:pPr>
              <w:spacing w:after="0" w:line="259" w:lineRule="auto"/>
              <w:ind w:left="0" w:right="39" w:firstLine="0"/>
              <w:jc w:val="center"/>
            </w:pPr>
            <w:r>
              <w:rPr>
                <w:rFonts w:ascii="Arial" w:eastAsia="Arial" w:hAnsi="Arial" w:cs="Arial"/>
                <w:sz w:val="16"/>
              </w:rPr>
              <w:t xml:space="preserve">X </w:t>
            </w:r>
          </w:p>
        </w:tc>
        <w:tc>
          <w:tcPr>
            <w:tcW w:w="636"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2C362AC4" w14:textId="77777777" w:rsidR="000B3C5C" w:rsidRDefault="00ED192D">
            <w:pPr>
              <w:spacing w:after="0" w:line="259" w:lineRule="auto"/>
              <w:ind w:left="0" w:right="2" w:firstLine="0"/>
              <w:jc w:val="center"/>
            </w:pPr>
            <w:r>
              <w:rPr>
                <w:rFonts w:ascii="Arial" w:eastAsia="Arial" w:hAnsi="Arial" w:cs="Arial"/>
                <w:sz w:val="16"/>
              </w:rPr>
              <w:t xml:space="preserve"> </w:t>
            </w:r>
          </w:p>
        </w:tc>
        <w:tc>
          <w:tcPr>
            <w:tcW w:w="644" w:type="dxa"/>
            <w:tcBorders>
              <w:top w:val="single" w:sz="8" w:space="0" w:color="000000"/>
              <w:left w:val="single" w:sz="8" w:space="0" w:color="000000"/>
              <w:bottom w:val="single" w:sz="8" w:space="0" w:color="000000"/>
              <w:right w:val="single" w:sz="8" w:space="0" w:color="000000"/>
            </w:tcBorders>
          </w:tcPr>
          <w:p w14:paraId="35137067" w14:textId="77777777" w:rsidR="000B3C5C" w:rsidRDefault="00ED192D">
            <w:pPr>
              <w:spacing w:after="0" w:line="259" w:lineRule="auto"/>
              <w:ind w:left="0" w:firstLine="12"/>
              <w:jc w:val="center"/>
            </w:pPr>
            <w:r>
              <w:rPr>
                <w:rFonts w:ascii="Arial" w:eastAsia="Arial" w:hAnsi="Arial" w:cs="Arial"/>
                <w:sz w:val="16"/>
              </w:rPr>
              <w:t xml:space="preserve">X (if clinically feasible) </w:t>
            </w:r>
          </w:p>
        </w:tc>
        <w:tc>
          <w:tcPr>
            <w:tcW w:w="816"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45CBF908" w14:textId="77777777" w:rsidR="000B3C5C" w:rsidRDefault="00ED192D">
            <w:pPr>
              <w:spacing w:after="0" w:line="259" w:lineRule="auto"/>
              <w:ind w:left="0" w:right="2" w:firstLine="0"/>
              <w:jc w:val="center"/>
            </w:pPr>
            <w:r>
              <w:rPr>
                <w:rFonts w:ascii="Arial" w:eastAsia="Arial" w:hAnsi="Arial" w:cs="Arial"/>
                <w:sz w:val="16"/>
              </w:rPr>
              <w:t xml:space="preserve"> </w:t>
            </w:r>
          </w:p>
        </w:tc>
        <w:tc>
          <w:tcPr>
            <w:tcW w:w="145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3D1D8B09" w14:textId="77777777" w:rsidR="000B3C5C" w:rsidRDefault="00ED192D">
            <w:pPr>
              <w:spacing w:after="0" w:line="259" w:lineRule="auto"/>
              <w:ind w:left="1" w:firstLine="0"/>
              <w:jc w:val="center"/>
            </w:pPr>
            <w:r>
              <w:rPr>
                <w:rFonts w:ascii="Arial" w:eastAsia="Arial" w:hAnsi="Arial" w:cs="Arial"/>
                <w:sz w:val="16"/>
              </w:rPr>
              <w:t xml:space="preserve"> </w:t>
            </w:r>
          </w:p>
        </w:tc>
        <w:tc>
          <w:tcPr>
            <w:tcW w:w="1092"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316BBE06" w14:textId="77777777" w:rsidR="000B3C5C" w:rsidRDefault="00ED192D">
            <w:pPr>
              <w:spacing w:after="0" w:line="259" w:lineRule="auto"/>
              <w:ind w:left="1" w:firstLine="0"/>
              <w:jc w:val="center"/>
            </w:pPr>
            <w:r>
              <w:rPr>
                <w:rFonts w:ascii="Arial" w:eastAsia="Arial" w:hAnsi="Arial" w:cs="Arial"/>
                <w:sz w:val="16"/>
              </w:rPr>
              <w:t xml:space="preserve"> </w:t>
            </w:r>
          </w:p>
        </w:tc>
        <w:tc>
          <w:tcPr>
            <w:tcW w:w="1175" w:type="dxa"/>
            <w:tcBorders>
              <w:top w:val="single" w:sz="8" w:space="0" w:color="000000"/>
              <w:left w:val="single" w:sz="8" w:space="0" w:color="000000"/>
              <w:bottom w:val="single" w:sz="8" w:space="0" w:color="000000"/>
              <w:right w:val="single" w:sz="8" w:space="0" w:color="000000"/>
            </w:tcBorders>
            <w:shd w:val="clear" w:color="auto" w:fill="7F7F7F"/>
            <w:vAlign w:val="center"/>
          </w:tcPr>
          <w:p w14:paraId="0D65B949" w14:textId="77777777" w:rsidR="000B3C5C" w:rsidRDefault="00ED192D">
            <w:pPr>
              <w:spacing w:after="0" w:line="259" w:lineRule="auto"/>
              <w:ind w:left="5" w:firstLine="0"/>
              <w:jc w:val="center"/>
            </w:pPr>
            <w:r>
              <w:rPr>
                <w:rFonts w:ascii="Arial" w:eastAsia="Arial" w:hAnsi="Arial" w:cs="Arial"/>
                <w:sz w:val="16"/>
              </w:rPr>
              <w:t xml:space="preserve"> </w:t>
            </w:r>
          </w:p>
        </w:tc>
        <w:tc>
          <w:tcPr>
            <w:tcW w:w="0" w:type="auto"/>
            <w:vMerge/>
            <w:tcBorders>
              <w:top w:val="nil"/>
              <w:left w:val="single" w:sz="8" w:space="0" w:color="000000"/>
              <w:bottom w:val="single" w:sz="8" w:space="0" w:color="000000"/>
              <w:right w:val="single" w:sz="8" w:space="0" w:color="000000"/>
            </w:tcBorders>
          </w:tcPr>
          <w:p w14:paraId="1281D57A" w14:textId="77777777" w:rsidR="000B3C5C" w:rsidRDefault="000B3C5C">
            <w:pPr>
              <w:spacing w:after="160" w:line="259" w:lineRule="auto"/>
              <w:ind w:left="0" w:firstLine="0"/>
            </w:pPr>
          </w:p>
        </w:tc>
      </w:tr>
    </w:tbl>
    <w:p w14:paraId="5D4FBF3A" w14:textId="77777777" w:rsidR="000B3C5C" w:rsidRDefault="000B3C5C">
      <w:pPr>
        <w:sectPr w:rsidR="000B3C5C">
          <w:headerReference w:type="even" r:id="rId21"/>
          <w:headerReference w:type="default" r:id="rId22"/>
          <w:footerReference w:type="even" r:id="rId23"/>
          <w:footerReference w:type="default" r:id="rId24"/>
          <w:headerReference w:type="first" r:id="rId25"/>
          <w:footerReference w:type="first" r:id="rId26"/>
          <w:pgSz w:w="16841" w:h="11906" w:orient="landscape"/>
          <w:pgMar w:top="1341" w:right="1292" w:bottom="1085" w:left="1587" w:header="1341" w:footer="454" w:gutter="0"/>
          <w:cols w:space="720"/>
        </w:sectPr>
      </w:pPr>
    </w:p>
    <w:p w14:paraId="5767F70D" w14:textId="77777777" w:rsidR="000B3C5C" w:rsidRDefault="00ED192D">
      <w:pPr>
        <w:pStyle w:val="Heading1"/>
        <w:tabs>
          <w:tab w:val="center" w:pos="1752"/>
        </w:tabs>
        <w:ind w:left="-13" w:firstLine="0"/>
      </w:pPr>
      <w:r>
        <w:t xml:space="preserve">2 </w:t>
      </w:r>
      <w:r>
        <w:tab/>
        <w:t xml:space="preserve">INTRODUCTION  </w:t>
      </w:r>
    </w:p>
    <w:p w14:paraId="4A7D858A" w14:textId="77777777" w:rsidR="000B3C5C" w:rsidRDefault="00ED192D">
      <w:pPr>
        <w:pStyle w:val="Heading2"/>
        <w:ind w:left="-5" w:right="51"/>
      </w:pPr>
      <w:r>
        <w:t xml:space="preserve">Cluster of differentiation 38 </w:t>
      </w:r>
    </w:p>
    <w:p w14:paraId="4C78D47A" w14:textId="77777777" w:rsidR="000B3C5C" w:rsidRDefault="00ED192D">
      <w:pPr>
        <w:ind w:left="-3" w:right="14"/>
      </w:pPr>
      <w:r>
        <w:t xml:space="preserve">Cluster of differentiation </w:t>
      </w:r>
      <w:r>
        <w:t>38 (CD38) is a type II glycosylated 45 kilodalton membrane protein that was identified as a lymphocyte marker (</w:t>
      </w:r>
      <w:r>
        <w:rPr>
          <w:color w:val="0000FF"/>
        </w:rPr>
        <w:t>1</w:t>
      </w:r>
      <w:r>
        <w:t>). CD38 functions as a receptor binding to CD31 and is involved in cell adhesion and signal transduction. CD38 is also an ecto-enzyme catalyzing the synthesis and hydrolysis of cyclic adenosine-diphosphate-ribose from nicotinamide adenine dinucleotide to adenosine diphosphate-ribose (</w:t>
      </w:r>
      <w:r>
        <w:rPr>
          <w:color w:val="0000FF"/>
        </w:rPr>
        <w:t>2</w:t>
      </w:r>
      <w:r>
        <w:t>). Adenosine diphosphate-ribose can be further converted into adenosine, a multifunctional immunosuppressive nucle</w:t>
      </w:r>
      <w:r>
        <w:t>oside that binds to different specific receptors expressed by immune effector cells (</w:t>
      </w:r>
      <w:r>
        <w:rPr>
          <w:color w:val="0000FF"/>
        </w:rPr>
        <w:t>3</w:t>
      </w:r>
      <w:r>
        <w:t xml:space="preserve">). </w:t>
      </w:r>
    </w:p>
    <w:p w14:paraId="527C21E3" w14:textId="77777777" w:rsidR="000B3C5C" w:rsidRDefault="00ED192D">
      <w:pPr>
        <w:spacing w:after="0"/>
        <w:ind w:left="-3" w:right="14"/>
      </w:pPr>
      <w:r>
        <w:t xml:space="preserve">The expression of CD38 in healthy humans can be detected on natural killer (NK) cells, monocytes, dendritic cells, macrophages, granulocytes, activated T and B cells, and plasma cells. Several hematological malignancies express CD38 including those of B-lymphocyte, </w:t>
      </w:r>
    </w:p>
    <w:p w14:paraId="7F2CEBEF" w14:textId="77777777" w:rsidR="000B3C5C" w:rsidRDefault="00ED192D">
      <w:pPr>
        <w:ind w:left="-3" w:right="14"/>
      </w:pPr>
      <w:r>
        <w:t xml:space="preserve">T-lymphocyte and myeloid origin. Moreover, in some solid tumors, such as prostate cancer and glioblastoma, CD38 expression has been shown. See </w:t>
      </w:r>
      <w:r>
        <w:rPr>
          <w:color w:val="0000FF"/>
        </w:rPr>
        <w:t>Section</w:t>
      </w:r>
      <w:r>
        <w:t xml:space="preserve"> </w:t>
      </w:r>
      <w:r>
        <w:rPr>
          <w:color w:val="0000FF"/>
        </w:rPr>
        <w:t>2.1</w:t>
      </w:r>
      <w:r>
        <w:t xml:space="preserve"> for additional information on biological functions of CD38 and its role in tumor microenvironment. </w:t>
      </w:r>
    </w:p>
    <w:p w14:paraId="7964344B" w14:textId="77777777" w:rsidR="000B3C5C" w:rsidRDefault="00ED192D">
      <w:pPr>
        <w:pStyle w:val="Heading2"/>
        <w:ind w:left="-5" w:right="51"/>
      </w:pPr>
      <w:r>
        <w:t xml:space="preserve">Programmed cell death 1 protein pathway </w:t>
      </w:r>
    </w:p>
    <w:p w14:paraId="143726D9" w14:textId="77777777" w:rsidR="000B3C5C" w:rsidRDefault="00ED192D">
      <w:pPr>
        <w:ind w:left="-3" w:right="14"/>
      </w:pPr>
      <w:r>
        <w:t>The importance of intact immune surveillance in controlling outgrowth of neoplastic transformation has been known for decades (</w:t>
      </w:r>
      <w:r>
        <w:rPr>
          <w:color w:val="0000FF"/>
        </w:rPr>
        <w:t>4</w:t>
      </w:r>
      <w:r>
        <w:t>). The PD-1 receptor-ligand interaction is a major pathway hijacked by tumors to suppress immune control (</w:t>
      </w:r>
      <w:r>
        <w:rPr>
          <w:color w:val="0000FF"/>
        </w:rPr>
        <w:t>5</w:t>
      </w:r>
      <w:r>
        <w:t>). The normal function of PD-1, expressed on the cell surface of activated T cells under healthy conditions, is to down-modulate unwanted or excessive immune responses, including autoimmune reactions. PD-1 (encoded by the gene Pdcd1) is an immunoglobulin superfamily member related to cluster of differentiation 28 and cytotoxic T-lymphocyte associated protein 4 (CTLA-4), which has been shown to negativ</w:t>
      </w:r>
      <w:r>
        <w:t>ely regulate antigen receptor signaling upon engagement of its ligands (programmed cell death-ligand 1 [PD-L1] and/or programmed cell death-ligand 2 [PD-L2]). The structures of murine PD-1 alone (</w:t>
      </w:r>
      <w:r>
        <w:rPr>
          <w:color w:val="0000FF"/>
        </w:rPr>
        <w:t>6</w:t>
      </w:r>
      <w:r>
        <w:t xml:space="preserve">) </w:t>
      </w:r>
      <w:r>
        <w:t>and in complex with its ligands were first resolved (</w:t>
      </w:r>
      <w:r>
        <w:rPr>
          <w:color w:val="0000FF"/>
        </w:rPr>
        <w:t>7</w:t>
      </w:r>
      <w:r>
        <w:t xml:space="preserve">, </w:t>
      </w:r>
      <w:r>
        <w:rPr>
          <w:color w:val="0000FF"/>
        </w:rPr>
        <w:t>8</w:t>
      </w:r>
      <w:r>
        <w:t>) and more recently the nuclear magnetic resonance-based structure of the human PD-1 extracellular region and analyses of the interactions with its ligands were also reported (</w:t>
      </w:r>
      <w:r>
        <w:rPr>
          <w:color w:val="0000FF"/>
        </w:rPr>
        <w:t>9</w:t>
      </w:r>
      <w:r>
        <w:t xml:space="preserve">). </w:t>
      </w:r>
    </w:p>
    <w:p w14:paraId="22DA0137" w14:textId="77777777" w:rsidR="000B3C5C" w:rsidRDefault="00ED192D">
      <w:pPr>
        <w:ind w:left="-3" w:right="14"/>
      </w:pPr>
      <w:r>
        <w:t xml:space="preserve">Programmed cell death 1 protein and family members are type I transmembrane glycoproteins containing an immunoglobulin Variable-type domain responsible for ligand binding and a cytoplasmic tail which is responsible for the binding of signaling molecules. The cytoplasmic tail of PD-1 contains 2 tyrosine-based signaling motifs, an immunoreceptor tyrosine-based inhibition motif and an immunoreceptor tyrosine-based switch motif (ITSM). Following T cell stimulation, PD-1 recruits the tyrosine phosphatases SHP-1 </w:t>
      </w:r>
      <w:r>
        <w:t>and SHP-2 to the ITSM motif within its cytoplasmic tail, leading to the dephosphorylation of effector molecules, such as CD3ζ, PKCθ and ZAP70, which are involved in the CD3 T cell signaling cascade (</w:t>
      </w:r>
      <w:r>
        <w:rPr>
          <w:color w:val="0000FF"/>
        </w:rPr>
        <w:t>10</w:t>
      </w:r>
      <w:r>
        <w:t>). The mechanism by which PD-1 down-modulates T cell responses is similar to, but distinct from that of CTLA-4 (</w:t>
      </w:r>
      <w:r>
        <w:rPr>
          <w:color w:val="0000FF"/>
        </w:rPr>
        <w:t>11</w:t>
      </w:r>
      <w:r>
        <w:t>). Programmed cell death 1 protein was shown to be expressed on activated lymphocytes, including peripheral CD4+ and CD8+ T cells, B cells, regulatory T cells and NK cells (</w:t>
      </w:r>
      <w:r>
        <w:rPr>
          <w:color w:val="0000FF"/>
        </w:rPr>
        <w:t>12</w:t>
      </w:r>
      <w:r>
        <w:t>). Expression has also</w:t>
      </w:r>
      <w:r>
        <w:t xml:space="preserve"> been shown during thymic development on CD4-CD8- (double negative) T cells (</w:t>
      </w:r>
      <w:r>
        <w:rPr>
          <w:color w:val="0000FF"/>
        </w:rPr>
        <w:t>13</w:t>
      </w:r>
      <w:r>
        <w:t>) as well as subsets of macrophages (</w:t>
      </w:r>
      <w:r>
        <w:rPr>
          <w:color w:val="0000FF"/>
        </w:rPr>
        <w:t>14</w:t>
      </w:r>
      <w:r>
        <w:t>) and dendritic cells (</w:t>
      </w:r>
      <w:r>
        <w:rPr>
          <w:color w:val="0000FF"/>
        </w:rPr>
        <w:t>15</w:t>
      </w:r>
      <w:r>
        <w:t>). The ligands for PD-1 (PD-L1 and PD-L2) are constitutively expressed or can be induced in a variety of cell types (</w:t>
      </w:r>
      <w:r>
        <w:rPr>
          <w:color w:val="0000FF"/>
        </w:rPr>
        <w:t>16</w:t>
      </w:r>
      <w:r>
        <w:t>). PD-L1 is expressed at low levels on various non-hematopoietic tissues, most notably on vascular endothelium, whereas PD-L2 protein is only detectably expressed on antigen-presenting cells found in lymphoid tissue or chronic inflammatory environmen</w:t>
      </w:r>
      <w:r>
        <w:t>ts (</w:t>
      </w:r>
      <w:r>
        <w:rPr>
          <w:color w:val="0000FF"/>
        </w:rPr>
        <w:t>16</w:t>
      </w:r>
      <w:r>
        <w:t>). Both ligands are Type I transmembrane receptors containing both immunoglobulin variable- and immunoglobulin constant-like domains in the extracellular region and short cytoplasmic regions with no known signaling motifs. Binding of either PD-1 ligand to PD-1 inhibits T cell activation triggered through the T cell receptor. Programmed cell death-ligand 2 is thought to control immune T cell activation in lymphoid organs, whereas PD-L1 serves to dampen unwarranted T cell function in peripheral tissues.</w:t>
      </w:r>
      <w:r>
        <w:t xml:space="preserve"> Although healthy organs express little (if any) PD-L1, a variety of cancers were demonstrated to express abundant levels of this T cell inhibitor (</w:t>
      </w:r>
      <w:r>
        <w:rPr>
          <w:color w:val="0000FF"/>
        </w:rPr>
        <w:t>17</w:t>
      </w:r>
      <w:r>
        <w:t xml:space="preserve">, </w:t>
      </w:r>
      <w:r>
        <w:rPr>
          <w:color w:val="0000FF"/>
        </w:rPr>
        <w:t>18</w:t>
      </w:r>
      <w:r>
        <w:t>) which, via its interaction with the PD-1 receptor on tumor-specific T cells, plays a critical role in immune evasion by tumors (</w:t>
      </w:r>
      <w:r>
        <w:rPr>
          <w:color w:val="0000FF"/>
        </w:rPr>
        <w:t>19</w:t>
      </w:r>
      <w:r>
        <w:t>). As a consequence, the PD-1/PD-L1 pathway is an attractive target for therapeutic intervention in cancer (</w:t>
      </w:r>
      <w:r>
        <w:rPr>
          <w:color w:val="0000FF"/>
        </w:rPr>
        <w:t>20</w:t>
      </w:r>
      <w:r>
        <w:t xml:space="preserve">). </w:t>
      </w:r>
    </w:p>
    <w:p w14:paraId="206D5F2B" w14:textId="77777777" w:rsidR="000B3C5C" w:rsidRDefault="00ED192D">
      <w:pPr>
        <w:spacing w:after="472"/>
        <w:ind w:left="-3" w:right="14"/>
      </w:pPr>
      <w:r>
        <w:t>Five anti-PD-1 and anti-PD-L1 antibodies, nivolumab, pembrolizumab, atezolizumab, avelumab and durvalumab, are now approved in multiple indications including HCC and SCCHN (</w:t>
      </w:r>
      <w:r>
        <w:rPr>
          <w:color w:val="0000FF"/>
        </w:rPr>
        <w:t>21</w:t>
      </w:r>
      <w:r>
        <w:t xml:space="preserve">, </w:t>
      </w:r>
      <w:r>
        <w:rPr>
          <w:color w:val="0000FF"/>
        </w:rPr>
        <w:t>22</w:t>
      </w:r>
      <w:r>
        <w:t xml:space="preserve">, </w:t>
      </w:r>
      <w:r>
        <w:rPr>
          <w:color w:val="0000FF"/>
        </w:rPr>
        <w:t>23,</w:t>
      </w:r>
      <w:r>
        <w:t xml:space="preserve"> </w:t>
      </w:r>
      <w:r>
        <w:rPr>
          <w:color w:val="0000FF"/>
        </w:rPr>
        <w:t>24</w:t>
      </w:r>
      <w:r>
        <w:t xml:space="preserve">, </w:t>
      </w:r>
      <w:r>
        <w:rPr>
          <w:color w:val="0000FF"/>
        </w:rPr>
        <w:t>25</w:t>
      </w:r>
      <w:r>
        <w:t xml:space="preserve">, </w:t>
      </w:r>
      <w:r>
        <w:rPr>
          <w:color w:val="0000FF"/>
        </w:rPr>
        <w:t>26</w:t>
      </w:r>
      <w:r>
        <w:t xml:space="preserve">, </w:t>
      </w:r>
      <w:r>
        <w:rPr>
          <w:color w:val="0000FF"/>
        </w:rPr>
        <w:t>27</w:t>
      </w:r>
      <w:r>
        <w:t xml:space="preserve">, </w:t>
      </w:r>
      <w:r>
        <w:rPr>
          <w:color w:val="0000FF"/>
        </w:rPr>
        <w:t>28</w:t>
      </w:r>
      <w:r>
        <w:t xml:space="preserve">, </w:t>
      </w:r>
      <w:r>
        <w:rPr>
          <w:color w:val="0000FF"/>
        </w:rPr>
        <w:t>29</w:t>
      </w:r>
      <w:r>
        <w:t xml:space="preserve">). </w:t>
      </w:r>
    </w:p>
    <w:p w14:paraId="1EE8B357" w14:textId="77777777" w:rsidR="000B3C5C" w:rsidRDefault="00ED192D">
      <w:pPr>
        <w:pStyle w:val="Heading3"/>
        <w:tabs>
          <w:tab w:val="center" w:pos="1723"/>
        </w:tabs>
        <w:ind w:left="-15" w:firstLine="0"/>
      </w:pPr>
      <w:r>
        <w:t xml:space="preserve">2.1 </w:t>
      </w:r>
      <w:r>
        <w:tab/>
        <w:t xml:space="preserve">STUDY RATIONALE  </w:t>
      </w:r>
    </w:p>
    <w:p w14:paraId="6034C55A" w14:textId="77777777" w:rsidR="000B3C5C" w:rsidRDefault="00ED192D">
      <w:pPr>
        <w:ind w:left="-3" w:right="14"/>
      </w:pPr>
      <w:r>
        <w:t>Monoclonal antibodies that block the PD-1/PD-L1 axis have changed the landscape of cancer therapy. Nivolumab, pembrolizumab, atezolizumab, avelumab, and durvalumab were approved by the US Food and Drug Administration (FDA). Despite their success, optimal outcomes for many patients will require combination therapies. Numerous clinical studies are currently evaluating anti-PD-1/PD-L1 antibodies in combination with chemotherapy, targeted therapies and other immunotherapies in patients with solid tumors and hem</w:t>
      </w:r>
      <w:r>
        <w:t xml:space="preserve">atological malignancies. </w:t>
      </w:r>
    </w:p>
    <w:p w14:paraId="6384091A" w14:textId="77777777" w:rsidR="000B3C5C" w:rsidRDefault="00ED192D">
      <w:pPr>
        <w:ind w:left="-3" w:right="14"/>
      </w:pPr>
      <w:r>
        <w:t>CD38 expression is well documented in hematological cancers, including MM, lymphomas and leukemias. In solid tumors, CD38 is found expressed on the tumor cells of treatment naïve prostate adenocarcinoma and glioblastoma biopsies (Sanofi report NCB22V1). Therefore, isatuximab monotherapy cohort will be initiated in patients with glioblastoma upon positive signal of isatuximab and atezolizumab combination Phase 2 Stage 2. The rationale to initiate monotherapy cohort is to evaluate whether the combination trea</w:t>
      </w:r>
      <w:r>
        <w:t xml:space="preserve">tment would provide additional benefit compared to isatuximab monotherapy in patients with glioblastoma. </w:t>
      </w:r>
      <w:r>
        <w:rPr>
          <w:color w:val="0000FF"/>
        </w:rPr>
        <w:t xml:space="preserve">Figure 2 </w:t>
      </w:r>
      <w:r>
        <w:t xml:space="preserve">shows the H-scores for CD38 in tumor tissues from glioblastoma patients with low-grade and high-grade diseases. H-scores in normal non-tumor brain tissues are also shown. </w:t>
      </w:r>
    </w:p>
    <w:p w14:paraId="5B5E0A81" w14:textId="77777777" w:rsidR="000B3C5C" w:rsidRDefault="00ED192D">
      <w:pPr>
        <w:pStyle w:val="Heading4"/>
        <w:spacing w:after="3" w:line="259" w:lineRule="auto"/>
        <w:ind w:left="-5"/>
      </w:pPr>
      <w:r>
        <w:rPr>
          <w:sz w:val="20"/>
        </w:rPr>
        <w:t xml:space="preserve">Figure 2 - Cluster of differentiation 38 H scores (3 × (% cells 3+) + 2 × (% cells 2+) + 1 × (% cells 1+) </w:t>
      </w:r>
    </w:p>
    <w:p w14:paraId="41C5CB75" w14:textId="77777777" w:rsidR="000B3C5C" w:rsidRDefault="00ED192D">
      <w:pPr>
        <w:spacing w:after="208" w:line="250" w:lineRule="auto"/>
        <w:ind w:left="15" w:right="4"/>
        <w:jc w:val="center"/>
      </w:pPr>
      <w:r>
        <w:rPr>
          <w:rFonts w:ascii="Arial" w:eastAsia="Arial" w:hAnsi="Arial" w:cs="Arial"/>
          <w:b/>
          <w:sz w:val="20"/>
        </w:rPr>
        <w:t xml:space="preserve">in low and high grade glioblastoma  </w:t>
      </w:r>
    </w:p>
    <w:p w14:paraId="5C1B241D" w14:textId="77777777" w:rsidR="000B3C5C" w:rsidRDefault="00ED192D">
      <w:pPr>
        <w:spacing w:after="163" w:line="259" w:lineRule="auto"/>
        <w:ind w:left="0" w:right="456" w:firstLine="0"/>
        <w:jc w:val="right"/>
      </w:pPr>
      <w:r>
        <w:rPr>
          <w:noProof/>
        </w:rPr>
        <w:drawing>
          <wp:inline distT="0" distB="0" distL="0" distR="0" wp14:anchorId="2E1B8B75" wp14:editId="71C1C89D">
            <wp:extent cx="5351145" cy="2544445"/>
            <wp:effectExtent l="0" t="0" r="0" b="0"/>
            <wp:docPr id="11336" name="Picture 11336"/>
            <wp:cNvGraphicFramePr/>
            <a:graphic xmlns:a="http://schemas.openxmlformats.org/drawingml/2006/main">
              <a:graphicData uri="http://schemas.openxmlformats.org/drawingml/2006/picture">
                <pic:pic xmlns:pic="http://schemas.openxmlformats.org/drawingml/2006/picture">
                  <pic:nvPicPr>
                    <pic:cNvPr id="11336" name="Picture 11336"/>
                    <pic:cNvPicPr/>
                  </pic:nvPicPr>
                  <pic:blipFill>
                    <a:blip r:embed="rId27"/>
                    <a:stretch>
                      <a:fillRect/>
                    </a:stretch>
                  </pic:blipFill>
                  <pic:spPr>
                    <a:xfrm>
                      <a:off x="0" y="0"/>
                      <a:ext cx="5351145" cy="2544445"/>
                    </a:xfrm>
                    <a:prstGeom prst="rect">
                      <a:avLst/>
                    </a:prstGeom>
                  </pic:spPr>
                </pic:pic>
              </a:graphicData>
            </a:graphic>
          </wp:inline>
        </w:drawing>
      </w:r>
      <w:r>
        <w:t xml:space="preserve"> </w:t>
      </w:r>
    </w:p>
    <w:p w14:paraId="184559DC" w14:textId="77777777" w:rsidR="000B3C5C" w:rsidRDefault="00ED192D">
      <w:pPr>
        <w:spacing w:after="118"/>
        <w:ind w:left="-3" w:right="14"/>
      </w:pPr>
      <w:r>
        <w:t xml:space="preserve">In other solid tumor types, CD38 is not detected on the tumor cells, although it can be detected within the tumor microenvironment. The role of CD38 in the solid tumor environment is not completely understood, but there are several findings indicating that CD38 can contribute to the immune-suppressive tumor microenvironment: </w:t>
      </w:r>
    </w:p>
    <w:p w14:paraId="379500EC" w14:textId="77777777" w:rsidR="000B3C5C" w:rsidRDefault="00ED192D">
      <w:pPr>
        <w:numPr>
          <w:ilvl w:val="0"/>
          <w:numId w:val="18"/>
        </w:numPr>
        <w:spacing w:after="118"/>
        <w:ind w:right="14" w:hanging="355"/>
      </w:pPr>
      <w:r>
        <w:t xml:space="preserve">CD38 catalyzes the conversion of nicotinamide adenine dinucleotide into immunosuppressive adenosine. </w:t>
      </w:r>
    </w:p>
    <w:p w14:paraId="6A5139D2" w14:textId="77777777" w:rsidR="000B3C5C" w:rsidRDefault="00ED192D">
      <w:pPr>
        <w:numPr>
          <w:ilvl w:val="0"/>
          <w:numId w:val="18"/>
        </w:numPr>
        <w:spacing w:after="118"/>
        <w:ind w:right="14" w:hanging="355"/>
      </w:pPr>
      <w:r>
        <w:t xml:space="preserve">CD38 expression is highly correlated with the expression of PD-1 and its ligands in solid tumor biopsies. </w:t>
      </w:r>
    </w:p>
    <w:p w14:paraId="49241032" w14:textId="77777777" w:rsidR="000B3C5C" w:rsidRDefault="00ED192D">
      <w:pPr>
        <w:numPr>
          <w:ilvl w:val="0"/>
          <w:numId w:val="18"/>
        </w:numPr>
        <w:spacing w:after="118"/>
        <w:ind w:right="14" w:hanging="355"/>
      </w:pPr>
      <w:r>
        <w:t>CD38 is found upregulated in tumor models that have acquired resistance to anti-PD-L1 (</w:t>
      </w:r>
      <w:r>
        <w:rPr>
          <w:color w:val="0000FF"/>
        </w:rPr>
        <w:t>30</w:t>
      </w:r>
      <w:r>
        <w:t xml:space="preserve">, </w:t>
      </w:r>
      <w:r>
        <w:rPr>
          <w:color w:val="0000FF"/>
        </w:rPr>
        <w:t>31</w:t>
      </w:r>
      <w:r>
        <w:t xml:space="preserve">). </w:t>
      </w:r>
    </w:p>
    <w:p w14:paraId="078E1F04" w14:textId="77777777" w:rsidR="000B3C5C" w:rsidRDefault="00ED192D">
      <w:pPr>
        <w:numPr>
          <w:ilvl w:val="0"/>
          <w:numId w:val="18"/>
        </w:numPr>
        <w:spacing w:after="116"/>
        <w:ind w:right="14" w:hanging="355"/>
      </w:pPr>
      <w:r>
        <w:t>CD38 expressing myeloid derived suppressor cells promote growth of human tumors in mice (</w:t>
      </w:r>
      <w:r>
        <w:rPr>
          <w:color w:val="0000FF"/>
        </w:rPr>
        <w:t>32</w:t>
      </w:r>
      <w:r>
        <w:t xml:space="preserve">). </w:t>
      </w:r>
    </w:p>
    <w:p w14:paraId="72488F8D" w14:textId="77777777" w:rsidR="000B3C5C" w:rsidRDefault="00ED192D">
      <w:pPr>
        <w:numPr>
          <w:ilvl w:val="0"/>
          <w:numId w:val="18"/>
        </w:numPr>
        <w:ind w:right="14" w:hanging="355"/>
      </w:pPr>
      <w:r>
        <w:t>CD38 expressing mouse tumor cells inhibit the proliferation of autologous T cells (</w:t>
      </w:r>
      <w:r>
        <w:rPr>
          <w:color w:val="0000FF"/>
        </w:rPr>
        <w:t>9</w:t>
      </w:r>
      <w:r>
        <w:t xml:space="preserve">). </w:t>
      </w:r>
    </w:p>
    <w:p w14:paraId="64B80FC7" w14:textId="77777777" w:rsidR="000B3C5C" w:rsidRDefault="00ED192D">
      <w:pPr>
        <w:ind w:left="-3" w:right="14"/>
      </w:pPr>
      <w:r>
        <w:t>A recent report has shown that the combination of anti-PD-L1 and CD38 antibodies induces a greater anti-tumor immune response than anti-PD-L1 in a mouse lung cancer model (K-ras</w:t>
      </w:r>
      <w:r>
        <w:rPr>
          <w:vertAlign w:val="superscript"/>
        </w:rPr>
        <w:t>LA1/+</w:t>
      </w:r>
      <w:r>
        <w:t>p53</w:t>
      </w:r>
      <w:r>
        <w:rPr>
          <w:vertAlign w:val="superscript"/>
        </w:rPr>
        <w:t>R172H∆g/+</w:t>
      </w:r>
      <w:r>
        <w:t>-derived tumor) (</w:t>
      </w:r>
      <w:r>
        <w:rPr>
          <w:color w:val="0000FF"/>
        </w:rPr>
        <w:t>Figure 3</w:t>
      </w:r>
      <w:r>
        <w:t>) (</w:t>
      </w:r>
      <w:r>
        <w:rPr>
          <w:color w:val="0000FF"/>
        </w:rPr>
        <w:t>30, 31</w:t>
      </w:r>
      <w:r>
        <w:t xml:space="preserve">). </w:t>
      </w:r>
    </w:p>
    <w:p w14:paraId="0442335E" w14:textId="77777777" w:rsidR="000B3C5C" w:rsidRDefault="00ED192D">
      <w:pPr>
        <w:spacing w:after="4" w:line="250" w:lineRule="auto"/>
        <w:ind w:left="15" w:right="5"/>
        <w:jc w:val="center"/>
      </w:pPr>
      <w:r>
        <w:rPr>
          <w:rFonts w:ascii="Arial" w:eastAsia="Arial" w:hAnsi="Arial" w:cs="Arial"/>
          <w:b/>
          <w:sz w:val="20"/>
        </w:rPr>
        <w:t xml:space="preserve">Figure 3 - Combination of anti-CD38 and anti PD-L1 in a mouse lung cancer model results in enhanced anti-tumor activity, decreases incidence of lung metastasis and increases the tumor </w:t>
      </w:r>
    </w:p>
    <w:p w14:paraId="7AB94A1A" w14:textId="77777777" w:rsidR="000B3C5C" w:rsidRDefault="00ED192D">
      <w:pPr>
        <w:spacing w:after="208" w:line="250" w:lineRule="auto"/>
        <w:ind w:left="15" w:right="5"/>
        <w:jc w:val="center"/>
      </w:pPr>
      <w:r>
        <w:rPr>
          <w:rFonts w:ascii="Arial" w:eastAsia="Arial" w:hAnsi="Arial" w:cs="Arial"/>
          <w:b/>
          <w:sz w:val="20"/>
        </w:rPr>
        <w:t xml:space="preserve">infiltration of CD8+ T cells  </w:t>
      </w:r>
    </w:p>
    <w:p w14:paraId="315CC70D" w14:textId="77777777" w:rsidR="000B3C5C" w:rsidRDefault="00ED192D">
      <w:pPr>
        <w:spacing w:after="0" w:line="259" w:lineRule="auto"/>
        <w:ind w:left="0" w:right="576" w:firstLine="0"/>
        <w:jc w:val="right"/>
      </w:pPr>
      <w:r>
        <w:rPr>
          <w:noProof/>
        </w:rPr>
        <w:drawing>
          <wp:inline distT="0" distB="0" distL="0" distR="0" wp14:anchorId="323A2952" wp14:editId="7C4FF30C">
            <wp:extent cx="5200015" cy="5407025"/>
            <wp:effectExtent l="0" t="0" r="0" b="0"/>
            <wp:docPr id="11450" name="Picture 11450"/>
            <wp:cNvGraphicFramePr/>
            <a:graphic xmlns:a="http://schemas.openxmlformats.org/drawingml/2006/main">
              <a:graphicData uri="http://schemas.openxmlformats.org/drawingml/2006/picture">
                <pic:pic xmlns:pic="http://schemas.openxmlformats.org/drawingml/2006/picture">
                  <pic:nvPicPr>
                    <pic:cNvPr id="11450" name="Picture 11450"/>
                    <pic:cNvPicPr/>
                  </pic:nvPicPr>
                  <pic:blipFill>
                    <a:blip r:embed="rId28"/>
                    <a:stretch>
                      <a:fillRect/>
                    </a:stretch>
                  </pic:blipFill>
                  <pic:spPr>
                    <a:xfrm>
                      <a:off x="0" y="0"/>
                      <a:ext cx="5200015" cy="5407025"/>
                    </a:xfrm>
                    <a:prstGeom prst="rect">
                      <a:avLst/>
                    </a:prstGeom>
                  </pic:spPr>
                </pic:pic>
              </a:graphicData>
            </a:graphic>
          </wp:inline>
        </w:drawing>
      </w:r>
      <w:r>
        <w:t xml:space="preserve"> </w:t>
      </w:r>
    </w:p>
    <w:p w14:paraId="4F4CFE16" w14:textId="77777777" w:rsidR="000B3C5C" w:rsidRDefault="00ED192D">
      <w:pPr>
        <w:spacing w:after="12"/>
        <w:ind w:left="-5" w:right="2"/>
      </w:pPr>
      <w:r>
        <w:rPr>
          <w:rFonts w:ascii="Arial" w:eastAsia="Arial" w:hAnsi="Arial" w:cs="Arial"/>
          <w:sz w:val="18"/>
        </w:rPr>
        <w:t>Details provided in bibliographic reference (</w:t>
      </w:r>
      <w:r>
        <w:rPr>
          <w:rFonts w:ascii="Arial" w:eastAsia="Arial" w:hAnsi="Arial" w:cs="Arial"/>
          <w:color w:val="0000FF"/>
          <w:sz w:val="18"/>
        </w:rPr>
        <w:t>30, 31</w:t>
      </w:r>
      <w:r>
        <w:rPr>
          <w:rFonts w:ascii="Arial" w:eastAsia="Arial" w:hAnsi="Arial" w:cs="Arial"/>
          <w:sz w:val="18"/>
        </w:rPr>
        <w:t xml:space="preserve">).  </w:t>
      </w:r>
    </w:p>
    <w:p w14:paraId="57BC6CF4" w14:textId="77777777" w:rsidR="000B3C5C" w:rsidRDefault="00ED192D">
      <w:pPr>
        <w:spacing w:after="12"/>
        <w:ind w:left="-5" w:right="2"/>
      </w:pPr>
      <w:r>
        <w:rPr>
          <w:rFonts w:ascii="Arial" w:eastAsia="Arial" w:hAnsi="Arial" w:cs="Arial"/>
          <w:sz w:val="18"/>
        </w:rPr>
        <w:t xml:space="preserve">Abbreviations: PD-L1=Programmed cell death-ligand 1 </w:t>
      </w:r>
    </w:p>
    <w:p w14:paraId="72ACBA1C" w14:textId="77777777" w:rsidR="000B3C5C" w:rsidRDefault="00ED192D">
      <w:pPr>
        <w:spacing w:after="279" w:line="259" w:lineRule="auto"/>
        <w:ind w:left="0" w:firstLine="0"/>
      </w:pPr>
      <w:r>
        <w:rPr>
          <w:rFonts w:ascii="Arial" w:eastAsia="Arial" w:hAnsi="Arial" w:cs="Arial"/>
          <w:sz w:val="18"/>
        </w:rPr>
        <w:t xml:space="preserve"> </w:t>
      </w:r>
    </w:p>
    <w:p w14:paraId="676CAC78" w14:textId="77777777" w:rsidR="000B3C5C" w:rsidRDefault="00ED192D">
      <w:pPr>
        <w:spacing w:after="118"/>
        <w:ind w:left="-3" w:right="14"/>
      </w:pPr>
      <w:r>
        <w:t>Isatuximab can induce different immuno-</w:t>
      </w:r>
      <w:r>
        <w:t xml:space="preserve">modulatory mechanisms that can contribute to reshape the tumor microenvironment and enhance the anti-tumor activity of anti-PD-1 antibodies: </w:t>
      </w:r>
    </w:p>
    <w:p w14:paraId="4F2171CD" w14:textId="77777777" w:rsidR="000B3C5C" w:rsidRDefault="00ED192D">
      <w:pPr>
        <w:numPr>
          <w:ilvl w:val="0"/>
          <w:numId w:val="19"/>
        </w:numPr>
        <w:spacing w:after="118"/>
        <w:ind w:right="14" w:hanging="355"/>
      </w:pPr>
      <w:r>
        <w:t xml:space="preserve">Isatuximab decreases circulating regulatory T cell counts and increases total T cell counts in MM patients. </w:t>
      </w:r>
    </w:p>
    <w:p w14:paraId="5117A920" w14:textId="77777777" w:rsidR="000B3C5C" w:rsidRDefault="00ED192D">
      <w:pPr>
        <w:numPr>
          <w:ilvl w:val="0"/>
          <w:numId w:val="19"/>
        </w:numPr>
        <w:spacing w:after="115"/>
        <w:ind w:right="14" w:hanging="355"/>
      </w:pPr>
      <w:r>
        <w:t>Isatuximab restores T cell function inhibited by regulatory T cells (</w:t>
      </w:r>
      <w:r>
        <w:rPr>
          <w:color w:val="0000FF"/>
        </w:rPr>
        <w:t>9</w:t>
      </w:r>
      <w:r>
        <w:t xml:space="preserve">). </w:t>
      </w:r>
    </w:p>
    <w:p w14:paraId="13C020CC" w14:textId="77777777" w:rsidR="000B3C5C" w:rsidRDefault="00ED192D">
      <w:pPr>
        <w:numPr>
          <w:ilvl w:val="0"/>
          <w:numId w:val="19"/>
        </w:numPr>
        <w:spacing w:after="115"/>
        <w:ind w:right="14" w:hanging="355"/>
      </w:pPr>
      <w:r>
        <w:t xml:space="preserve">Isatuximab induces activation of NK cells and increases their cytolytic activity. </w:t>
      </w:r>
    </w:p>
    <w:p w14:paraId="4CB6E25D" w14:textId="77777777" w:rsidR="000B3C5C" w:rsidRDefault="00ED192D">
      <w:pPr>
        <w:numPr>
          <w:ilvl w:val="0"/>
          <w:numId w:val="19"/>
        </w:numPr>
        <w:ind w:right="14" w:hanging="355"/>
      </w:pPr>
      <w:r>
        <w:t xml:space="preserve">Isatuximab increases macrophage phagocytic activity and M1 polarization. </w:t>
      </w:r>
    </w:p>
    <w:p w14:paraId="1F16E2BA" w14:textId="77777777" w:rsidR="000B3C5C" w:rsidRDefault="00ED192D">
      <w:pPr>
        <w:spacing w:after="472"/>
        <w:ind w:left="-3" w:right="14"/>
      </w:pPr>
      <w:r>
        <w:t xml:space="preserve">Isatuximab has shown clinical response in relapsed/refractory MM patients as a single agent and in combination with immunomodulatory agents. Although isatuximab has not been tested yet in solid tumors, we hypothesize, based on the immunomodulatory activities described above, that isatuximab may contribute to reshaping the tumor immune-environment and will enhance the activity of anti-PD-L1 therapy. </w:t>
      </w:r>
    </w:p>
    <w:p w14:paraId="4C04C459" w14:textId="77777777" w:rsidR="000B3C5C" w:rsidRDefault="00ED192D">
      <w:pPr>
        <w:pStyle w:val="Heading3"/>
        <w:tabs>
          <w:tab w:val="center" w:pos="1485"/>
        </w:tabs>
        <w:spacing w:after="354"/>
        <w:ind w:left="-15" w:firstLine="0"/>
      </w:pPr>
      <w:r>
        <w:t xml:space="preserve">2.2 </w:t>
      </w:r>
      <w:r>
        <w:tab/>
        <w:t xml:space="preserve">BACKGROUND  </w:t>
      </w:r>
    </w:p>
    <w:p w14:paraId="6DED6ECF" w14:textId="77777777" w:rsidR="000B3C5C" w:rsidRDefault="00ED192D">
      <w:pPr>
        <w:pStyle w:val="Heading4"/>
        <w:spacing w:after="350"/>
        <w:ind w:left="-5"/>
      </w:pPr>
      <w:r>
        <w:t xml:space="preserve">2.2.1 Solid tumors  </w:t>
      </w:r>
    </w:p>
    <w:p w14:paraId="48C0EB4B" w14:textId="77777777" w:rsidR="000B3C5C" w:rsidRDefault="00ED192D">
      <w:pPr>
        <w:pStyle w:val="Heading5"/>
        <w:ind w:left="-5"/>
      </w:pPr>
      <w:r>
        <w:t xml:space="preserve">2.2.1.1 Hepatocellular Carcinoma  </w:t>
      </w:r>
    </w:p>
    <w:p w14:paraId="2C0F6BE5" w14:textId="77777777" w:rsidR="000B3C5C" w:rsidRDefault="00ED192D">
      <w:pPr>
        <w:ind w:left="-3" w:right="14"/>
      </w:pPr>
      <w:r>
        <w:t>Hepatocellular carcinoma is a rising cause of cancer related deaths worldwide (</w:t>
      </w:r>
      <w:r>
        <w:rPr>
          <w:color w:val="0000FF"/>
        </w:rPr>
        <w:t>29</w:t>
      </w:r>
      <w:r>
        <w:t>). The leading cause of HCC is associated with chronic hepatitis B (33%), alcohol (30%) or hepatitis C (21%) (</w:t>
      </w:r>
      <w:r>
        <w:rPr>
          <w:color w:val="0000FF"/>
        </w:rPr>
        <w:t>33</w:t>
      </w:r>
      <w:r>
        <w:t>). The majority of HCC patients are detected at an advanced or end stage (</w:t>
      </w:r>
      <w:r>
        <w:rPr>
          <w:color w:val="0000FF"/>
        </w:rPr>
        <w:t>13</w:t>
      </w:r>
      <w:r>
        <w:t>). Systemic treatment options for advanced disease are limited with sorafenib being the only approved effective standard of care in the first line unresectable advanced setting. The objective RR (1 to 3%) is minimal and survival benefit (6.5 to 10.7 months versus 4.2 to 7.9 months with placebo) is modest in both Caucasia</w:t>
      </w:r>
      <w:r>
        <w:t>n and Asian population (</w:t>
      </w:r>
      <w:r>
        <w:rPr>
          <w:color w:val="0000FF"/>
        </w:rPr>
        <w:t>34</w:t>
      </w:r>
      <w:r>
        <w:t>,</w:t>
      </w:r>
      <w:r>
        <w:rPr>
          <w:color w:val="0000FF"/>
        </w:rPr>
        <w:t xml:space="preserve"> 35</w:t>
      </w:r>
      <w:r>
        <w:t>). Recently, lenvatinib, another vascular endothelial growth factor receptor inhibitor, has demonstrated similar survival benefit to sorafenib (13.6 months versus 12.3 months) in a Phase 3 study (</w:t>
      </w:r>
      <w:r>
        <w:rPr>
          <w:color w:val="0000FF"/>
        </w:rPr>
        <w:t>36</w:t>
      </w:r>
      <w:r>
        <w:t>). The FDA has accepted a supplemental new drug application for lenvatinib as a frontline systemic treatment for patients with advanced hepatocellular carcinoma in September 2017. For patients who were able to tolerate sorafenib but subsequently progressed on sorafenib, regorafenib h</w:t>
      </w:r>
      <w:r>
        <w:t>as been approved based on an overall survival (OS) benefit compared with placebo (10.6 months versus 7.8 months) (</w:t>
      </w:r>
      <w:r>
        <w:rPr>
          <w:color w:val="0000FF"/>
        </w:rPr>
        <w:t>3</w:t>
      </w:r>
      <w:r>
        <w:t xml:space="preserve">). In September 2017, nivolumab received accelerated approval from the FDA in patients who have been previously treated with sorafenib, supporting the use of immunotherapy for treatment of HCC in the second-line setting. </w:t>
      </w:r>
    </w:p>
    <w:p w14:paraId="66AB0D40" w14:textId="77777777" w:rsidR="000B3C5C" w:rsidRDefault="00ED192D">
      <w:pPr>
        <w:spacing w:after="0"/>
        <w:ind w:left="-3" w:right="14"/>
      </w:pPr>
      <w:r>
        <w:t>HCC is an immunogenic tumor in an immunotolerant environment.  The chronic inflammatory conditions in the liver (eg, cirrhosis, hepatitis B virus (HBV)/hepatitis C virus (HCV) infection) contribute to the immunosuppressive tumor microenvironment through T cell exhaustion, with presence of PD-1 expressing tumor-infiltrating lymphocytes in HCC lesions, supporting the use of PD-1/PD-L1 immune checkpoint blockade as a therapeutic strategy (</w:t>
      </w:r>
      <w:r>
        <w:rPr>
          <w:color w:val="0000FF"/>
        </w:rPr>
        <w:t>14</w:t>
      </w:r>
      <w:r>
        <w:t>,</w:t>
      </w:r>
      <w:r>
        <w:rPr>
          <w:color w:val="0000FF"/>
        </w:rPr>
        <w:t xml:space="preserve"> 2</w:t>
      </w:r>
      <w:r>
        <w:t xml:space="preserve">, </w:t>
      </w:r>
      <w:r>
        <w:rPr>
          <w:color w:val="0000FF"/>
        </w:rPr>
        <w:t>37</w:t>
      </w:r>
      <w:r>
        <w:t xml:space="preserve">). </w:t>
      </w:r>
    </w:p>
    <w:p w14:paraId="4B284104" w14:textId="77777777" w:rsidR="000B3C5C" w:rsidRDefault="00ED192D">
      <w:pPr>
        <w:spacing w:after="0"/>
        <w:ind w:left="-3" w:right="14"/>
      </w:pPr>
      <w:r>
        <w:t xml:space="preserve">Multiple anti-PD-1/PD-L1 inhibitors (including pembrolizumab, atezolizumab, and durvalumab) are being developed, as a monotherapy or in combination, for treatment of patients with HCC. In the Phase 1/2 study CheckMate040, nivolumab achieved a RR of 14% (central review using RECIST 1.1) in the 145 patients who received sorafenib. More importantly, responses were observed irrespective of HCC etiology or PD-L1 expression. The response was durable </w:t>
      </w:r>
    </w:p>
    <w:p w14:paraId="62531E74" w14:textId="77777777" w:rsidR="000B3C5C" w:rsidRDefault="00ED192D">
      <w:pPr>
        <w:ind w:left="-3" w:right="14"/>
      </w:pPr>
      <w:r>
        <w:t>(9.9 months) and most disease stabilizations lasted at least 6 months. The safety profile observed in patients with advanced HCC was generally similar to that observed in patients with other cancers, with the exception of a higher incidence of elevations in transaminases (18% Grade 3/4 aspartate aminotransferase [AST], 11% Grade 3/4 alanine aminotransferase [ALT]) and bilirubin (7% Grade 3/4 bilirubin) levels. Immune-mediated hepatitis requiring systemic corticosteroids occurred in 5% of patients. US FDA ac</w:t>
      </w:r>
      <w:r>
        <w:t>celerated approval was granted based on this study (</w:t>
      </w:r>
      <w:r>
        <w:rPr>
          <w:color w:val="0000FF"/>
        </w:rPr>
        <w:t>2</w:t>
      </w:r>
      <w:r>
        <w:t xml:space="preserve">). </w:t>
      </w:r>
    </w:p>
    <w:p w14:paraId="29C4267A" w14:textId="77777777" w:rsidR="000B3C5C" w:rsidRDefault="00ED192D">
      <w:pPr>
        <w:ind w:left="-3" w:right="14"/>
      </w:pPr>
      <w:r>
        <w:t>Durvalumab, a human immunoglobulin G1 antibody targets PD-</w:t>
      </w:r>
      <w:r>
        <w:t xml:space="preserve">L1, also demonstrated some clinical activity in patients with HCC (could be positive for HBV or HCV) with a RR of 10% and similar median OS as nivolumab (13.2 months, as of Oct 2016). The most common Grade 3/4 TEAE was elevation in transaminases (7.5% AST and 5.0% ALT). Although the preliminary results are encouraging, most patients with HCC do not respond to PD-1/PD-L1 inhibitors monotherapy. </w:t>
      </w:r>
    </w:p>
    <w:p w14:paraId="6504E418" w14:textId="77777777" w:rsidR="000B3C5C" w:rsidRDefault="00ED192D">
      <w:pPr>
        <w:spacing w:after="333"/>
        <w:ind w:left="-3" w:right="14"/>
      </w:pPr>
      <w:r>
        <w:t xml:space="preserve">The current study (ACT15377) will evaluate the safety, tolerability, and RRs of isatuximab in combination with atezolizumab as primary objective, in patients with unresectable HCC who progressed on/after or are intolerant to sorafenib. </w:t>
      </w:r>
    </w:p>
    <w:p w14:paraId="07AF5B64" w14:textId="77777777" w:rsidR="000B3C5C" w:rsidRDefault="00ED192D">
      <w:pPr>
        <w:pStyle w:val="Heading5"/>
        <w:ind w:left="-5"/>
      </w:pPr>
      <w:r>
        <w:t xml:space="preserve">2.2.1.2 Squamous cell carcinoma of head and neck  </w:t>
      </w:r>
    </w:p>
    <w:p w14:paraId="6D51C9AB" w14:textId="77777777" w:rsidR="000B3C5C" w:rsidRDefault="00ED192D">
      <w:pPr>
        <w:ind w:left="-3" w:right="14"/>
      </w:pPr>
      <w:r>
        <w:t>Approximately 60% of patients with SCCHN are diagnosed with locoregionally advanced disease (</w:t>
      </w:r>
      <w:r>
        <w:rPr>
          <w:color w:val="0000FF"/>
        </w:rPr>
        <w:t>12</w:t>
      </w:r>
      <w:r>
        <w:t>). More than 50% of these patients will have recurrence within 3 years with chemotherapy or chemoradiation (</w:t>
      </w:r>
      <w:r>
        <w:rPr>
          <w:color w:val="0000FF"/>
        </w:rPr>
        <w:t>5, 6</w:t>
      </w:r>
      <w:r>
        <w:t>). There is about 10% of patients present with metastatic disease (</w:t>
      </w:r>
      <w:r>
        <w:rPr>
          <w:color w:val="0000FF"/>
        </w:rPr>
        <w:t>15</w:t>
      </w:r>
      <w:r>
        <w:t>). First-line palliative treatment for patients with recurrent or metastatic SCCHN is platinum-based system therapy. Adding cetuximab to cisplatin/carboplatin plus 5-fluorouracil followed by maintenance cetuximab improves RR from 20% to 36%, and survival from 7.4 months to 10.1 months (</w:t>
      </w:r>
      <w:r>
        <w:rPr>
          <w:color w:val="0000FF"/>
        </w:rPr>
        <w:t>16</w:t>
      </w:r>
      <w:r>
        <w:t>). For the patients who have cancer prog</w:t>
      </w:r>
      <w:r>
        <w:t>ression within 6 months after platinum-based chemotherapy administered in the context of primary or recurrent disease, the prognosis is poor. ORRs to second-line chemotherapy or anti-EGFR agent are 6-13%. Median survival is approximately 6 months (</w:t>
      </w:r>
      <w:r>
        <w:rPr>
          <w:color w:val="0000FF"/>
        </w:rPr>
        <w:t>8</w:t>
      </w:r>
      <w:r>
        <w:t>,</w:t>
      </w:r>
      <w:r>
        <w:rPr>
          <w:color w:val="0000FF"/>
        </w:rPr>
        <w:t xml:space="preserve"> 11</w:t>
      </w:r>
      <w:r>
        <w:t>,</w:t>
      </w:r>
      <w:r>
        <w:rPr>
          <w:color w:val="0000FF"/>
        </w:rPr>
        <w:t xml:space="preserve"> 17</w:t>
      </w:r>
      <w:r>
        <w:t xml:space="preserve">). </w:t>
      </w:r>
    </w:p>
    <w:p w14:paraId="75B283C1" w14:textId="77777777" w:rsidR="000B3C5C" w:rsidRDefault="00ED192D">
      <w:pPr>
        <w:ind w:left="-3" w:right="14"/>
      </w:pPr>
      <w:r>
        <w:t>Nivolumab and pembrolizumab are the first PD-1 immune checkpoint inhibitors granted with US FDA approval for treating patients with recurrent/metastatic SCCHN who progress on or after platinum-based chemotherapy.  Nivolumab was shown to be superior to standard of care (median OS 7.5 months versus 5.1 months, RR 13% versus 5.8%, respectively) in platinum-refractory population regardless of PD-L1 status in Phase 3 Checkmate 141 (</w:t>
      </w:r>
      <w:r>
        <w:rPr>
          <w:color w:val="0000FF"/>
        </w:rPr>
        <w:t>11</w:t>
      </w:r>
      <w:r>
        <w:t>). Pembrolizumab, which was granted accelerated approval based on RR of 16% to 18% in patients with recurrent and metastatic SCCHN did not meet primary endpoints in a randomized study when compared to standard of care (</w:t>
      </w:r>
      <w:r>
        <w:rPr>
          <w:color w:val="0000FF"/>
        </w:rPr>
        <w:t>18</w:t>
      </w:r>
      <w:r>
        <w:t>,</w:t>
      </w:r>
      <w:r>
        <w:rPr>
          <w:color w:val="0000FF"/>
        </w:rPr>
        <w:t xml:space="preserve"> 19</w:t>
      </w:r>
      <w:r>
        <w:t>,</w:t>
      </w:r>
      <w:r>
        <w:rPr>
          <w:color w:val="0000FF"/>
        </w:rPr>
        <w:t xml:space="preserve"> 20</w:t>
      </w:r>
      <w:r>
        <w:t>). Atezolizumab monotherapy also demonstrated clinical activity in the PD-L1 expression enriched recurrent and metastatic SCCHN population from a Phase 1 study. The overall RR was 22%, and median OS was 6 months (</w:t>
      </w:r>
      <w:r>
        <w:rPr>
          <w:color w:val="0000FF"/>
        </w:rPr>
        <w:t>38</w:t>
      </w:r>
      <w:r>
        <w:t>). Multiple clinical trials are ongoing to evaluate the use of PD-</w:t>
      </w:r>
      <w:r>
        <w:t>1/PD-L1 immune checkpoint inhibitors in combination with therapies to improve clinical outcomes in patients with recurrent/metastatic SCCHN (</w:t>
      </w:r>
      <w:r>
        <w:rPr>
          <w:color w:val="0000FF"/>
        </w:rPr>
        <w:t>9</w:t>
      </w:r>
      <w:r>
        <w:t xml:space="preserve">). </w:t>
      </w:r>
    </w:p>
    <w:p w14:paraId="5C756CD6" w14:textId="77777777" w:rsidR="000B3C5C" w:rsidRDefault="00ED192D">
      <w:pPr>
        <w:spacing w:after="0"/>
        <w:ind w:left="-3" w:right="14"/>
      </w:pPr>
      <w:r>
        <w:t xml:space="preserve">The current study (ACT15377) will evaluate the safety, tolerability, and RRs of isatuximab in combination with atezolizumab as primary objective, in patients with recurrent/metastatic </w:t>
      </w:r>
    </w:p>
    <w:p w14:paraId="1FDD32F9" w14:textId="77777777" w:rsidR="000B3C5C" w:rsidRDefault="00ED192D">
      <w:pPr>
        <w:spacing w:after="330"/>
        <w:ind w:left="-3" w:right="14"/>
      </w:pPr>
      <w:r>
        <w:t xml:space="preserve">SCCHN who progressed on/after one and no more than two lines of platinum-based therapy. </w:t>
      </w:r>
    </w:p>
    <w:p w14:paraId="03F93D26" w14:textId="77777777" w:rsidR="000B3C5C" w:rsidRDefault="00ED192D">
      <w:pPr>
        <w:pStyle w:val="Heading5"/>
        <w:spacing w:after="175"/>
        <w:ind w:left="-5"/>
      </w:pPr>
      <w:r>
        <w:t xml:space="preserve">2.2.1.3 Epithelial ovarian cancer  </w:t>
      </w:r>
    </w:p>
    <w:p w14:paraId="0BAB813F" w14:textId="77777777" w:rsidR="000B3C5C" w:rsidRDefault="00ED192D">
      <w:pPr>
        <w:spacing w:after="170"/>
        <w:ind w:left="-3" w:right="14"/>
      </w:pPr>
      <w:r>
        <w:t>Epithelial ovarian cancer, which accounts for a majority of diagnoses of ovarian cancer, is further subdivided into various cell types, grades, and anatomic locations. The most common form is high-grade serous ovarian cancer, which accounts for approximately 70% of all EOC (</w:t>
      </w:r>
      <w:r>
        <w:rPr>
          <w:color w:val="0000FF"/>
        </w:rPr>
        <w:t>39</w:t>
      </w:r>
      <w:r>
        <w:t>). More than 60% of patients with ovarian cancer are diagnosed with advanced (stage III–IV) disease, the mainstay of treatment for which is upfront surgical cytoreduction followed by adjuvant platinum-based chemotherapy. Bevacizumab is approved (excluding the United States) as a first-line treatment in combination with standard chemotherapy (</w:t>
      </w:r>
      <w:r>
        <w:rPr>
          <w:color w:val="0000FF"/>
        </w:rPr>
        <w:t>40</w:t>
      </w:r>
      <w:r>
        <w:t>). Platinum-based therapy (plus bevacizumab) continues to be the principal regimen used to treat platinum-sensitive tumors (defined as relapse at least 6 months aft</w:t>
      </w:r>
      <w:r>
        <w:t>er completion of last platinum-based therapy). However, platinum resistance eventually occurs in virtually all patients with recurrent EOC, as response usually lasts for only a few months and with each subsequent course of therapy the treatment free interval shortens until the disease is declared “platinum-resistant” (defined as progression within 6 months of platinum-based therapy) or “platinum-refractory” (defined as progression during or within 4 weeks after the last dose) (</w:t>
      </w:r>
      <w:r>
        <w:rPr>
          <w:color w:val="0000FF"/>
        </w:rPr>
        <w:t>32</w:t>
      </w:r>
      <w:r>
        <w:t xml:space="preserve">). </w:t>
      </w:r>
    </w:p>
    <w:p w14:paraId="4D8A0855" w14:textId="77777777" w:rsidR="000B3C5C" w:rsidRDefault="00ED192D">
      <w:pPr>
        <w:spacing w:after="0"/>
        <w:ind w:left="-3" w:right="14"/>
      </w:pPr>
      <w:r>
        <w:t>For the patients who harbor mutations in the genes encoding breast cancer type 1 and 2 susceptibility protein (BRCA1 and BRCA2), which occur in 10–15% of ovarian cancers, poly(ADP ribose) polymerase (PARP) inhibitors are transforming the treatment landscape (</w:t>
      </w:r>
      <w:r>
        <w:rPr>
          <w:color w:val="0000FF"/>
        </w:rPr>
        <w:t>41</w:t>
      </w:r>
      <w:r>
        <w:t xml:space="preserve">). </w:t>
      </w:r>
    </w:p>
    <w:p w14:paraId="436E726E" w14:textId="77777777" w:rsidR="000B3C5C" w:rsidRDefault="00ED192D">
      <w:pPr>
        <w:spacing w:after="11"/>
        <w:ind w:left="-3" w:right="14"/>
      </w:pPr>
      <w:r>
        <w:t xml:space="preserve">The first PARP inhibitor, olaparib is approved as a maintenance therapy in germline </w:t>
      </w:r>
    </w:p>
    <w:p w14:paraId="7F28BFB9" w14:textId="77777777" w:rsidR="000B3C5C" w:rsidRDefault="00ED192D">
      <w:pPr>
        <w:spacing w:after="170"/>
        <w:ind w:left="-3" w:right="14"/>
      </w:pPr>
      <w:r>
        <w:t>BRCA-mutated patients with platinum-sensitive recurrent disease based on a randomized Phase 3 study (PFS 19.1 months versus 5.5 months) (</w:t>
      </w:r>
      <w:r>
        <w:rPr>
          <w:color w:val="0000FF"/>
        </w:rPr>
        <w:t>42</w:t>
      </w:r>
      <w:r>
        <w:t xml:space="preserve">). </w:t>
      </w:r>
    </w:p>
    <w:p w14:paraId="59500D46" w14:textId="77777777" w:rsidR="000B3C5C" w:rsidRDefault="00ED192D">
      <w:pPr>
        <w:spacing w:after="170"/>
        <w:ind w:left="-3" w:right="14"/>
      </w:pPr>
      <w:r>
        <w:t>Commonly used treatments in the setting of recurrent platinum-resistant EOC nowadays include pegylated liposomal doxorubicin (PLD), paclitaxel (weekly) and topotecan (</w:t>
      </w:r>
      <w:r>
        <w:rPr>
          <w:color w:val="0000FF"/>
        </w:rPr>
        <w:t>40</w:t>
      </w:r>
      <w:r>
        <w:t xml:space="preserve">, </w:t>
      </w:r>
      <w:r>
        <w:rPr>
          <w:color w:val="0000FF"/>
        </w:rPr>
        <w:t>43</w:t>
      </w:r>
      <w:r>
        <w:t>). These single agent chemotherapies were reported to result in PFS of 3-4 months, OS of about 12 months, and RRs ranging from 10% to 15% (</w:t>
      </w:r>
      <w:r>
        <w:rPr>
          <w:color w:val="0000FF"/>
        </w:rPr>
        <w:t>32</w:t>
      </w:r>
      <w:r>
        <w:t xml:space="preserve">). Management of recurrent platinum-resistant EOC remains challenging due to toxicities associated with cytotoxic agents and emergent of drug resistance. </w:t>
      </w:r>
    </w:p>
    <w:p w14:paraId="6F1A1403" w14:textId="77777777" w:rsidR="000B3C5C" w:rsidRDefault="00ED192D">
      <w:pPr>
        <w:spacing w:after="170"/>
        <w:ind w:left="-3" w:right="14"/>
      </w:pPr>
      <w:r>
        <w:t>Studies have shown that EOC, particularly those of high-grade serous, is most likely associated with pattern of adaptive immune resistance and may be more likely to respond to immune checkpoint inhibitors (</w:t>
      </w:r>
      <w:r>
        <w:rPr>
          <w:color w:val="0000FF"/>
        </w:rPr>
        <w:t>44</w:t>
      </w:r>
      <w:r>
        <w:t xml:space="preserve">, </w:t>
      </w:r>
      <w:r>
        <w:rPr>
          <w:color w:val="0000FF"/>
        </w:rPr>
        <w:t>45</w:t>
      </w:r>
      <w:r>
        <w:t>). Immune checkpoint inhibitors are being extensively tested in the clinic for treatment of recurrent EOC. To date, anti-PD-1/PD-L1 monotherapy have demonstrated similar RRs and PFS as single agent chemotherapy in platinum-resistance disease in small Phase 1/2 studies (</w:t>
      </w:r>
      <w:r>
        <w:rPr>
          <w:color w:val="0000FF"/>
        </w:rPr>
        <w:t>46</w:t>
      </w:r>
      <w:r>
        <w:t xml:space="preserve">, </w:t>
      </w:r>
      <w:r>
        <w:rPr>
          <w:color w:val="0000FF"/>
        </w:rPr>
        <w:t>47</w:t>
      </w:r>
      <w:r>
        <w:t xml:space="preserve">, </w:t>
      </w:r>
      <w:r>
        <w:rPr>
          <w:color w:val="0000FF"/>
        </w:rPr>
        <w:t>48</w:t>
      </w:r>
      <w:r>
        <w:t>). However, durable responses were noted with avelumab, nivolumab and pembrolizumab which created enthusiasm as durable responses are atypical in this setting. A randomized Phase 3 study evaluating avelumab in combination with</w:t>
      </w:r>
      <w:r>
        <w:t xml:space="preserve"> PLD in patients with platinum-resistant/refractory ovarian cancer is currently underway (</w:t>
      </w:r>
      <w:r>
        <w:rPr>
          <w:color w:val="0000FF"/>
        </w:rPr>
        <w:t>49</w:t>
      </w:r>
      <w:r>
        <w:t xml:space="preserve">). </w:t>
      </w:r>
    </w:p>
    <w:p w14:paraId="567EB245" w14:textId="77777777" w:rsidR="000B3C5C" w:rsidRDefault="00ED192D">
      <w:pPr>
        <w:spacing w:after="274"/>
        <w:ind w:left="-3" w:right="14"/>
      </w:pPr>
      <w:r>
        <w:t xml:space="preserve">The current study (ACT15377) will evaluate the safety, tolerability, and RRs of isatuximab in combination with atezolizumab as primary objective, in patients with platinum-resistant/refractory recurrent EOC, who received no more than 3 lines of systemic therapy for platinum-sensitive disease and no prior therapy for platinum-resistant/refractory disease (specific to France: see Appendix 8 in </w:t>
      </w:r>
      <w:r>
        <w:rPr>
          <w:color w:val="0000FF"/>
        </w:rPr>
        <w:t>Section 10.8.1</w:t>
      </w:r>
      <w:r>
        <w:t xml:space="preserve">). </w:t>
      </w:r>
    </w:p>
    <w:p w14:paraId="5589F295" w14:textId="77777777" w:rsidR="000B3C5C" w:rsidRDefault="00ED192D">
      <w:pPr>
        <w:pStyle w:val="Heading5"/>
        <w:ind w:left="-5"/>
      </w:pPr>
      <w:r>
        <w:t xml:space="preserve">2.2.1.4 Glioblastoma Multiforme  </w:t>
      </w:r>
    </w:p>
    <w:p w14:paraId="282C1F17" w14:textId="77777777" w:rsidR="000B3C5C" w:rsidRDefault="00ED192D">
      <w:pPr>
        <w:ind w:left="-3" w:right="14"/>
      </w:pPr>
      <w:r>
        <w:t>Adult GBM is one of the most aggressive primary cancers of the brain with a 5-year survival rate of 5% (</w:t>
      </w:r>
      <w:r>
        <w:rPr>
          <w:color w:val="0000FF"/>
        </w:rPr>
        <w:t>50</w:t>
      </w:r>
      <w:r>
        <w:t>). Treatment of newly diagnosed GBM consists of maximal safe surgical resection, followed by radiotherapy with concurrent and maintenance temozolomide. Adding temozolomide improves median PFS to 6.9 months and OS to 14.6 months (</w:t>
      </w:r>
      <w:r>
        <w:rPr>
          <w:color w:val="0000FF"/>
        </w:rPr>
        <w:t>51</w:t>
      </w:r>
      <w:r>
        <w:t>). Only 10% of patients survive longer than 5 years. O-6-methylguanine-DNA methyltransferase gene methylation status identifies patients most likely to benefit from the addition of temozolomide (</w:t>
      </w:r>
      <w:r>
        <w:rPr>
          <w:color w:val="0000FF"/>
        </w:rPr>
        <w:t>52</w:t>
      </w:r>
      <w:r>
        <w:t xml:space="preserve">).  </w:t>
      </w:r>
    </w:p>
    <w:p w14:paraId="3FB16A7B" w14:textId="77777777" w:rsidR="000B3C5C" w:rsidRDefault="00ED192D">
      <w:pPr>
        <w:ind w:left="-3" w:right="14"/>
      </w:pPr>
      <w:r>
        <w:t>At tumor progression, treatment options are scarce and of poor effectiveness. Lomustine is one of the commonly used treatments for recurrent GBM with an OS of &lt;8.6 months, RRs of 4-5%, and PFS rate at 6 months of 8-19% (median PFS &lt;2 months) (</w:t>
      </w:r>
      <w:r>
        <w:rPr>
          <w:color w:val="0000FF"/>
        </w:rPr>
        <w:t>53</w:t>
      </w:r>
      <w:r>
        <w:t xml:space="preserve">, </w:t>
      </w:r>
      <w:r>
        <w:rPr>
          <w:color w:val="0000FF"/>
        </w:rPr>
        <w:t>54</w:t>
      </w:r>
      <w:r>
        <w:t xml:space="preserve">, </w:t>
      </w:r>
      <w:r>
        <w:rPr>
          <w:color w:val="0000FF"/>
        </w:rPr>
        <w:t>55</w:t>
      </w:r>
      <w:r>
        <w:t>)</w:t>
      </w:r>
      <w:r>
        <w:t>. Bevacizumab was approved by the US FDA for treatment of recurrent GBM based on RRs of 20-26% in two Phase 2 studies (</w:t>
      </w:r>
      <w:r>
        <w:rPr>
          <w:color w:val="0000FF"/>
        </w:rPr>
        <w:t>25</w:t>
      </w:r>
      <w:r>
        <w:t xml:space="preserve">, </w:t>
      </w:r>
      <w:r>
        <w:rPr>
          <w:color w:val="0000FF"/>
        </w:rPr>
        <w:t>26</w:t>
      </w:r>
      <w:r>
        <w:t>). However, the improved RRs of bevacizumab did not translate into meaningful OS (&lt;10 months versus &lt;8.6 months for lomustine). It has been hypothesized that the pseudoresponse of bevacizumab is attributed to its normalization effect as an anti-angiogenic agent which interferes with magnetic resonance imaging (MRI) interpretation during disease assessment (</w:t>
      </w:r>
      <w:r>
        <w:rPr>
          <w:color w:val="0000FF"/>
        </w:rPr>
        <w:t>21</w:t>
      </w:r>
      <w:r>
        <w:t xml:space="preserve">). </w:t>
      </w:r>
    </w:p>
    <w:p w14:paraId="144EC235" w14:textId="77777777" w:rsidR="000B3C5C" w:rsidRDefault="00ED192D">
      <w:pPr>
        <w:spacing w:after="0"/>
        <w:ind w:left="-3" w:right="14"/>
      </w:pPr>
      <w:r>
        <w:t>Glioblastoma multiforme is recognized as an immunosuppressive neoplasm due to activation of various immune escape mechanisms including the PD-1/PD-L1 pathway. Upregulation of PD-L1 expression was detected in &gt;70% of recurrent GBM tumor specimens, along with sparse-to-moderate density of tumor infiltrating lymphocytes (</w:t>
      </w:r>
      <w:r>
        <w:rPr>
          <w:color w:val="0000FF"/>
        </w:rPr>
        <w:t>22</w:t>
      </w:r>
      <w:r>
        <w:t>). Contrary to conventional belief where immune responses were limited in the brain due to the blood brain barrier (BBB), the BBB has selective permeability for immune cells regulating the brain microenvironment. Glioblastoma cells are also known to release factors that disrupt the BBB, permitting infiltration of activated macrophages and lymphocytes (</w:t>
      </w:r>
      <w:r>
        <w:rPr>
          <w:color w:val="0000FF"/>
        </w:rPr>
        <w:t>23</w:t>
      </w:r>
      <w:r>
        <w:t xml:space="preserve">, </w:t>
      </w:r>
      <w:r>
        <w:rPr>
          <w:color w:val="0000FF"/>
        </w:rPr>
        <w:t>24</w:t>
      </w:r>
      <w:r>
        <w:t>). Tumor-specific immune memory response has been demonstrated in orthotopic immunocompetent murine glioblastoma model where treatment with immune che</w:t>
      </w:r>
      <w:r>
        <w:t>ckpoint inhibitors including anti-PD-1/PD-L1 led to long-term survival. In particular, increased activated CD8+ and natural killer cells, decreased suppressive immune cells were observed in the tumor microenvironment and draining cervical lymph nodes (</w:t>
      </w:r>
      <w:r>
        <w:rPr>
          <w:color w:val="0000FF"/>
        </w:rPr>
        <w:t>56</w:t>
      </w:r>
      <w:r>
        <w:t>). Multiple clinical trials are ongoing to evaluate PD-1/PD-L1 inhibitors as a monotherapy or in combination for treatment of recurrent GBM. Although in the Phase 3 CheckMate 143 study, single agent nivolumab did not improve OS in patients with recurrent GBM</w:t>
      </w:r>
      <w:r>
        <w:t xml:space="preserve"> compared to bevacizumab </w:t>
      </w:r>
    </w:p>
    <w:p w14:paraId="2C7D36B5" w14:textId="77777777" w:rsidR="000B3C5C" w:rsidRDefault="00ED192D">
      <w:pPr>
        <w:spacing w:after="11"/>
        <w:ind w:left="-3" w:right="14"/>
      </w:pPr>
      <w:r>
        <w:t xml:space="preserve">(9.8 versus 10 months), durable response was observed with nivolumab (DoR 11 versus </w:t>
      </w:r>
    </w:p>
    <w:p w14:paraId="5AA89438" w14:textId="77777777" w:rsidR="000B3C5C" w:rsidRDefault="00ED192D">
      <w:pPr>
        <w:spacing w:after="333"/>
        <w:ind w:left="-3" w:right="14"/>
      </w:pPr>
      <w:r>
        <w:t>5.3 months) (</w:t>
      </w:r>
      <w:r>
        <w:rPr>
          <w:color w:val="0000FF"/>
        </w:rPr>
        <w:t>30</w:t>
      </w:r>
      <w:r>
        <w:t>)</w:t>
      </w:r>
      <w:r>
        <w:t xml:space="preserve">. CD38 protein expression was observed in glioblastoma biopsies, suggesting that addition of anti-CD38 therapy to anti-PD-1/PD-L1 may potentiate tumor-specific immune response (see </w:t>
      </w:r>
      <w:r>
        <w:rPr>
          <w:color w:val="0000FF"/>
        </w:rPr>
        <w:t>Section</w:t>
      </w:r>
      <w:r>
        <w:t xml:space="preserve"> </w:t>
      </w:r>
      <w:r>
        <w:rPr>
          <w:color w:val="0000FF"/>
        </w:rPr>
        <w:t>2.1</w:t>
      </w:r>
      <w:r>
        <w:t xml:space="preserve">). </w:t>
      </w:r>
    </w:p>
    <w:p w14:paraId="104B19B7" w14:textId="77777777" w:rsidR="000B3C5C" w:rsidRDefault="00ED192D">
      <w:pPr>
        <w:pStyle w:val="Heading4"/>
        <w:ind w:left="-5"/>
      </w:pPr>
      <w:r>
        <w:t xml:space="preserve">2.2.2 Isatuximab  </w:t>
      </w:r>
    </w:p>
    <w:p w14:paraId="2C262E24" w14:textId="77777777" w:rsidR="000B3C5C" w:rsidRDefault="00ED192D">
      <w:pPr>
        <w:spacing w:after="0"/>
        <w:ind w:left="-3" w:right="14"/>
      </w:pPr>
      <w:r>
        <w:t xml:space="preserve">Isatuximab (SAR650984) is a mAb that binds selectively to a unique epitope on the human surface antigen CD38. Isatuximab kills tumor cells via multiple biological mechanisms; antibody-dependent cellular-mediated cytotoxicity, antibody-dependent cellular-mediated phagocytosis, complement-dependent cytotoxicity and direct induction of apoptosis </w:t>
      </w:r>
    </w:p>
    <w:p w14:paraId="4FC4D872" w14:textId="77777777" w:rsidR="000B3C5C" w:rsidRDefault="00ED192D">
      <w:pPr>
        <w:ind w:left="-3" w:right="14"/>
      </w:pPr>
      <w:r>
        <w:t xml:space="preserve">(pro-apoptosis) without crosslinking. Isatuximab treatment of CD38-expressing cells also results in inhibition of CD38 enzymatic activity. </w:t>
      </w:r>
    </w:p>
    <w:p w14:paraId="4DB05E30" w14:textId="77777777" w:rsidR="000B3C5C" w:rsidRDefault="00ED192D">
      <w:pPr>
        <w:ind w:left="-3" w:right="328"/>
      </w:pPr>
      <w:r>
        <w:t xml:space="preserve">At the cut-off date of 05 January 2018, a total of 675 patients were treated with isatuximab. All patients had hematological malignancy. </w:t>
      </w:r>
    </w:p>
    <w:p w14:paraId="021A29F0" w14:textId="77777777" w:rsidR="000B3C5C" w:rsidRDefault="00ED192D">
      <w:pPr>
        <w:ind w:left="-3" w:right="14"/>
      </w:pPr>
      <w:r>
        <w:t xml:space="preserve">Refer to the isatuximab Investigator’s Brochure for the most updated nonclinical and clinical studies of isatuximab. </w:t>
      </w:r>
    </w:p>
    <w:p w14:paraId="40C78F24" w14:textId="77777777" w:rsidR="000B3C5C" w:rsidRDefault="00ED192D">
      <w:pPr>
        <w:pStyle w:val="Heading4"/>
        <w:ind w:left="-5"/>
      </w:pPr>
      <w:r>
        <w:t xml:space="preserve">2.2.3 Atezolizumab  </w:t>
      </w:r>
    </w:p>
    <w:p w14:paraId="42CB1F56" w14:textId="77777777" w:rsidR="000B3C5C" w:rsidRDefault="00ED192D">
      <w:pPr>
        <w:ind w:left="-3" w:right="14"/>
      </w:pPr>
      <w:r>
        <w:t>Atezolizumab is a humanized immunoglobulin G1 mAb that targets PD-L1 and inhibits the interaction between PD-L1 and its receptors, PD-1 and B7-1 (also known as CD80), both of which function as inhibitory receptors expressed on T cells. Therapeutic blockade of PD-L1 binding by atezolizumab has been shown to enhance the magnitude and quality of tumor-specific T cell responses, resulting in improved anti-tumor activity (</w:t>
      </w:r>
      <w:r>
        <w:rPr>
          <w:color w:val="0000FF"/>
        </w:rPr>
        <w:t>57, 58</w:t>
      </w:r>
      <w:r>
        <w:t xml:space="preserve">). Atezolizumab has minimal binding to Fc receptors, thus eliminating detectable Fc-effector function and associated antibody-mediated clearance of activated effector T cells. </w:t>
      </w:r>
    </w:p>
    <w:p w14:paraId="057E0D1F" w14:textId="77777777" w:rsidR="000B3C5C" w:rsidRDefault="00ED192D">
      <w:pPr>
        <w:ind w:left="-3" w:right="14"/>
      </w:pPr>
      <w:r>
        <w:t xml:space="preserve">Atezolizumab shows anti-tumor activity in both nonclinical models and cancer patients and is being investigated as a potential therapy in a wide variety of malignancies. Atezolizumab is being studied as a single agent in the advanced cancer and adjuvant settings, as well as in combination with chemotherapy, targeted therapy, and cancer immunotherapy. </w:t>
      </w:r>
    </w:p>
    <w:p w14:paraId="4FCA20CC" w14:textId="77777777" w:rsidR="000B3C5C" w:rsidRDefault="00ED192D">
      <w:pPr>
        <w:ind w:left="-3" w:right="14"/>
      </w:pPr>
      <w:r>
        <w:t xml:space="preserve">Atezolizumab is approved in multiple countries for the treatment of urothelial carcinoma (UC) and for the treatment of non-small cell lung cancer (NSCLC). </w:t>
      </w:r>
    </w:p>
    <w:p w14:paraId="18591757" w14:textId="77777777" w:rsidR="000B3C5C" w:rsidRDefault="00ED192D">
      <w:pPr>
        <w:ind w:left="-3" w:right="14"/>
      </w:pPr>
      <w:r>
        <w:t xml:space="preserve">Refer to the atezolizumab Investigator’s Brochure for details on nonclinical and clinical studies. </w:t>
      </w:r>
    </w:p>
    <w:p w14:paraId="2CE1274B" w14:textId="77777777" w:rsidR="000B3C5C" w:rsidRDefault="00ED192D">
      <w:pPr>
        <w:spacing w:after="472"/>
        <w:ind w:left="-3" w:right="14"/>
      </w:pPr>
      <w:r>
        <w:t xml:space="preserve">The current study (ACT15377) will evaluate the safety, tolerability, and PFS rate at 6 months (historic benchmark for GBM) of isatuximab in combination with atezolizumab as primary objective, in patients with recurrent GBM. </w:t>
      </w:r>
    </w:p>
    <w:p w14:paraId="54AD350C" w14:textId="77777777" w:rsidR="000B3C5C" w:rsidRDefault="00ED192D">
      <w:pPr>
        <w:pStyle w:val="Heading3"/>
        <w:tabs>
          <w:tab w:val="center" w:pos="2233"/>
        </w:tabs>
        <w:ind w:left="-15" w:firstLine="0"/>
      </w:pPr>
      <w:r>
        <w:t xml:space="preserve">2.3 </w:t>
      </w:r>
      <w:r>
        <w:tab/>
        <w:t xml:space="preserve">BENEFIT/RISK ASSESSMENT  </w:t>
      </w:r>
    </w:p>
    <w:p w14:paraId="13D8EE2B" w14:textId="77777777" w:rsidR="000B3C5C" w:rsidRDefault="00ED192D">
      <w:pPr>
        <w:spacing w:after="333"/>
        <w:ind w:left="-3" w:right="14"/>
      </w:pPr>
      <w:r>
        <w:t xml:space="preserve">Overall, scientific rationale (see </w:t>
      </w:r>
      <w:r>
        <w:rPr>
          <w:color w:val="0000FF"/>
        </w:rPr>
        <w:t>Section</w:t>
      </w:r>
      <w:r>
        <w:t xml:space="preserve"> </w:t>
      </w:r>
      <w:r>
        <w:rPr>
          <w:color w:val="0000FF"/>
        </w:rPr>
        <w:t>2.1</w:t>
      </w:r>
      <w:r>
        <w:t xml:space="preserve">) and the anticipated possible benefit/risk ratio of isatuximab in combination with atezolizumab support the conduct of study ACT15377 in participants with HCC, SCCHN, EOC, and GBM. </w:t>
      </w:r>
    </w:p>
    <w:p w14:paraId="0435B52D" w14:textId="77777777" w:rsidR="000B3C5C" w:rsidRDefault="00ED192D">
      <w:pPr>
        <w:spacing w:after="249" w:line="249" w:lineRule="auto"/>
        <w:ind w:left="-5"/>
      </w:pPr>
      <w:r>
        <w:rPr>
          <w:rFonts w:ascii="Arial" w:eastAsia="Arial" w:hAnsi="Arial" w:cs="Arial"/>
          <w:b/>
          <w:sz w:val="22"/>
        </w:rPr>
        <w:t xml:space="preserve">2.3.1 Benefits  </w:t>
      </w:r>
    </w:p>
    <w:p w14:paraId="1B7432C0" w14:textId="77777777" w:rsidR="000B3C5C" w:rsidRDefault="00ED192D">
      <w:pPr>
        <w:spacing w:after="330"/>
        <w:ind w:left="-3" w:right="14"/>
      </w:pPr>
      <w:r>
        <w:t xml:space="preserve">Refer to </w:t>
      </w:r>
      <w:r>
        <w:rPr>
          <w:color w:val="0000FF"/>
        </w:rPr>
        <w:t>Section</w:t>
      </w:r>
      <w:r>
        <w:t xml:space="preserve"> </w:t>
      </w:r>
      <w:r>
        <w:rPr>
          <w:color w:val="0000FF"/>
        </w:rPr>
        <w:t>2.1</w:t>
      </w:r>
      <w:r>
        <w:t xml:space="preserve">. </w:t>
      </w:r>
    </w:p>
    <w:p w14:paraId="53CBBA74" w14:textId="77777777" w:rsidR="000B3C5C" w:rsidRDefault="00ED192D">
      <w:pPr>
        <w:pStyle w:val="Heading4"/>
        <w:spacing w:after="347"/>
        <w:ind w:left="-5"/>
      </w:pPr>
      <w:r>
        <w:t xml:space="preserve">2.3.2 Potential and identified risks  </w:t>
      </w:r>
    </w:p>
    <w:p w14:paraId="49BCD1A7" w14:textId="77777777" w:rsidR="000B3C5C" w:rsidRDefault="00ED192D">
      <w:pPr>
        <w:pStyle w:val="Heading5"/>
        <w:ind w:left="-5"/>
      </w:pPr>
      <w:r>
        <w:t xml:space="preserve">2.3.2.1 Isatuximab  </w:t>
      </w:r>
    </w:p>
    <w:p w14:paraId="6BC3C184" w14:textId="77777777" w:rsidR="000B3C5C" w:rsidRDefault="00ED192D">
      <w:pPr>
        <w:ind w:left="-3" w:right="14"/>
      </w:pPr>
      <w:r>
        <w:t>Isatuximab has been investigated either as monotherapy or in combination in patients with hematological malignancies. The safety profile of isatuximab monotherapy has been best characterized in study TED10893 (Phase 1 and Phase 2, including 181 patients with MM), where the most common TEAEs, excluding the AEs corresponding to laboratory abnormalities, include IARs, fatigue, nausea, upper respiratory infection, cough, back pain and diarrhea. Infusion-associated reactions occurred in 49.4% of the patients fro</w:t>
      </w:r>
      <w:r>
        <w:t xml:space="preserve">m TED10893 Phase 1 (concluded). </w:t>
      </w:r>
    </w:p>
    <w:p w14:paraId="4FE3DA97" w14:textId="77777777" w:rsidR="000B3C5C" w:rsidRDefault="00ED192D">
      <w:pPr>
        <w:ind w:left="-3" w:right="14"/>
      </w:pPr>
      <w:r>
        <w:t xml:space="preserve">The IARs associated with isatuximab in patients who are administered appropriate primary prophylaxis (see also </w:t>
      </w:r>
      <w:r>
        <w:rPr>
          <w:color w:val="0000FF"/>
        </w:rPr>
        <w:t>Section</w:t>
      </w:r>
      <w:r>
        <w:t xml:space="preserve"> </w:t>
      </w:r>
      <w:r>
        <w:rPr>
          <w:color w:val="0000FF"/>
        </w:rPr>
        <w:t>2.3.4</w:t>
      </w:r>
      <w:r>
        <w:t xml:space="preserve">) are most common with the first administration of the drug, are not dose-dependent, are Grade 1 to 2 severity, are manageable with standardized precautions detailed in each study protocol, are resolved either spontaneously or with standard medication by the next day following the infusion, and the patients do not appear to sustain sequelae. The IARs generally do not cause treatment discontinuation, and do not tend to recur at subsequent administrations of isatuximab. </w:t>
      </w:r>
    </w:p>
    <w:p w14:paraId="7345B36F" w14:textId="77777777" w:rsidR="000B3C5C" w:rsidRDefault="00ED192D">
      <w:pPr>
        <w:ind w:left="-3" w:right="14"/>
      </w:pPr>
      <w:r>
        <w:t xml:space="preserve">In addition to the occurrence of IARs, cytokine release syndrome, influenza-like illness, and fever have also been observed in patients treated with isatuximab; these reactions may involve immunogenicity mechanisms (human antihuman antigen) and hypersensitivity reactions, and are well-known to occur in association with other therapeutic mAb proteins. These adverse reactions, whether acute or delayed, may be serious and systemic (eg, anaphylactic reaction). </w:t>
      </w:r>
    </w:p>
    <w:p w14:paraId="5401AEB2" w14:textId="77777777" w:rsidR="000B3C5C" w:rsidRDefault="00ED192D">
      <w:pPr>
        <w:spacing w:after="330"/>
        <w:ind w:left="-3" w:right="14"/>
      </w:pPr>
      <w:r>
        <w:t xml:space="preserve">Please refer to the current version of the isatuximab Investigator’s Brochure. </w:t>
      </w:r>
    </w:p>
    <w:p w14:paraId="5F97C8CA" w14:textId="77777777" w:rsidR="000B3C5C" w:rsidRDefault="00ED192D">
      <w:pPr>
        <w:pStyle w:val="Heading5"/>
        <w:ind w:left="-5"/>
      </w:pPr>
      <w:r>
        <w:t xml:space="preserve">2.3.2.2  Atezolizumab  </w:t>
      </w:r>
    </w:p>
    <w:p w14:paraId="5CFEDD53" w14:textId="77777777" w:rsidR="000B3C5C" w:rsidRDefault="00ED192D">
      <w:pPr>
        <w:ind w:left="-3" w:right="14"/>
      </w:pPr>
      <w:r>
        <w:t>Atezolizumab has been investigated as monotherapy or in combination with other therapeutic regimens in multiple indications including HCC, SCCHN, EOC, and GBM. The safety profile of atezolizumab as a monotherapy has been best characterized in its approved indications including locally advanced or metastatic UC and metastatic NSCLC. The most common adverse reactions (≥20%) in these patients include fatigue, decreased appetite, nausea, and constipation, urinary tract infection (UC), diarrhea (UC), pyrexia (UC</w:t>
      </w:r>
      <w:r>
        <w:t xml:space="preserve">), dyspnea (NSCLC), cough (NSCLC), and musculoskeletal pain (NSCLC). Other important identified risks of atezolizumab consist of infusion-related reactions, and immune-related AEs (irAEs). Specifically, irAEs that were identified as risks for atezolizumab include immune-related pneumonitis, immune-related hepatitis, immune-related colitis, immune-related endocrinopathies, immune-related meningoencephalitis. Immune-related AEs are primarily manageable either by steroid treatments or withholding atezolizumab </w:t>
      </w:r>
      <w:r>
        <w:t xml:space="preserve">treatment. Recently, a new risk of SCARs has been identified, this risk is rare, potentially fatal, and mainly constituted by erythema multiforme, acute generalized exanthematous pustulosis, Stevens-Johnson syndrome (SJS), Toxic Epidermal Necrolysis (TEN), and drug rash with eosinophilia and systemic symptoms (DRESS). </w:t>
      </w:r>
    </w:p>
    <w:p w14:paraId="387DA13B" w14:textId="77777777" w:rsidR="000B3C5C" w:rsidRDefault="00ED192D">
      <w:pPr>
        <w:spacing w:after="330"/>
        <w:ind w:left="-3" w:right="14"/>
      </w:pPr>
      <w:r>
        <w:t xml:space="preserve">Refer to the latest version of atezolizumab Investigator’s Brochure for most updated details. </w:t>
      </w:r>
    </w:p>
    <w:p w14:paraId="469F1360" w14:textId="77777777" w:rsidR="000B3C5C" w:rsidRDefault="00ED192D">
      <w:pPr>
        <w:pStyle w:val="Heading4"/>
        <w:ind w:left="-5"/>
      </w:pPr>
      <w:r>
        <w:t xml:space="preserve">2.3.3 Potential risk related to the combination  </w:t>
      </w:r>
    </w:p>
    <w:p w14:paraId="5FB71387" w14:textId="77777777" w:rsidR="000B3C5C" w:rsidRDefault="00ED192D">
      <w:pPr>
        <w:ind w:left="-3" w:right="14"/>
      </w:pPr>
      <w:r>
        <w:t xml:space="preserve">Based on the available clinical data from each individual drug, the potentially overlapping adverse drug reactions (ADRs) anticipated with the isatuximab and atezolizumab combination consist mainly of  IAR, pyrexia, and pneumonia, which are all manageable. </w:t>
      </w:r>
    </w:p>
    <w:p w14:paraId="0D751117" w14:textId="77777777" w:rsidR="000B3C5C" w:rsidRDefault="00ED192D">
      <w:pPr>
        <w:ind w:left="-3" w:right="14"/>
      </w:pPr>
      <w:r>
        <w:t xml:space="preserve">The irAEs specific to atezolizumab have not been identified as potential risks of isatuximab. The participants in the current study will be monitored according to the atezolizumab Investigator’s Brochure, with additional preventative measures as described in detail below. </w:t>
      </w:r>
    </w:p>
    <w:p w14:paraId="5F1D5A2C" w14:textId="77777777" w:rsidR="000B3C5C" w:rsidRDefault="00ED192D">
      <w:pPr>
        <w:pStyle w:val="Heading4"/>
        <w:ind w:left="-5"/>
      </w:pPr>
      <w:r>
        <w:t xml:space="preserve">2.3.4 Preventative measures to minimize the risk from the combination  </w:t>
      </w:r>
    </w:p>
    <w:p w14:paraId="04193A61" w14:textId="77777777" w:rsidR="000B3C5C" w:rsidRDefault="00ED192D">
      <w:pPr>
        <w:spacing w:after="0"/>
        <w:ind w:left="-3" w:right="14"/>
      </w:pPr>
      <w:r>
        <w:t xml:space="preserve">To minimize the risk of IARs, all the participants treated with isatuximab should routinely receive primary prophylactic treatment with diphenhydramine 25 to 50 mg IV (or equivalent), methylprednisolone 100 mg IV (or equivalent), ranitidine 50 mg IV, acetaminophen 650 to 1000 mg orally, and montelukast 10 mg orally, 30 to 60 minutes (and never longer than 60 minutes) prior to the isatuximab infusion to minimize the incidence and severity of IAR. To further mitigate the incidence and severity of IARs, it is </w:t>
      </w:r>
      <w:r>
        <w:t xml:space="preserve">recommended that the initial infusion rate of isatuximab should not exceed 175 mg of isatuximab per hour. In the absence of IARs after 1 hour of infusion, the infusion rate can be increased by 50 mg/hour increments every 30 minutes, to a maximum of 400 mg/hour. In the event of an IAR during study treatment infusion, action will be taken as per </w:t>
      </w:r>
      <w:r>
        <w:rPr>
          <w:color w:val="0000FF"/>
        </w:rPr>
        <w:t>Section</w:t>
      </w:r>
      <w:r>
        <w:t xml:space="preserve"> </w:t>
      </w:r>
      <w:r>
        <w:rPr>
          <w:color w:val="0000FF"/>
        </w:rPr>
        <w:t>10.21</w:t>
      </w:r>
      <w:r>
        <w:t>, Metamizole (dipyrone) is prohibited in treating atezolizumab associated infusion-associated reactions, due to its potential for causing agranulocytosis</w:t>
      </w:r>
      <w:r>
        <w:t xml:space="preserve">. </w:t>
      </w:r>
    </w:p>
    <w:p w14:paraId="56E16065" w14:textId="77777777" w:rsidR="000B3C5C" w:rsidRDefault="00ED192D">
      <w:pPr>
        <w:ind w:left="-3" w:right="14"/>
      </w:pPr>
      <w:r>
        <w:t xml:space="preserve">Guidelines for medical management of infusion-associated reactions are provided in </w:t>
      </w:r>
      <w:r>
        <w:rPr>
          <w:color w:val="0000FF"/>
        </w:rPr>
        <w:t>Table 23.</w:t>
      </w:r>
      <w:r>
        <w:t xml:space="preserve"> </w:t>
      </w:r>
    </w:p>
    <w:p w14:paraId="1F3BF5A2" w14:textId="77777777" w:rsidR="000B3C5C" w:rsidRDefault="00ED192D">
      <w:pPr>
        <w:spacing w:after="121" w:line="259" w:lineRule="auto"/>
        <w:ind w:left="-5"/>
      </w:pPr>
      <w:r>
        <w:rPr>
          <w:u w:val="single" w:color="000000"/>
        </w:rPr>
        <w:t>Criteria for optional premedication for IARs:</w:t>
      </w:r>
      <w:r>
        <w:t xml:space="preserve"> </w:t>
      </w:r>
    </w:p>
    <w:p w14:paraId="5A4B13C1" w14:textId="77777777" w:rsidR="000B3C5C" w:rsidRDefault="00ED192D">
      <w:pPr>
        <w:numPr>
          <w:ilvl w:val="0"/>
          <w:numId w:val="20"/>
        </w:numPr>
        <w:spacing w:after="135"/>
        <w:ind w:right="14" w:hanging="358"/>
      </w:pPr>
      <w:r>
        <w:t xml:space="preserve">For a patient who has no IAR for the first 4 infusions: Premedication for the subsequent infusions is optional at the Investigator’s discretion. However, if during the subsequent infusions without premedication the patient experiences an IAR (any grade), premedication must be restarted for all subsequent infusions. </w:t>
      </w:r>
    </w:p>
    <w:p w14:paraId="0D41AD08" w14:textId="77777777" w:rsidR="000B3C5C" w:rsidRDefault="00ED192D">
      <w:pPr>
        <w:numPr>
          <w:ilvl w:val="0"/>
          <w:numId w:val="20"/>
        </w:numPr>
        <w:spacing w:after="0" w:line="249" w:lineRule="auto"/>
        <w:ind w:right="14" w:hanging="358"/>
      </w:pPr>
      <w:r>
        <w:t xml:space="preserve">If a patient develops an IAR Grade ≤2 during their first infusion only and then experiences no further IARs during their next 3 infusions: The Investigator should discuss with the </w:t>
      </w:r>
    </w:p>
    <w:p w14:paraId="2B97BE2F" w14:textId="77777777" w:rsidR="000B3C5C" w:rsidRDefault="00ED192D">
      <w:pPr>
        <w:ind w:left="730" w:right="14"/>
      </w:pPr>
      <w:r>
        <w:t xml:space="preserve">Sponsor Medical Monitor when considering omitting premedication for the next infusion. If no IAR is observed for the next infusion without premedication, premedication is optional for the subsequent infusions at the Investigator’s discretion. However, if during the next infusion without premedication the patient experiences an IAR (any grade), premedication must be restarted for all subsequent infusions. </w:t>
      </w:r>
    </w:p>
    <w:p w14:paraId="7767E657" w14:textId="77777777" w:rsidR="000B3C5C" w:rsidRDefault="00ED192D">
      <w:pPr>
        <w:spacing w:after="75"/>
        <w:ind w:left="-3" w:right="14"/>
      </w:pPr>
      <w:r>
        <w:t xml:space="preserve">To minimize the risk of potential immune-related TEAEs related to atezolizumab, the exclusion criteria in the current study include: </w:t>
      </w:r>
    </w:p>
    <w:p w14:paraId="67FC8C91" w14:textId="77777777" w:rsidR="000B3C5C" w:rsidRDefault="00ED192D">
      <w:pPr>
        <w:numPr>
          <w:ilvl w:val="0"/>
          <w:numId w:val="20"/>
        </w:numPr>
        <w:spacing w:after="75"/>
        <w:ind w:right="14" w:hanging="358"/>
      </w:pPr>
      <w:r>
        <w:t xml:space="preserve">Treatment-related immune-mediated (or immune-related) AEs from immune-modulatory agents (including but not limited to anti-CTLA-4 mAbs) that caused permanent discontinuation of the agent, or that were Grade 3 or 4 in severity, or that have not resolved to baseline at least 3 months prior to initiation of IMP. </w:t>
      </w:r>
    </w:p>
    <w:p w14:paraId="5EA98558" w14:textId="77777777" w:rsidR="000B3C5C" w:rsidRDefault="00ED192D">
      <w:pPr>
        <w:numPr>
          <w:ilvl w:val="0"/>
          <w:numId w:val="20"/>
        </w:numPr>
        <w:spacing w:after="75"/>
        <w:ind w:right="14" w:hanging="358"/>
      </w:pPr>
      <w:r>
        <w:t xml:space="preserve">Comorbidity requiring systemic corticosteroid therapy (&gt;10 mg prednisone/day or equivalent for patients with HCC, SCCHN, and EOC). Physiologic replacement doses are allowed even if they are &gt;10 mg of prednisone/day or equivalent, as long as they are not being administered for immunosuppressive intent. </w:t>
      </w:r>
    </w:p>
    <w:p w14:paraId="286D65AD" w14:textId="77777777" w:rsidR="000B3C5C" w:rsidRDefault="00ED192D">
      <w:pPr>
        <w:numPr>
          <w:ilvl w:val="0"/>
          <w:numId w:val="20"/>
        </w:numPr>
        <w:spacing w:after="28"/>
        <w:ind w:right="14" w:hanging="358"/>
      </w:pPr>
      <w:r>
        <w:t xml:space="preserve">Active, known, or suspected autoimmune disease.  </w:t>
      </w:r>
    </w:p>
    <w:p w14:paraId="07E2561F" w14:textId="77777777" w:rsidR="000B3C5C" w:rsidRDefault="00ED192D">
      <w:pPr>
        <w:numPr>
          <w:ilvl w:val="0"/>
          <w:numId w:val="20"/>
        </w:numPr>
        <w:spacing w:after="75"/>
        <w:ind w:right="14" w:hanging="358"/>
      </w:pPr>
      <w:r>
        <w:t xml:space="preserve">History of or current interstitial lung disease or pneumonitis (radiation pneumonitis in the radiation field is permitted); history of thoracic radiation received thoracic radiation therapy of &gt;30 Gy within 6 months of the first dose of trial treatment. </w:t>
      </w:r>
    </w:p>
    <w:p w14:paraId="110EA68D" w14:textId="77777777" w:rsidR="000B3C5C" w:rsidRDefault="00ED192D">
      <w:pPr>
        <w:numPr>
          <w:ilvl w:val="0"/>
          <w:numId w:val="20"/>
        </w:numPr>
        <w:ind w:right="14" w:hanging="358"/>
      </w:pPr>
      <w:r>
        <w:t xml:space="preserve">History of moderate immune-mediated ADRs (eg, colitis, hepatitis, etc). </w:t>
      </w:r>
    </w:p>
    <w:p w14:paraId="7A18270B" w14:textId="77777777" w:rsidR="000B3C5C" w:rsidRDefault="00ED192D">
      <w:pPr>
        <w:ind w:left="-3" w:right="14"/>
      </w:pPr>
      <w:r>
        <w:t xml:space="preserve">Additionally, careful monitoring of AEs and laboratory abnormalities, continuous direct communication between the Investigators and the monitoring team, and the adherence to the dose modification rules specified in the study protocol, are the continuous measures that will minimize the risks in study participants. </w:t>
      </w:r>
    </w:p>
    <w:p w14:paraId="0B9EB734" w14:textId="77777777" w:rsidR="000B3C5C" w:rsidRDefault="00ED192D">
      <w:pPr>
        <w:spacing w:after="333"/>
        <w:ind w:left="-3" w:right="14"/>
      </w:pPr>
      <w:r>
        <w:t xml:space="preserve">General guidelines for the management of irAEs, including some specific irAEs such as pneumonitis, hepatitis, colitis, myocarditis, meningoencephalitis, pancreatic AEs, endocrine AEs, ocular AEs, dermatologic AEs, neurologic AEs, are provided in Appendix 21: </w:t>
      </w:r>
      <w:r>
        <w:rPr>
          <w:color w:val="0000FF"/>
        </w:rPr>
        <w:t>Section</w:t>
      </w:r>
      <w:r>
        <w:t xml:space="preserve"> </w:t>
      </w:r>
      <w:r>
        <w:rPr>
          <w:color w:val="0000FF"/>
        </w:rPr>
        <w:t>10.21</w:t>
      </w:r>
      <w:r>
        <w:t xml:space="preserve">).  </w:t>
      </w:r>
    </w:p>
    <w:p w14:paraId="62E6F013" w14:textId="77777777" w:rsidR="000B3C5C" w:rsidRDefault="00ED192D">
      <w:pPr>
        <w:pStyle w:val="Heading4"/>
        <w:ind w:left="-5"/>
      </w:pPr>
      <w:r>
        <w:t xml:space="preserve">2.3.5 Conclusion  </w:t>
      </w:r>
    </w:p>
    <w:p w14:paraId="5094ECDB" w14:textId="77777777" w:rsidR="000B3C5C" w:rsidRDefault="00ED192D">
      <w:pPr>
        <w:ind w:left="-3" w:right="14"/>
      </w:pPr>
      <w:r>
        <w:t xml:space="preserve">Overall, the anticipated benefit/risk ratio of isatuximab in combination with atezolizumab supports the conduct of study ACT15377 in patients with advanced HCC, SCCHN, EOC, and GBM. </w:t>
      </w:r>
    </w:p>
    <w:p w14:paraId="7C4F733C" w14:textId="77777777" w:rsidR="000B3C5C" w:rsidRDefault="00ED192D">
      <w:pPr>
        <w:ind w:left="-3" w:right="126"/>
      </w:pPr>
      <w:r>
        <w:t xml:space="preserve">More detailed information about the known and expected benefits and risks and reasonably expected adverse events of ACT15377 may be found in the Investigator’s Brochure  SAR650984 – Isatuximab and Investigator’s Brochure-atezolizumab. </w:t>
      </w:r>
      <w:r>
        <w:br w:type="page"/>
      </w:r>
    </w:p>
    <w:p w14:paraId="0F04B14C" w14:textId="77777777" w:rsidR="000B3C5C" w:rsidRDefault="00ED192D">
      <w:pPr>
        <w:pStyle w:val="Heading1"/>
        <w:tabs>
          <w:tab w:val="center" w:pos="2765"/>
        </w:tabs>
        <w:spacing w:after="260"/>
        <w:ind w:left="-13" w:firstLine="0"/>
      </w:pPr>
      <w:r>
        <w:t xml:space="preserve">3 </w:t>
      </w:r>
      <w:r>
        <w:tab/>
        <w:t xml:space="preserve">OBJECTIVES AND ENDPOINTS  </w:t>
      </w:r>
    </w:p>
    <w:p w14:paraId="421264AF" w14:textId="77777777" w:rsidR="000B3C5C" w:rsidRDefault="00ED192D">
      <w:pPr>
        <w:spacing w:after="68" w:line="250" w:lineRule="auto"/>
        <w:ind w:left="15" w:right="3"/>
        <w:jc w:val="center"/>
      </w:pPr>
      <w:r>
        <w:rPr>
          <w:rFonts w:ascii="Arial" w:eastAsia="Arial" w:hAnsi="Arial" w:cs="Arial"/>
          <w:b/>
          <w:sz w:val="20"/>
        </w:rPr>
        <w:t xml:space="preserve">Table 1 - </w:t>
      </w:r>
      <w:r>
        <w:rPr>
          <w:rFonts w:ascii="Arial" w:eastAsia="Arial" w:hAnsi="Arial" w:cs="Arial"/>
          <w:b/>
          <w:sz w:val="20"/>
        </w:rPr>
        <w:t xml:space="preserve">Objectives and endpoints  </w:t>
      </w:r>
    </w:p>
    <w:p w14:paraId="56AD70A1" w14:textId="77777777" w:rsidR="000B3C5C" w:rsidRDefault="00ED192D">
      <w:pPr>
        <w:pStyle w:val="Heading2"/>
        <w:spacing w:after="3" w:line="259" w:lineRule="auto"/>
        <w:ind w:left="-105"/>
      </w:pPr>
      <w:r>
        <w:rPr>
          <w:rFonts w:ascii="Calibri" w:eastAsia="Calibri" w:hAnsi="Calibri" w:cs="Calibri"/>
          <w:noProof/>
          <w:sz w:val="22"/>
        </w:rPr>
        <mc:AlternateContent>
          <mc:Choice Requires="wpg">
            <w:drawing>
              <wp:inline distT="0" distB="0" distL="0" distR="0" wp14:anchorId="222BFF68" wp14:editId="0CF20FC7">
                <wp:extent cx="6159703" cy="234696"/>
                <wp:effectExtent l="0" t="0" r="0" b="0"/>
                <wp:docPr id="257150" name="Group 257150"/>
                <wp:cNvGraphicFramePr/>
                <a:graphic xmlns:a="http://schemas.openxmlformats.org/drawingml/2006/main">
                  <a:graphicData uri="http://schemas.microsoft.com/office/word/2010/wordprocessingGroup">
                    <wpg:wgp>
                      <wpg:cNvGrpSpPr/>
                      <wpg:grpSpPr>
                        <a:xfrm>
                          <a:off x="0" y="0"/>
                          <a:ext cx="6159703" cy="234696"/>
                          <a:chOff x="0" y="0"/>
                          <a:chExt cx="6159703" cy="234696"/>
                        </a:xfrm>
                      </wpg:grpSpPr>
                      <wps:wsp>
                        <wps:cNvPr id="13343" name="Rectangle 13343"/>
                        <wps:cNvSpPr/>
                        <wps:spPr>
                          <a:xfrm>
                            <a:off x="3153740" y="70978"/>
                            <a:ext cx="824180" cy="158130"/>
                          </a:xfrm>
                          <a:prstGeom prst="rect">
                            <a:avLst/>
                          </a:prstGeom>
                          <a:ln>
                            <a:noFill/>
                          </a:ln>
                        </wps:spPr>
                        <wps:txbx>
                          <w:txbxContent>
                            <w:p w14:paraId="747D002A" w14:textId="77777777" w:rsidR="000B3C5C" w:rsidRDefault="00ED192D">
                              <w:pPr>
                                <w:spacing w:after="160" w:line="259" w:lineRule="auto"/>
                                <w:ind w:left="0" w:firstLine="0"/>
                              </w:pPr>
                              <w:r>
                                <w:rPr>
                                  <w:rFonts w:ascii="Arial" w:eastAsia="Arial" w:hAnsi="Arial" w:cs="Arial"/>
                                  <w:b/>
                                  <w:sz w:val="20"/>
                                </w:rPr>
                                <w:t>Endpoints</w:t>
                              </w:r>
                            </w:p>
                          </w:txbxContent>
                        </wps:txbx>
                        <wps:bodyPr horzOverflow="overflow" vert="horz" lIns="0" tIns="0" rIns="0" bIns="0" rtlCol="0">
                          <a:noAutofit/>
                        </wps:bodyPr>
                      </wps:wsp>
                      <wps:wsp>
                        <wps:cNvPr id="13344" name="Rectangle 13344"/>
                        <wps:cNvSpPr/>
                        <wps:spPr>
                          <a:xfrm>
                            <a:off x="3774009" y="70978"/>
                            <a:ext cx="46769" cy="158130"/>
                          </a:xfrm>
                          <a:prstGeom prst="rect">
                            <a:avLst/>
                          </a:prstGeom>
                          <a:ln>
                            <a:noFill/>
                          </a:ln>
                        </wps:spPr>
                        <wps:txbx>
                          <w:txbxContent>
                            <w:p w14:paraId="0D4B00E9"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315718" name="Shape 315718"/>
                        <wps:cNvSpPr/>
                        <wps:spPr>
                          <a:xfrm>
                            <a:off x="0" y="0"/>
                            <a:ext cx="3080639" cy="9144"/>
                          </a:xfrm>
                          <a:custGeom>
                            <a:avLst/>
                            <a:gdLst/>
                            <a:ahLst/>
                            <a:cxnLst/>
                            <a:rect l="0" t="0" r="0" b="0"/>
                            <a:pathLst>
                              <a:path w="3080639" h="9144">
                                <a:moveTo>
                                  <a:pt x="0" y="0"/>
                                </a:moveTo>
                                <a:lnTo>
                                  <a:pt x="3080639" y="0"/>
                                </a:lnTo>
                                <a:lnTo>
                                  <a:pt x="30806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19" name="Shape 315719"/>
                        <wps:cNvSpPr/>
                        <wps:spPr>
                          <a:xfrm>
                            <a:off x="30805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20" name="Shape 315720"/>
                        <wps:cNvSpPr/>
                        <wps:spPr>
                          <a:xfrm>
                            <a:off x="3086684" y="0"/>
                            <a:ext cx="3073019" cy="9144"/>
                          </a:xfrm>
                          <a:custGeom>
                            <a:avLst/>
                            <a:gdLst/>
                            <a:ahLst/>
                            <a:cxnLst/>
                            <a:rect l="0" t="0" r="0" b="0"/>
                            <a:pathLst>
                              <a:path w="3073019" h="9144">
                                <a:moveTo>
                                  <a:pt x="0" y="0"/>
                                </a:moveTo>
                                <a:lnTo>
                                  <a:pt x="3073019" y="0"/>
                                </a:lnTo>
                                <a:lnTo>
                                  <a:pt x="3073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21" name="Shape 315721"/>
                        <wps:cNvSpPr/>
                        <wps:spPr>
                          <a:xfrm>
                            <a:off x="0" y="228600"/>
                            <a:ext cx="3080639" cy="9144"/>
                          </a:xfrm>
                          <a:custGeom>
                            <a:avLst/>
                            <a:gdLst/>
                            <a:ahLst/>
                            <a:cxnLst/>
                            <a:rect l="0" t="0" r="0" b="0"/>
                            <a:pathLst>
                              <a:path w="3080639" h="9144">
                                <a:moveTo>
                                  <a:pt x="0" y="0"/>
                                </a:moveTo>
                                <a:lnTo>
                                  <a:pt x="3080639" y="0"/>
                                </a:lnTo>
                                <a:lnTo>
                                  <a:pt x="30806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22" name="Shape 315722"/>
                        <wps:cNvSpPr/>
                        <wps:spPr>
                          <a:xfrm>
                            <a:off x="3080588" y="2286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23" name="Shape 315723"/>
                        <wps:cNvSpPr/>
                        <wps:spPr>
                          <a:xfrm>
                            <a:off x="3086684" y="228600"/>
                            <a:ext cx="3073019" cy="9144"/>
                          </a:xfrm>
                          <a:custGeom>
                            <a:avLst/>
                            <a:gdLst/>
                            <a:ahLst/>
                            <a:cxnLst/>
                            <a:rect l="0" t="0" r="0" b="0"/>
                            <a:pathLst>
                              <a:path w="3073019" h="9144">
                                <a:moveTo>
                                  <a:pt x="0" y="0"/>
                                </a:moveTo>
                                <a:lnTo>
                                  <a:pt x="3073019" y="0"/>
                                </a:lnTo>
                                <a:lnTo>
                                  <a:pt x="3073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7150" style="width:485.016pt;height:18.48pt;mso-position-horizontal-relative:char;mso-position-vertical-relative:line" coordsize="61597,2346">
                <v:rect id="Rectangle 13343" style="position:absolute;width:8241;height:1581;left:31537;top:709;" filled="f" stroked="f">
                  <v:textbox inset="0,0,0,0">
                    <w:txbxContent>
                      <w:p>
                        <w:pPr>
                          <w:spacing w:before="0" w:after="160" w:line="259" w:lineRule="auto"/>
                          <w:ind w:left="0" w:firstLine="0"/>
                        </w:pPr>
                        <w:r>
                          <w:rPr>
                            <w:rFonts w:cs="Arial" w:hAnsi="Arial" w:eastAsia="Arial" w:ascii="Arial"/>
                            <w:b w:val="1"/>
                            <w:sz w:val="20"/>
                          </w:rPr>
                          <w:t xml:space="preserve">Endpoints</w:t>
                        </w:r>
                      </w:p>
                    </w:txbxContent>
                  </v:textbox>
                </v:rect>
                <v:rect id="Rectangle 13344" style="position:absolute;width:467;height:1581;left:37740;top:709;"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shape id="Shape 315724" style="position:absolute;width:30806;height:91;left:0;top:0;" coordsize="3080639,9144" path="m0,0l3080639,0l3080639,9144l0,9144l0,0">
                  <v:stroke weight="0pt" endcap="flat" joinstyle="miter" miterlimit="10" on="false" color="#000000" opacity="0"/>
                  <v:fill on="true" color="#000000"/>
                </v:shape>
                <v:shape id="Shape 315725" style="position:absolute;width:91;height:91;left:30805;top:0;" coordsize="9144,9144" path="m0,0l9144,0l9144,9144l0,9144l0,0">
                  <v:stroke weight="0pt" endcap="flat" joinstyle="miter" miterlimit="10" on="false" color="#000000" opacity="0"/>
                  <v:fill on="true" color="#000000"/>
                </v:shape>
                <v:shape id="Shape 315726" style="position:absolute;width:30730;height:91;left:30866;top:0;" coordsize="3073019,9144" path="m0,0l3073019,0l3073019,9144l0,9144l0,0">
                  <v:stroke weight="0pt" endcap="flat" joinstyle="miter" miterlimit="10" on="false" color="#000000" opacity="0"/>
                  <v:fill on="true" color="#000000"/>
                </v:shape>
                <v:shape id="Shape 315727" style="position:absolute;width:30806;height:91;left:0;top:2286;" coordsize="3080639,9144" path="m0,0l3080639,0l3080639,9144l0,9144l0,0">
                  <v:stroke weight="0pt" endcap="flat" joinstyle="miter" miterlimit="10" on="false" color="#000000" opacity="0"/>
                  <v:fill on="true" color="#000000"/>
                </v:shape>
                <v:shape id="Shape 315728" style="position:absolute;width:91;height:91;left:30805;top:2286;" coordsize="9144,9144" path="m0,0l9144,0l9144,9144l0,9144l0,0">
                  <v:stroke weight="0pt" endcap="flat" joinstyle="miter" miterlimit="10" on="false" color="#000000" opacity="0"/>
                  <v:fill on="true" color="#000000"/>
                </v:shape>
                <v:shape id="Shape 315729" style="position:absolute;width:30730;height:91;left:30866;top:2286;" coordsize="3073019,9144" path="m0,0l3073019,0l3073019,9144l0,9144l0,0">
                  <v:stroke weight="0pt" endcap="flat" joinstyle="miter" miterlimit="10" on="false" color="#000000" opacity="0"/>
                  <v:fill on="true" color="#000000"/>
                </v:shape>
              </v:group>
            </w:pict>
          </mc:Fallback>
        </mc:AlternateContent>
      </w:r>
      <w:r>
        <w:rPr>
          <w:rFonts w:ascii="Arial" w:eastAsia="Arial" w:hAnsi="Arial" w:cs="Arial"/>
          <w:sz w:val="20"/>
        </w:rPr>
        <w:t xml:space="preserve">Objectives Primary </w:t>
      </w:r>
    </w:p>
    <w:tbl>
      <w:tblPr>
        <w:tblStyle w:val="TableGrid"/>
        <w:tblW w:w="9139" w:type="dxa"/>
        <w:tblInd w:w="362" w:type="dxa"/>
        <w:tblCellMar>
          <w:top w:w="0" w:type="dxa"/>
          <w:left w:w="0" w:type="dxa"/>
          <w:bottom w:w="0" w:type="dxa"/>
          <w:right w:w="0" w:type="dxa"/>
        </w:tblCellMar>
        <w:tblLook w:val="04A0" w:firstRow="1" w:lastRow="0" w:firstColumn="1" w:lastColumn="0" w:noHBand="0" w:noVBand="1"/>
      </w:tblPr>
      <w:tblGrid>
        <w:gridCol w:w="324"/>
        <w:gridCol w:w="330"/>
        <w:gridCol w:w="3903"/>
        <w:gridCol w:w="109"/>
        <w:gridCol w:w="572"/>
        <w:gridCol w:w="3718"/>
        <w:gridCol w:w="183"/>
      </w:tblGrid>
      <w:tr w:rsidR="000B3C5C" w14:paraId="50E9D5B2" w14:textId="77777777">
        <w:trPr>
          <w:gridBefore w:val="1"/>
          <w:gridAfter w:val="1"/>
          <w:wBefore w:w="362" w:type="dxa"/>
          <w:wAfter w:w="200" w:type="dxa"/>
          <w:trHeight w:val="2025"/>
        </w:trPr>
        <w:tc>
          <w:tcPr>
            <w:tcW w:w="358" w:type="dxa"/>
            <w:tcBorders>
              <w:top w:val="nil"/>
              <w:left w:val="nil"/>
              <w:bottom w:val="nil"/>
              <w:right w:val="nil"/>
            </w:tcBorders>
          </w:tcPr>
          <w:p w14:paraId="56C6AF46" w14:textId="77777777" w:rsidR="000B3C5C" w:rsidRDefault="00ED192D">
            <w:pPr>
              <w:spacing w:after="0" w:line="259" w:lineRule="auto"/>
              <w:ind w:left="0" w:firstLine="0"/>
            </w:pPr>
            <w:r>
              <w:rPr>
                <w:rFonts w:ascii="Segoe UI Symbol" w:eastAsia="Segoe UI Symbol" w:hAnsi="Segoe UI Symbol" w:cs="Segoe UI Symbol"/>
                <w:sz w:val="20"/>
              </w:rPr>
              <w:t>•</w:t>
            </w:r>
            <w:r>
              <w:rPr>
                <w:rFonts w:ascii="Arial" w:eastAsia="Arial" w:hAnsi="Arial" w:cs="Arial"/>
                <w:sz w:val="20"/>
              </w:rPr>
              <w:t xml:space="preserve"> </w:t>
            </w:r>
          </w:p>
        </w:tc>
        <w:tc>
          <w:tcPr>
            <w:tcW w:w="4131" w:type="dxa"/>
            <w:tcBorders>
              <w:top w:val="nil"/>
              <w:left w:val="nil"/>
              <w:bottom w:val="nil"/>
              <w:right w:val="nil"/>
            </w:tcBorders>
          </w:tcPr>
          <w:p w14:paraId="1F3EE1A7" w14:textId="77777777" w:rsidR="000B3C5C" w:rsidRDefault="00ED192D">
            <w:pPr>
              <w:spacing w:after="1" w:line="241" w:lineRule="auto"/>
              <w:ind w:left="0" w:right="106" w:firstLine="0"/>
            </w:pPr>
            <w:r>
              <w:rPr>
                <w:rFonts w:ascii="Arial" w:eastAsia="Arial" w:hAnsi="Arial" w:cs="Arial"/>
                <w:sz w:val="20"/>
              </w:rPr>
              <w:t xml:space="preserve">Phase 1: To characterize the safety and tolerability of isatuximab in combination with atezolizumab in participants with unresectable hepatocellular carcinoma (HCC), platinum-refractory </w:t>
            </w:r>
          </w:p>
          <w:p w14:paraId="4A63999C" w14:textId="77777777" w:rsidR="000B3C5C" w:rsidRDefault="00ED192D">
            <w:pPr>
              <w:spacing w:after="2" w:line="239" w:lineRule="auto"/>
              <w:ind w:left="0" w:firstLine="0"/>
            </w:pPr>
            <w:r>
              <w:rPr>
                <w:rFonts w:ascii="Arial" w:eastAsia="Arial" w:hAnsi="Arial" w:cs="Arial"/>
                <w:sz w:val="20"/>
              </w:rPr>
              <w:t>recurrent/metastatic squamous cell carcinoma of the head and neck (SCCHN), platinum-</w:t>
            </w:r>
          </w:p>
          <w:p w14:paraId="6A08DC9F" w14:textId="77777777" w:rsidR="000B3C5C" w:rsidRDefault="00ED192D">
            <w:pPr>
              <w:spacing w:after="0" w:line="259" w:lineRule="auto"/>
              <w:ind w:left="0" w:right="216" w:firstLine="0"/>
            </w:pPr>
            <w:r>
              <w:rPr>
                <w:rFonts w:ascii="Arial" w:eastAsia="Arial" w:hAnsi="Arial" w:cs="Arial"/>
                <w:sz w:val="20"/>
              </w:rPr>
              <w:t>resistant/refractory epithelial ovarian cancer (EOC), or recurrent glioblastoma multiforme (GBM), and to determine the recommended Phase 2 dose (RP2D).</w:t>
            </w:r>
            <w:r>
              <w:rPr>
                <w:sz w:val="20"/>
              </w:rPr>
              <w:t xml:space="preserve"> </w:t>
            </w:r>
          </w:p>
        </w:tc>
        <w:tc>
          <w:tcPr>
            <w:tcW w:w="720" w:type="dxa"/>
            <w:gridSpan w:val="2"/>
            <w:tcBorders>
              <w:top w:val="nil"/>
              <w:left w:val="nil"/>
              <w:bottom w:val="nil"/>
              <w:right w:val="nil"/>
            </w:tcBorders>
          </w:tcPr>
          <w:p w14:paraId="7104AFA1" w14:textId="77777777" w:rsidR="000B3C5C" w:rsidRDefault="00ED192D">
            <w:pPr>
              <w:spacing w:after="252" w:line="259" w:lineRule="auto"/>
              <w:ind w:left="96" w:firstLine="0"/>
              <w:jc w:val="center"/>
            </w:pPr>
            <w:r>
              <w:rPr>
                <w:rFonts w:ascii="Segoe UI Symbol" w:eastAsia="Segoe UI Symbol" w:hAnsi="Segoe UI Symbol" w:cs="Segoe UI Symbol"/>
                <w:sz w:val="20"/>
              </w:rPr>
              <w:t>•</w:t>
            </w:r>
            <w:r>
              <w:rPr>
                <w:rFonts w:ascii="Arial" w:eastAsia="Arial" w:hAnsi="Arial" w:cs="Arial"/>
                <w:sz w:val="20"/>
              </w:rPr>
              <w:t xml:space="preserve"> </w:t>
            </w:r>
          </w:p>
          <w:p w14:paraId="5BD29498" w14:textId="77777777" w:rsidR="000B3C5C" w:rsidRDefault="00ED192D">
            <w:pPr>
              <w:spacing w:after="711" w:line="259" w:lineRule="auto"/>
              <w:ind w:left="96" w:firstLine="0"/>
              <w:jc w:val="center"/>
            </w:pPr>
            <w:r>
              <w:rPr>
                <w:rFonts w:ascii="Segoe UI Symbol" w:eastAsia="Segoe UI Symbol" w:hAnsi="Segoe UI Symbol" w:cs="Segoe UI Symbol"/>
                <w:sz w:val="20"/>
              </w:rPr>
              <w:t>•</w:t>
            </w:r>
            <w:r>
              <w:rPr>
                <w:rFonts w:ascii="Arial" w:eastAsia="Arial" w:hAnsi="Arial" w:cs="Arial"/>
                <w:sz w:val="20"/>
              </w:rPr>
              <w:t xml:space="preserve"> </w:t>
            </w:r>
          </w:p>
          <w:p w14:paraId="389B74A5" w14:textId="77777777" w:rsidR="000B3C5C" w:rsidRDefault="00ED192D">
            <w:pPr>
              <w:spacing w:after="0" w:line="259" w:lineRule="auto"/>
              <w:ind w:left="96"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3930" w:type="dxa"/>
            <w:tcBorders>
              <w:top w:val="nil"/>
              <w:left w:val="nil"/>
              <w:bottom w:val="nil"/>
              <w:right w:val="nil"/>
            </w:tcBorders>
          </w:tcPr>
          <w:p w14:paraId="3ED6A739" w14:textId="77777777" w:rsidR="000B3C5C" w:rsidRDefault="00ED192D">
            <w:pPr>
              <w:spacing w:after="72" w:line="241" w:lineRule="auto"/>
              <w:ind w:left="0" w:firstLine="0"/>
            </w:pPr>
            <w:r>
              <w:rPr>
                <w:rFonts w:ascii="Arial" w:eastAsia="Arial" w:hAnsi="Arial" w:cs="Arial"/>
                <w:sz w:val="20"/>
              </w:rPr>
              <w:t xml:space="preserve">DLTs (in Cycle 1), adverse events (AEs)/serious adverse events (SAEs), and laboratory abnormalities. </w:t>
            </w:r>
          </w:p>
          <w:p w14:paraId="4BDA01E9" w14:textId="77777777" w:rsidR="000B3C5C" w:rsidRDefault="00ED192D">
            <w:pPr>
              <w:spacing w:after="73" w:line="241" w:lineRule="auto"/>
              <w:ind w:left="0" w:firstLine="0"/>
            </w:pPr>
            <w:r>
              <w:rPr>
                <w:rFonts w:ascii="Arial" w:eastAsia="Arial" w:hAnsi="Arial" w:cs="Arial"/>
                <w:sz w:val="20"/>
              </w:rPr>
              <w:t xml:space="preserve">MTD defined as the highest dose level at which no more than 1 out of 6 participants (starting dose or DL-1) or 2 out of 12 participants (starting dose) experience an IMP related DLT. </w:t>
            </w:r>
          </w:p>
          <w:p w14:paraId="05881713" w14:textId="77777777" w:rsidR="000B3C5C" w:rsidRDefault="00ED192D">
            <w:pPr>
              <w:spacing w:after="0" w:line="259" w:lineRule="auto"/>
              <w:ind w:left="0" w:firstLine="0"/>
            </w:pPr>
            <w:r>
              <w:rPr>
                <w:rFonts w:ascii="Arial" w:eastAsia="Arial" w:hAnsi="Arial" w:cs="Arial"/>
                <w:sz w:val="20"/>
              </w:rPr>
              <w:t>RP2D defined as the dose selected for the Phase 2 portion.</w:t>
            </w:r>
            <w:r>
              <w:rPr>
                <w:sz w:val="20"/>
              </w:rPr>
              <w:t xml:space="preserve"> </w:t>
            </w:r>
          </w:p>
        </w:tc>
      </w:tr>
      <w:tr w:rsidR="000B3C5C" w14:paraId="5E1B98A4" w14:textId="77777777">
        <w:tblPrEx>
          <w:tblCellMar>
            <w:top w:w="107" w:type="dxa"/>
            <w:left w:w="115" w:type="dxa"/>
            <w:bottom w:w="6" w:type="dxa"/>
            <w:right w:w="115" w:type="dxa"/>
          </w:tblCellMar>
        </w:tblPrEx>
        <w:trPr>
          <w:trHeight w:val="1003"/>
        </w:trPr>
        <w:tc>
          <w:tcPr>
            <w:tcW w:w="4967" w:type="dxa"/>
            <w:gridSpan w:val="4"/>
            <w:tcBorders>
              <w:top w:val="single" w:sz="4" w:space="0" w:color="000000"/>
              <w:left w:val="nil"/>
              <w:bottom w:val="single" w:sz="4" w:space="0" w:color="000000"/>
              <w:right w:val="nil"/>
            </w:tcBorders>
          </w:tcPr>
          <w:p w14:paraId="35B7E46F" w14:textId="77777777" w:rsidR="000B3C5C" w:rsidRDefault="00ED192D">
            <w:pPr>
              <w:spacing w:after="0" w:line="259" w:lineRule="auto"/>
              <w:ind w:left="720"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Phase 2: To assess response rate (RR) of isatuximab in combination with atezolizumab in participants with HCC or SCCHN or EOC. </w:t>
            </w:r>
          </w:p>
        </w:tc>
        <w:tc>
          <w:tcPr>
            <w:tcW w:w="4734" w:type="dxa"/>
            <w:gridSpan w:val="3"/>
            <w:tcBorders>
              <w:top w:val="single" w:sz="4" w:space="0" w:color="000000"/>
              <w:left w:val="nil"/>
              <w:bottom w:val="single" w:sz="4" w:space="0" w:color="000000"/>
              <w:right w:val="nil"/>
            </w:tcBorders>
            <w:vAlign w:val="bottom"/>
          </w:tcPr>
          <w:p w14:paraId="6AC336D6" w14:textId="77777777" w:rsidR="000B3C5C" w:rsidRDefault="00ED192D">
            <w:pPr>
              <w:spacing w:after="0" w:line="259" w:lineRule="auto"/>
              <w:ind w:left="605"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RR defined as the proportion of patients with complete response and partial response as best overall response (assessed by Investigators using RECIST 1.1 see Appendix 11: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10.11</w:t>
            </w:r>
            <w:r>
              <w:rPr>
                <w:rFonts w:ascii="Arial" w:eastAsia="Arial" w:hAnsi="Arial" w:cs="Arial"/>
                <w:sz w:val="20"/>
              </w:rPr>
              <w:t>).</w:t>
            </w:r>
            <w:r>
              <w:rPr>
                <w:sz w:val="20"/>
              </w:rPr>
              <w:t xml:space="preserve"> </w:t>
            </w:r>
          </w:p>
        </w:tc>
      </w:tr>
      <w:tr w:rsidR="000B3C5C" w14:paraId="66744823" w14:textId="77777777">
        <w:tblPrEx>
          <w:tblCellMar>
            <w:top w:w="107" w:type="dxa"/>
            <w:left w:w="115" w:type="dxa"/>
            <w:bottom w:w="6" w:type="dxa"/>
            <w:right w:w="115" w:type="dxa"/>
          </w:tblCellMar>
        </w:tblPrEx>
        <w:trPr>
          <w:trHeight w:val="1001"/>
        </w:trPr>
        <w:tc>
          <w:tcPr>
            <w:tcW w:w="4967" w:type="dxa"/>
            <w:gridSpan w:val="4"/>
            <w:tcBorders>
              <w:top w:val="single" w:sz="4" w:space="0" w:color="000000"/>
              <w:left w:val="nil"/>
              <w:bottom w:val="single" w:sz="4" w:space="0" w:color="000000"/>
              <w:right w:val="nil"/>
            </w:tcBorders>
            <w:vAlign w:val="bottom"/>
          </w:tcPr>
          <w:p w14:paraId="63BBB0CE" w14:textId="77777777" w:rsidR="000B3C5C" w:rsidRDefault="00ED192D">
            <w:pPr>
              <w:spacing w:after="0" w:line="259" w:lineRule="auto"/>
              <w:ind w:left="720" w:right="91"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Phase 2: To assess the progression free survival rate at 6 months (PFS-</w:t>
            </w:r>
            <w:r>
              <w:rPr>
                <w:rFonts w:ascii="Arial" w:eastAsia="Arial" w:hAnsi="Arial" w:cs="Arial"/>
                <w:sz w:val="20"/>
              </w:rPr>
              <w:t xml:space="preserve">6) of isatuximab in combination with atezolizumab, or as a single agent in participants with GBM </w:t>
            </w:r>
          </w:p>
        </w:tc>
        <w:tc>
          <w:tcPr>
            <w:tcW w:w="4734" w:type="dxa"/>
            <w:gridSpan w:val="3"/>
            <w:tcBorders>
              <w:top w:val="single" w:sz="4" w:space="0" w:color="000000"/>
              <w:left w:val="nil"/>
              <w:bottom w:val="single" w:sz="4" w:space="0" w:color="000000"/>
              <w:right w:val="nil"/>
            </w:tcBorders>
          </w:tcPr>
          <w:p w14:paraId="327AB7E3" w14:textId="77777777" w:rsidR="000B3C5C" w:rsidRDefault="00ED192D">
            <w:pPr>
              <w:tabs>
                <w:tab w:val="center" w:pos="293"/>
                <w:tab w:val="center" w:pos="2173"/>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PFS-6 defined as the PFS rate at 6 months </w:t>
            </w:r>
          </w:p>
          <w:p w14:paraId="28ED4C45" w14:textId="77777777" w:rsidR="000B3C5C" w:rsidRDefault="00ED192D">
            <w:pPr>
              <w:spacing w:after="0" w:line="259" w:lineRule="auto"/>
              <w:ind w:left="0" w:right="133" w:firstLine="0"/>
              <w:jc w:val="center"/>
            </w:pPr>
            <w:r>
              <w:rPr>
                <w:rFonts w:ascii="Arial" w:eastAsia="Arial" w:hAnsi="Arial" w:cs="Arial"/>
                <w:sz w:val="20"/>
              </w:rPr>
              <w:t xml:space="preserve">(assessed by Investigators using Response </w:t>
            </w:r>
          </w:p>
          <w:p w14:paraId="3293AD83" w14:textId="77777777" w:rsidR="000B3C5C" w:rsidRDefault="00ED192D">
            <w:pPr>
              <w:spacing w:after="0" w:line="259" w:lineRule="auto"/>
              <w:ind w:left="605" w:firstLine="0"/>
            </w:pPr>
            <w:r>
              <w:rPr>
                <w:rFonts w:ascii="Arial" w:eastAsia="Arial" w:hAnsi="Arial" w:cs="Arial"/>
                <w:sz w:val="20"/>
              </w:rPr>
              <w:t xml:space="preserve">Assessment for Neuro-Oncology [RANO] criteria). </w:t>
            </w:r>
          </w:p>
        </w:tc>
      </w:tr>
      <w:tr w:rsidR="000B3C5C" w14:paraId="68FB85FC" w14:textId="77777777">
        <w:tblPrEx>
          <w:tblCellMar>
            <w:top w:w="107" w:type="dxa"/>
            <w:left w:w="115" w:type="dxa"/>
            <w:bottom w:w="6" w:type="dxa"/>
            <w:right w:w="115" w:type="dxa"/>
          </w:tblCellMar>
        </w:tblPrEx>
        <w:trPr>
          <w:trHeight w:val="1121"/>
        </w:trPr>
        <w:tc>
          <w:tcPr>
            <w:tcW w:w="4967" w:type="dxa"/>
            <w:gridSpan w:val="4"/>
            <w:tcBorders>
              <w:top w:val="single" w:sz="4" w:space="0" w:color="000000"/>
              <w:left w:val="nil"/>
              <w:bottom w:val="single" w:sz="4" w:space="0" w:color="000000"/>
              <w:right w:val="nil"/>
            </w:tcBorders>
            <w:vAlign w:val="bottom"/>
          </w:tcPr>
          <w:p w14:paraId="160066D8" w14:textId="77777777" w:rsidR="000B3C5C" w:rsidRDefault="00ED192D">
            <w:pPr>
              <w:spacing w:after="133" w:line="259" w:lineRule="auto"/>
              <w:ind w:left="0" w:firstLine="0"/>
            </w:pPr>
            <w:r>
              <w:rPr>
                <w:rFonts w:ascii="Arial" w:eastAsia="Arial" w:hAnsi="Arial" w:cs="Arial"/>
                <w:b/>
                <w:sz w:val="20"/>
              </w:rPr>
              <w:t xml:space="preserve">Secondary </w:t>
            </w:r>
          </w:p>
          <w:p w14:paraId="2876372D" w14:textId="77777777" w:rsidR="000B3C5C" w:rsidRDefault="00ED192D">
            <w:pPr>
              <w:spacing w:after="0" w:line="259" w:lineRule="auto"/>
              <w:ind w:left="720" w:right="17"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To evaluate the safety (in Phase 2) profile of isatuximab monotherapy (GBM only), or in combination with atezolizumab </w:t>
            </w:r>
          </w:p>
        </w:tc>
        <w:tc>
          <w:tcPr>
            <w:tcW w:w="4734" w:type="dxa"/>
            <w:gridSpan w:val="3"/>
            <w:tcBorders>
              <w:top w:val="single" w:sz="4" w:space="0" w:color="000000"/>
              <w:left w:val="nil"/>
              <w:bottom w:val="single" w:sz="4" w:space="0" w:color="000000"/>
              <w:right w:val="nil"/>
            </w:tcBorders>
            <w:vAlign w:val="bottom"/>
          </w:tcPr>
          <w:p w14:paraId="5A2F707E" w14:textId="77777777" w:rsidR="000B3C5C" w:rsidRDefault="00ED192D">
            <w:pPr>
              <w:spacing w:after="0" w:line="259" w:lineRule="auto"/>
              <w:ind w:left="605"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AEs/serious AEs and laboratory abnormalities (in Phase 2) </w:t>
            </w:r>
          </w:p>
        </w:tc>
      </w:tr>
      <w:tr w:rsidR="000B3C5C" w14:paraId="667E450A" w14:textId="77777777">
        <w:tblPrEx>
          <w:tblCellMar>
            <w:top w:w="107" w:type="dxa"/>
            <w:left w:w="115" w:type="dxa"/>
            <w:bottom w:w="6" w:type="dxa"/>
            <w:right w:w="115" w:type="dxa"/>
          </w:tblCellMar>
        </w:tblPrEx>
        <w:trPr>
          <w:trHeight w:val="773"/>
        </w:trPr>
        <w:tc>
          <w:tcPr>
            <w:tcW w:w="4967" w:type="dxa"/>
            <w:gridSpan w:val="4"/>
            <w:tcBorders>
              <w:top w:val="single" w:sz="4" w:space="0" w:color="000000"/>
              <w:left w:val="nil"/>
              <w:bottom w:val="single" w:sz="4" w:space="0" w:color="000000"/>
              <w:right w:val="nil"/>
            </w:tcBorders>
          </w:tcPr>
          <w:p w14:paraId="14500A30" w14:textId="77777777" w:rsidR="000B3C5C" w:rsidRDefault="00ED192D">
            <w:pPr>
              <w:spacing w:after="0" w:line="259" w:lineRule="auto"/>
              <w:ind w:left="720"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To evaluate the immunogenicity of isatuximab and atezolizumab </w:t>
            </w:r>
          </w:p>
        </w:tc>
        <w:tc>
          <w:tcPr>
            <w:tcW w:w="4734" w:type="dxa"/>
            <w:gridSpan w:val="3"/>
            <w:tcBorders>
              <w:top w:val="single" w:sz="4" w:space="0" w:color="000000"/>
              <w:left w:val="nil"/>
              <w:bottom w:val="single" w:sz="4" w:space="0" w:color="000000"/>
              <w:right w:val="nil"/>
            </w:tcBorders>
            <w:vAlign w:val="bottom"/>
          </w:tcPr>
          <w:p w14:paraId="5DA38DA8" w14:textId="77777777" w:rsidR="000B3C5C" w:rsidRDefault="00ED192D">
            <w:pPr>
              <w:spacing w:after="0" w:line="259" w:lineRule="auto"/>
              <w:ind w:left="605"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Incidence rate of anti-drug antibodies development (ADA: anti-isatuximab and anti-atezolizumab antibodies) </w:t>
            </w:r>
          </w:p>
        </w:tc>
      </w:tr>
      <w:tr w:rsidR="000B3C5C" w14:paraId="35D33938" w14:textId="77777777">
        <w:tblPrEx>
          <w:tblCellMar>
            <w:top w:w="107" w:type="dxa"/>
            <w:left w:w="115" w:type="dxa"/>
            <w:bottom w:w="6" w:type="dxa"/>
            <w:right w:w="115" w:type="dxa"/>
          </w:tblCellMar>
        </w:tblPrEx>
        <w:trPr>
          <w:trHeight w:val="1003"/>
        </w:trPr>
        <w:tc>
          <w:tcPr>
            <w:tcW w:w="4967" w:type="dxa"/>
            <w:gridSpan w:val="4"/>
            <w:tcBorders>
              <w:top w:val="single" w:sz="4" w:space="0" w:color="000000"/>
              <w:left w:val="nil"/>
              <w:bottom w:val="single" w:sz="4" w:space="0" w:color="000000"/>
              <w:right w:val="nil"/>
            </w:tcBorders>
          </w:tcPr>
          <w:p w14:paraId="152B76C3" w14:textId="77777777" w:rsidR="000B3C5C" w:rsidRDefault="00ED192D">
            <w:pPr>
              <w:spacing w:after="0" w:line="259" w:lineRule="auto"/>
              <w:ind w:left="720" w:right="101"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To characterize the pharmacokinetic (PK) profile of isatuximab single agent (GBM only) and atezolizumab in combination with isatuximab. </w:t>
            </w:r>
          </w:p>
        </w:tc>
        <w:tc>
          <w:tcPr>
            <w:tcW w:w="4734" w:type="dxa"/>
            <w:gridSpan w:val="3"/>
            <w:tcBorders>
              <w:top w:val="single" w:sz="4" w:space="0" w:color="000000"/>
              <w:left w:val="nil"/>
              <w:bottom w:val="single" w:sz="4" w:space="0" w:color="000000"/>
              <w:right w:val="nil"/>
            </w:tcBorders>
            <w:vAlign w:val="bottom"/>
          </w:tcPr>
          <w:p w14:paraId="3F77E06B" w14:textId="77777777" w:rsidR="000B3C5C" w:rsidRDefault="00ED192D">
            <w:pPr>
              <w:tabs>
                <w:tab w:val="center" w:pos="293"/>
                <w:tab w:val="center" w:pos="2330"/>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PK assessed from concentrations of isatuximab </w:t>
            </w:r>
          </w:p>
          <w:p w14:paraId="74E950F2" w14:textId="77777777" w:rsidR="000B3C5C" w:rsidRDefault="00ED192D">
            <w:pPr>
              <w:spacing w:after="0" w:line="259" w:lineRule="auto"/>
              <w:ind w:left="605" w:right="447" w:firstLine="0"/>
            </w:pPr>
            <w:r>
              <w:rPr>
                <w:rFonts w:ascii="Arial" w:eastAsia="Arial" w:hAnsi="Arial" w:cs="Arial"/>
                <w:sz w:val="20"/>
              </w:rPr>
              <w:t xml:space="preserve">(non-compartmental analysis and population PK approach) and atezolizumab (population PK approach). </w:t>
            </w:r>
          </w:p>
        </w:tc>
      </w:tr>
    </w:tbl>
    <w:p w14:paraId="0346E301" w14:textId="77777777" w:rsidR="000B3C5C" w:rsidRDefault="00ED192D">
      <w:pPr>
        <w:spacing w:after="4" w:line="250" w:lineRule="auto"/>
        <w:ind w:left="705"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To assess overall efficacy of isatuximab in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Best percent-</w:t>
      </w:r>
      <w:r>
        <w:rPr>
          <w:rFonts w:ascii="Arial" w:eastAsia="Arial" w:hAnsi="Arial" w:cs="Arial"/>
          <w:sz w:val="20"/>
        </w:rPr>
        <w:t xml:space="preserve">change from baseline in Tumor burden combination with atezolizumab, or single agent (GBM </w:t>
      </w:r>
      <w:r>
        <w:rPr>
          <w:rFonts w:ascii="Arial" w:eastAsia="Arial" w:hAnsi="Arial" w:cs="Arial"/>
          <w:sz w:val="20"/>
        </w:rPr>
        <w:tab/>
        <w:t>change, disease control rate (DCR)</w:t>
      </w:r>
      <w:r>
        <w:rPr>
          <w:rFonts w:ascii="Arial" w:eastAsia="Arial" w:hAnsi="Arial" w:cs="Arial"/>
          <w:color w:val="4F81BD"/>
          <w:sz w:val="20"/>
        </w:rPr>
        <w:t xml:space="preserve"> </w:t>
      </w:r>
      <w:r>
        <w:rPr>
          <w:rFonts w:ascii="Arial" w:eastAsia="Arial" w:hAnsi="Arial" w:cs="Arial"/>
          <w:sz w:val="20"/>
        </w:rPr>
        <w:t xml:space="preserve">defined as the </w:t>
      </w:r>
    </w:p>
    <w:p w14:paraId="517F3FAE" w14:textId="77777777" w:rsidR="000B3C5C" w:rsidRDefault="00ED192D">
      <w:pPr>
        <w:tabs>
          <w:tab w:val="center" w:pos="897"/>
          <w:tab w:val="right" w:pos="9465"/>
        </w:tabs>
        <w:spacing w:after="0" w:line="259" w:lineRule="auto"/>
        <w:ind w:left="0" w:firstLine="0"/>
      </w:pPr>
      <w:r>
        <w:rPr>
          <w:rFonts w:ascii="Calibri" w:eastAsia="Calibri" w:hAnsi="Calibri" w:cs="Calibri"/>
          <w:sz w:val="22"/>
        </w:rPr>
        <w:tab/>
      </w:r>
      <w:r>
        <w:rPr>
          <w:rFonts w:ascii="Arial" w:eastAsia="Arial" w:hAnsi="Arial" w:cs="Arial"/>
          <w:sz w:val="20"/>
        </w:rPr>
        <w:t xml:space="preserve">only) </w:t>
      </w:r>
      <w:r>
        <w:rPr>
          <w:rFonts w:ascii="Arial" w:eastAsia="Arial" w:hAnsi="Arial" w:cs="Arial"/>
          <w:sz w:val="20"/>
        </w:rPr>
        <w:tab/>
        <w:t xml:space="preserve">sum of the complete response, partial response and </w:t>
      </w:r>
    </w:p>
    <w:p w14:paraId="19BAD766" w14:textId="77777777" w:rsidR="000B3C5C" w:rsidRDefault="00ED192D">
      <w:pPr>
        <w:spacing w:after="0" w:line="259" w:lineRule="auto"/>
        <w:ind w:left="10" w:right="322"/>
        <w:jc w:val="right"/>
      </w:pPr>
      <w:r>
        <w:rPr>
          <w:rFonts w:ascii="Arial" w:eastAsia="Arial" w:hAnsi="Arial" w:cs="Arial"/>
          <w:sz w:val="20"/>
        </w:rPr>
        <w:t xml:space="preserve">stable disease rates, duration of response (DoR), </w:t>
      </w:r>
    </w:p>
    <w:p w14:paraId="2FE61EBA" w14:textId="77777777" w:rsidR="000B3C5C" w:rsidRDefault="00ED192D">
      <w:pPr>
        <w:spacing w:after="4" w:line="250" w:lineRule="auto"/>
        <w:ind w:left="5581"/>
      </w:pPr>
      <w:r>
        <w:rPr>
          <w:rFonts w:ascii="Arial" w:eastAsia="Arial" w:hAnsi="Arial" w:cs="Arial"/>
          <w:sz w:val="20"/>
        </w:rPr>
        <w:t xml:space="preserve">PFS (HCC, SCCHN, EOC per RECIST 1.1 and GBM per RANO), RR (GBM only, per RANO criteria) </w:t>
      </w:r>
    </w:p>
    <w:tbl>
      <w:tblPr>
        <w:tblStyle w:val="TableGrid"/>
        <w:tblW w:w="9715" w:type="dxa"/>
        <w:tblInd w:w="-130" w:type="dxa"/>
        <w:tblCellMar>
          <w:top w:w="107" w:type="dxa"/>
          <w:left w:w="130" w:type="dxa"/>
          <w:bottom w:w="6" w:type="dxa"/>
          <w:right w:w="108" w:type="dxa"/>
        </w:tblCellMar>
        <w:tblLook w:val="04A0" w:firstRow="1" w:lastRow="0" w:firstColumn="1" w:lastColumn="0" w:noHBand="0" w:noVBand="1"/>
      </w:tblPr>
      <w:tblGrid>
        <w:gridCol w:w="4981"/>
        <w:gridCol w:w="4734"/>
      </w:tblGrid>
      <w:tr w:rsidR="000B3C5C" w14:paraId="7AF3EC2D" w14:textId="77777777">
        <w:trPr>
          <w:trHeight w:val="1932"/>
        </w:trPr>
        <w:tc>
          <w:tcPr>
            <w:tcW w:w="4981" w:type="dxa"/>
            <w:tcBorders>
              <w:top w:val="single" w:sz="4" w:space="0" w:color="000000"/>
              <w:left w:val="nil"/>
              <w:bottom w:val="single" w:sz="4" w:space="0" w:color="000000"/>
              <w:right w:val="nil"/>
            </w:tcBorders>
          </w:tcPr>
          <w:p w14:paraId="2A3581AA" w14:textId="77777777" w:rsidR="000B3C5C" w:rsidRDefault="00ED192D">
            <w:pPr>
              <w:spacing w:after="133" w:line="259" w:lineRule="auto"/>
              <w:ind w:left="0" w:firstLine="0"/>
            </w:pPr>
            <w:r>
              <w:rPr>
                <w:rFonts w:ascii="Arial" w:eastAsia="Arial" w:hAnsi="Arial" w:cs="Arial"/>
                <w:b/>
                <w:sz w:val="20"/>
              </w:rPr>
              <w:t xml:space="preserve">Tertiary/exploratory </w:t>
            </w:r>
          </w:p>
          <w:p w14:paraId="61BC2428" w14:textId="77777777" w:rsidR="000B3C5C" w:rsidRDefault="00ED192D">
            <w:pPr>
              <w:spacing w:after="0" w:line="259" w:lineRule="auto"/>
              <w:ind w:left="720" w:right="80"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To explore additional efficacy parameters of isatuximab in combination with atezolizumab, or single agent (GBM only). </w:t>
            </w:r>
          </w:p>
        </w:tc>
        <w:tc>
          <w:tcPr>
            <w:tcW w:w="4734" w:type="dxa"/>
            <w:tcBorders>
              <w:top w:val="single" w:sz="4" w:space="0" w:color="000000"/>
              <w:left w:val="nil"/>
              <w:bottom w:val="single" w:sz="4" w:space="0" w:color="000000"/>
              <w:right w:val="nil"/>
            </w:tcBorders>
            <w:vAlign w:val="bottom"/>
          </w:tcPr>
          <w:p w14:paraId="09C404BA" w14:textId="77777777" w:rsidR="000B3C5C" w:rsidRDefault="00ED192D">
            <w:pPr>
              <w:tabs>
                <w:tab w:val="center" w:pos="279"/>
                <w:tab w:val="center" w:pos="2266"/>
              </w:tabs>
              <w:spacing w:after="28"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For participants with HCC, SCCHN, and EOC: </w:t>
            </w:r>
          </w:p>
          <w:p w14:paraId="3FF60027" w14:textId="77777777" w:rsidR="000B3C5C" w:rsidRDefault="00ED192D">
            <w:pPr>
              <w:tabs>
                <w:tab w:val="center" w:pos="618"/>
                <w:tab w:val="right" w:pos="4497"/>
              </w:tabs>
              <w:spacing w:after="0"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t xml:space="preserve">RR, DCR, DoR, and PFS by modified Response </w:t>
            </w:r>
          </w:p>
          <w:p w14:paraId="5B70B4EE" w14:textId="77777777" w:rsidR="000B3C5C" w:rsidRDefault="00ED192D">
            <w:pPr>
              <w:spacing w:after="61" w:line="240" w:lineRule="auto"/>
              <w:ind w:left="953" w:right="635" w:firstLine="0"/>
            </w:pPr>
            <w:r>
              <w:rPr>
                <w:rFonts w:ascii="Arial" w:eastAsia="Arial" w:hAnsi="Arial" w:cs="Arial"/>
                <w:sz w:val="20"/>
              </w:rPr>
              <w:t xml:space="preserve">Evaluation Criteria in Solid Tumors for immune-based therapies (iRECIST (see Appendix 16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10.16</w:t>
            </w:r>
            <w:r>
              <w:rPr>
                <w:rFonts w:ascii="Arial" w:eastAsia="Arial" w:hAnsi="Arial" w:cs="Arial"/>
                <w:sz w:val="20"/>
              </w:rPr>
              <w:t xml:space="preserve">), </w:t>
            </w:r>
          </w:p>
          <w:p w14:paraId="0DD9E35C" w14:textId="77777777" w:rsidR="000B3C5C" w:rsidRDefault="00ED192D">
            <w:pPr>
              <w:spacing w:after="0" w:line="259" w:lineRule="auto"/>
              <w:ind w:left="953" w:firstLine="0"/>
            </w:pPr>
            <w:r>
              <w:rPr>
                <w:rFonts w:ascii="Arial" w:eastAsia="Arial" w:hAnsi="Arial" w:cs="Arial"/>
                <w:sz w:val="20"/>
              </w:rPr>
              <w:t xml:space="preserve"> </w:t>
            </w:r>
          </w:p>
        </w:tc>
      </w:tr>
    </w:tbl>
    <w:p w14:paraId="7AB87D8B" w14:textId="77777777" w:rsidR="000B3C5C" w:rsidRDefault="000B3C5C">
      <w:pPr>
        <w:spacing w:after="0" w:line="259" w:lineRule="auto"/>
        <w:ind w:left="-1587" w:right="11052" w:firstLine="0"/>
      </w:pPr>
    </w:p>
    <w:tbl>
      <w:tblPr>
        <w:tblStyle w:val="TableGrid"/>
        <w:tblW w:w="9715" w:type="dxa"/>
        <w:tblInd w:w="-130" w:type="dxa"/>
        <w:tblCellMar>
          <w:top w:w="64" w:type="dxa"/>
          <w:left w:w="0" w:type="dxa"/>
          <w:bottom w:w="6" w:type="dxa"/>
          <w:right w:w="96" w:type="dxa"/>
        </w:tblCellMar>
        <w:tblLook w:val="04A0" w:firstRow="1" w:lastRow="0" w:firstColumn="1" w:lastColumn="0" w:noHBand="0" w:noVBand="1"/>
      </w:tblPr>
      <w:tblGrid>
        <w:gridCol w:w="4981"/>
        <w:gridCol w:w="720"/>
        <w:gridCol w:w="4014"/>
      </w:tblGrid>
      <w:tr w:rsidR="000B3C5C" w14:paraId="6BF29A39" w14:textId="77777777">
        <w:trPr>
          <w:trHeight w:val="360"/>
        </w:trPr>
        <w:tc>
          <w:tcPr>
            <w:tcW w:w="4981" w:type="dxa"/>
            <w:tcBorders>
              <w:top w:val="single" w:sz="4" w:space="0" w:color="000000"/>
              <w:left w:val="nil"/>
              <w:bottom w:val="single" w:sz="4" w:space="0" w:color="000000"/>
              <w:right w:val="nil"/>
            </w:tcBorders>
          </w:tcPr>
          <w:p w14:paraId="12B53FCD" w14:textId="77777777" w:rsidR="000B3C5C" w:rsidRDefault="00ED192D">
            <w:pPr>
              <w:spacing w:after="0" w:line="259" w:lineRule="auto"/>
              <w:ind w:left="130" w:firstLine="0"/>
            </w:pPr>
            <w:r>
              <w:rPr>
                <w:rFonts w:ascii="Arial" w:eastAsia="Arial" w:hAnsi="Arial" w:cs="Arial"/>
                <w:b/>
                <w:sz w:val="20"/>
              </w:rPr>
              <w:t xml:space="preserve">Objectives </w:t>
            </w:r>
          </w:p>
        </w:tc>
        <w:tc>
          <w:tcPr>
            <w:tcW w:w="4734" w:type="dxa"/>
            <w:gridSpan w:val="2"/>
            <w:tcBorders>
              <w:top w:val="single" w:sz="4" w:space="0" w:color="000000"/>
              <w:left w:val="nil"/>
              <w:bottom w:val="single" w:sz="4" w:space="0" w:color="000000"/>
              <w:right w:val="nil"/>
            </w:tcBorders>
          </w:tcPr>
          <w:p w14:paraId="4E5D4A27" w14:textId="77777777" w:rsidR="000B3C5C" w:rsidRDefault="00ED192D">
            <w:pPr>
              <w:spacing w:after="0" w:line="259" w:lineRule="auto"/>
              <w:ind w:left="0" w:firstLine="0"/>
            </w:pPr>
            <w:r>
              <w:rPr>
                <w:rFonts w:ascii="Arial" w:eastAsia="Arial" w:hAnsi="Arial" w:cs="Arial"/>
                <w:b/>
                <w:sz w:val="20"/>
              </w:rPr>
              <w:t xml:space="preserve">Endpoints </w:t>
            </w:r>
          </w:p>
        </w:tc>
      </w:tr>
      <w:tr w:rsidR="000B3C5C" w14:paraId="0970744C" w14:textId="77777777">
        <w:trPr>
          <w:trHeight w:val="1681"/>
        </w:trPr>
        <w:tc>
          <w:tcPr>
            <w:tcW w:w="5701" w:type="dxa"/>
            <w:gridSpan w:val="2"/>
            <w:tcBorders>
              <w:top w:val="single" w:sz="4" w:space="0" w:color="000000"/>
              <w:left w:val="nil"/>
              <w:bottom w:val="nil"/>
              <w:right w:val="nil"/>
            </w:tcBorders>
            <w:vAlign w:val="bottom"/>
          </w:tcPr>
          <w:p w14:paraId="551377AA" w14:textId="77777777" w:rsidR="000B3C5C" w:rsidRDefault="00ED192D">
            <w:pPr>
              <w:spacing w:after="0" w:line="259" w:lineRule="auto"/>
              <w:ind w:left="0" w:right="151" w:firstLine="0"/>
              <w:jc w:val="right"/>
            </w:pPr>
            <w:r>
              <w:rPr>
                <w:rFonts w:ascii="Segoe UI Symbol" w:eastAsia="Segoe UI Symbol" w:hAnsi="Segoe UI Symbol" w:cs="Segoe UI Symbol"/>
              </w:rPr>
              <w:t>•</w:t>
            </w:r>
            <w:r>
              <w:rPr>
                <w:rFonts w:ascii="Arial" w:eastAsia="Arial" w:hAnsi="Arial" w:cs="Arial"/>
              </w:rPr>
              <w:t xml:space="preserve"> </w:t>
            </w:r>
          </w:p>
        </w:tc>
        <w:tc>
          <w:tcPr>
            <w:tcW w:w="4014" w:type="dxa"/>
            <w:tcBorders>
              <w:top w:val="single" w:sz="4" w:space="0" w:color="000000"/>
              <w:left w:val="nil"/>
              <w:bottom w:val="nil"/>
              <w:right w:val="nil"/>
            </w:tcBorders>
          </w:tcPr>
          <w:p w14:paraId="66E29171" w14:textId="77777777" w:rsidR="000B3C5C" w:rsidRDefault="00ED192D">
            <w:pPr>
              <w:numPr>
                <w:ilvl w:val="0"/>
                <w:numId w:val="88"/>
              </w:numPr>
              <w:spacing w:after="111" w:line="244" w:lineRule="auto"/>
              <w:ind w:hanging="363"/>
            </w:pPr>
            <w:r>
              <w:rPr>
                <w:rFonts w:ascii="Arial" w:eastAsia="Arial" w:hAnsi="Arial" w:cs="Arial"/>
                <w:sz w:val="20"/>
              </w:rPr>
              <w:t xml:space="preserve">Time to response (TTR), time to progression (TTP) based on RECIST 1.1 and iRECIST, and overall survival (OS). </w:t>
            </w:r>
          </w:p>
          <w:p w14:paraId="1CF29058" w14:textId="77777777" w:rsidR="000B3C5C" w:rsidRDefault="00ED192D">
            <w:pPr>
              <w:spacing w:after="61" w:line="259" w:lineRule="auto"/>
              <w:ind w:left="0" w:firstLine="0"/>
            </w:pPr>
            <w:r>
              <w:rPr>
                <w:rFonts w:ascii="Arial" w:eastAsia="Arial" w:hAnsi="Arial" w:cs="Arial"/>
                <w:sz w:val="20"/>
              </w:rPr>
              <w:t xml:space="preserve">For participants with HCC: </w:t>
            </w:r>
          </w:p>
          <w:p w14:paraId="20982FDA" w14:textId="77777777" w:rsidR="000B3C5C" w:rsidRDefault="00ED192D">
            <w:pPr>
              <w:numPr>
                <w:ilvl w:val="0"/>
                <w:numId w:val="88"/>
              </w:numPr>
              <w:spacing w:after="0" w:line="259" w:lineRule="auto"/>
              <w:ind w:hanging="363"/>
            </w:pPr>
            <w:r>
              <w:rPr>
                <w:rFonts w:ascii="Arial" w:eastAsia="Arial" w:hAnsi="Arial" w:cs="Arial"/>
                <w:sz w:val="20"/>
              </w:rPr>
              <w:t xml:space="preserve">Alpha-fetoprotein (AFP) </w:t>
            </w:r>
            <w:r>
              <w:rPr>
                <w:rFonts w:ascii="Arial" w:eastAsia="Arial" w:hAnsi="Arial" w:cs="Arial"/>
                <w:sz w:val="20"/>
              </w:rPr>
              <w:t xml:space="preserve">reduction from baseline and relation with clinical response. </w:t>
            </w:r>
          </w:p>
        </w:tc>
      </w:tr>
      <w:tr w:rsidR="000B3C5C" w14:paraId="69CE9FBE" w14:textId="77777777">
        <w:trPr>
          <w:trHeight w:val="1323"/>
        </w:trPr>
        <w:tc>
          <w:tcPr>
            <w:tcW w:w="5701" w:type="dxa"/>
            <w:gridSpan w:val="2"/>
            <w:tcBorders>
              <w:top w:val="nil"/>
              <w:left w:val="nil"/>
              <w:bottom w:val="nil"/>
              <w:right w:val="nil"/>
            </w:tcBorders>
          </w:tcPr>
          <w:p w14:paraId="3A2A40A1" w14:textId="77777777" w:rsidR="000B3C5C" w:rsidRDefault="00ED192D">
            <w:pPr>
              <w:spacing w:after="0" w:line="259" w:lineRule="auto"/>
              <w:ind w:left="0" w:right="151" w:firstLine="0"/>
              <w:jc w:val="right"/>
            </w:pPr>
            <w:r>
              <w:rPr>
                <w:rFonts w:ascii="Segoe UI Symbol" w:eastAsia="Segoe UI Symbol" w:hAnsi="Segoe UI Symbol" w:cs="Segoe UI Symbol"/>
              </w:rPr>
              <w:t>•</w:t>
            </w:r>
            <w:r>
              <w:rPr>
                <w:rFonts w:ascii="Arial" w:eastAsia="Arial" w:hAnsi="Arial" w:cs="Arial"/>
              </w:rPr>
              <w:t xml:space="preserve"> </w:t>
            </w:r>
          </w:p>
        </w:tc>
        <w:tc>
          <w:tcPr>
            <w:tcW w:w="4014" w:type="dxa"/>
            <w:tcBorders>
              <w:top w:val="nil"/>
              <w:left w:val="nil"/>
              <w:bottom w:val="nil"/>
              <w:right w:val="nil"/>
            </w:tcBorders>
          </w:tcPr>
          <w:p w14:paraId="01FE4319" w14:textId="77777777" w:rsidR="000B3C5C" w:rsidRDefault="00ED192D">
            <w:pPr>
              <w:spacing w:after="61" w:line="259" w:lineRule="auto"/>
              <w:ind w:left="0" w:firstLine="0"/>
            </w:pPr>
            <w:r>
              <w:rPr>
                <w:rFonts w:ascii="Arial" w:eastAsia="Arial" w:hAnsi="Arial" w:cs="Arial"/>
                <w:sz w:val="20"/>
              </w:rPr>
              <w:t xml:space="preserve">For participants with EOC: </w:t>
            </w:r>
          </w:p>
          <w:p w14:paraId="1260CB0F" w14:textId="77777777" w:rsidR="000B3C5C" w:rsidRDefault="00ED192D">
            <w:pPr>
              <w:tabs>
                <w:tab w:val="center" w:pos="33"/>
                <w:tab w:val="center" w:pos="1889"/>
              </w:tabs>
              <w:spacing w:after="0"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t xml:space="preserve">CA125 response by Gynaecologic Cancer </w:t>
            </w:r>
          </w:p>
          <w:p w14:paraId="265AC20A" w14:textId="77777777" w:rsidR="000B3C5C" w:rsidRDefault="00ED192D">
            <w:pPr>
              <w:spacing w:after="0" w:line="259" w:lineRule="auto"/>
              <w:ind w:left="363" w:firstLine="0"/>
            </w:pPr>
            <w:r>
              <w:rPr>
                <w:rFonts w:ascii="Arial" w:eastAsia="Arial" w:hAnsi="Arial" w:cs="Arial"/>
                <w:sz w:val="20"/>
              </w:rPr>
              <w:t xml:space="preserve">Intergroup (GCIG) criteria  </w:t>
            </w:r>
          </w:p>
          <w:p w14:paraId="02D2BDF9" w14:textId="77777777" w:rsidR="000B3C5C" w:rsidRDefault="00ED192D">
            <w:pPr>
              <w:spacing w:after="0" w:line="259" w:lineRule="auto"/>
              <w:ind w:left="363" w:firstLine="0"/>
            </w:pPr>
            <w:r>
              <w:rPr>
                <w:rFonts w:ascii="Arial" w:eastAsia="Arial" w:hAnsi="Arial" w:cs="Arial"/>
                <w:sz w:val="20"/>
              </w:rPr>
              <w:t xml:space="preserve">(See Appendix 17: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10.17</w:t>
            </w:r>
            <w:r>
              <w:rPr>
                <w:rFonts w:ascii="Arial" w:eastAsia="Arial" w:hAnsi="Arial" w:cs="Arial"/>
                <w:sz w:val="20"/>
              </w:rPr>
              <w:t xml:space="preserve">) and relation with clinical response. </w:t>
            </w:r>
          </w:p>
        </w:tc>
      </w:tr>
      <w:tr w:rsidR="000B3C5C" w14:paraId="450AB01A" w14:textId="77777777">
        <w:trPr>
          <w:trHeight w:val="2068"/>
        </w:trPr>
        <w:tc>
          <w:tcPr>
            <w:tcW w:w="5701" w:type="dxa"/>
            <w:gridSpan w:val="2"/>
            <w:tcBorders>
              <w:top w:val="nil"/>
              <w:left w:val="nil"/>
              <w:bottom w:val="single" w:sz="4" w:space="0" w:color="000000"/>
              <w:right w:val="nil"/>
            </w:tcBorders>
          </w:tcPr>
          <w:p w14:paraId="36D33543" w14:textId="77777777" w:rsidR="000B3C5C" w:rsidRDefault="00ED192D">
            <w:pPr>
              <w:spacing w:after="0" w:line="259" w:lineRule="auto"/>
              <w:ind w:left="0" w:right="151" w:firstLine="0"/>
              <w:jc w:val="right"/>
            </w:pPr>
            <w:r>
              <w:rPr>
                <w:rFonts w:ascii="Segoe UI Symbol" w:eastAsia="Segoe UI Symbol" w:hAnsi="Segoe UI Symbol" w:cs="Segoe UI Symbol"/>
              </w:rPr>
              <w:t>•</w:t>
            </w:r>
            <w:r>
              <w:rPr>
                <w:rFonts w:ascii="Arial" w:eastAsia="Arial" w:hAnsi="Arial" w:cs="Arial"/>
              </w:rPr>
              <w:t xml:space="preserve"> </w:t>
            </w:r>
          </w:p>
        </w:tc>
        <w:tc>
          <w:tcPr>
            <w:tcW w:w="4014" w:type="dxa"/>
            <w:tcBorders>
              <w:top w:val="nil"/>
              <w:left w:val="nil"/>
              <w:bottom w:val="single" w:sz="4" w:space="0" w:color="000000"/>
              <w:right w:val="nil"/>
            </w:tcBorders>
          </w:tcPr>
          <w:p w14:paraId="5FAF11C5" w14:textId="77777777" w:rsidR="000B3C5C" w:rsidRDefault="00ED192D">
            <w:pPr>
              <w:spacing w:after="61" w:line="259" w:lineRule="auto"/>
              <w:ind w:left="0" w:firstLine="0"/>
            </w:pPr>
            <w:r>
              <w:rPr>
                <w:rFonts w:ascii="Arial" w:eastAsia="Arial" w:hAnsi="Arial" w:cs="Arial"/>
                <w:sz w:val="20"/>
              </w:rPr>
              <w:t xml:space="preserve">For participants with GBM:  </w:t>
            </w:r>
          </w:p>
          <w:p w14:paraId="5A49A8E0" w14:textId="77777777" w:rsidR="000B3C5C" w:rsidRDefault="00ED192D">
            <w:pPr>
              <w:numPr>
                <w:ilvl w:val="0"/>
                <w:numId w:val="89"/>
              </w:numPr>
              <w:spacing w:after="0" w:line="259" w:lineRule="auto"/>
              <w:ind w:hanging="363"/>
            </w:pPr>
            <w:r>
              <w:rPr>
                <w:rFonts w:ascii="Arial" w:eastAsia="Arial" w:hAnsi="Arial" w:cs="Arial"/>
                <w:sz w:val="20"/>
              </w:rPr>
              <w:t xml:space="preserve">RR, DCR, DoR, and PFS by Immunotherapy </w:t>
            </w:r>
          </w:p>
          <w:p w14:paraId="56E0924F" w14:textId="77777777" w:rsidR="000B3C5C" w:rsidRDefault="00ED192D">
            <w:pPr>
              <w:spacing w:after="0" w:line="259" w:lineRule="auto"/>
              <w:ind w:left="363" w:firstLine="0"/>
            </w:pPr>
            <w:r>
              <w:rPr>
                <w:rFonts w:ascii="Arial" w:eastAsia="Arial" w:hAnsi="Arial" w:cs="Arial"/>
                <w:sz w:val="20"/>
              </w:rPr>
              <w:t xml:space="preserve">Response Assessment in Neuro-Oncology </w:t>
            </w:r>
          </w:p>
          <w:p w14:paraId="0059C0FC" w14:textId="77777777" w:rsidR="000B3C5C" w:rsidRDefault="00ED192D">
            <w:pPr>
              <w:spacing w:after="58" w:line="259" w:lineRule="auto"/>
              <w:ind w:left="363" w:firstLine="0"/>
            </w:pPr>
            <w:r>
              <w:rPr>
                <w:rFonts w:ascii="Arial" w:eastAsia="Arial" w:hAnsi="Arial" w:cs="Arial"/>
                <w:sz w:val="20"/>
              </w:rPr>
              <w:t xml:space="preserve">(iRANO) (See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10.18</w:t>
            </w:r>
            <w:r>
              <w:rPr>
                <w:rFonts w:ascii="Arial" w:eastAsia="Arial" w:hAnsi="Arial" w:cs="Arial"/>
                <w:sz w:val="20"/>
              </w:rPr>
              <w:t xml:space="preserve">), </w:t>
            </w:r>
          </w:p>
          <w:p w14:paraId="0E4D46B0" w14:textId="77777777" w:rsidR="000B3C5C" w:rsidRDefault="00ED192D">
            <w:pPr>
              <w:numPr>
                <w:ilvl w:val="0"/>
                <w:numId w:val="89"/>
              </w:numPr>
              <w:spacing w:after="71"/>
              <w:ind w:hanging="363"/>
            </w:pPr>
            <w:r>
              <w:rPr>
                <w:rFonts w:ascii="Arial" w:eastAsia="Arial" w:hAnsi="Arial" w:cs="Arial"/>
                <w:sz w:val="20"/>
              </w:rPr>
              <w:t xml:space="preserve">OS-6 </w:t>
            </w:r>
            <w:r>
              <w:rPr>
                <w:rFonts w:ascii="Arial" w:eastAsia="Arial" w:hAnsi="Arial" w:cs="Arial"/>
                <w:sz w:val="20"/>
              </w:rPr>
              <w:t xml:space="preserve">defined as the overall survival rate at 6 months, </w:t>
            </w:r>
          </w:p>
          <w:p w14:paraId="459D77D3" w14:textId="77777777" w:rsidR="000B3C5C" w:rsidRDefault="00ED192D">
            <w:pPr>
              <w:numPr>
                <w:ilvl w:val="0"/>
                <w:numId w:val="89"/>
              </w:numPr>
              <w:spacing w:after="0" w:line="259" w:lineRule="auto"/>
              <w:ind w:hanging="363"/>
            </w:pPr>
            <w:r>
              <w:rPr>
                <w:rFonts w:ascii="Arial" w:eastAsia="Arial" w:hAnsi="Arial" w:cs="Arial"/>
                <w:sz w:val="20"/>
              </w:rPr>
              <w:t xml:space="preserve">TTR, TTP (based on RANO and iRANO) and OS. </w:t>
            </w:r>
          </w:p>
        </w:tc>
      </w:tr>
      <w:tr w:rsidR="000B3C5C" w14:paraId="7FED8D2A" w14:textId="77777777">
        <w:trPr>
          <w:trHeight w:val="1042"/>
        </w:trPr>
        <w:tc>
          <w:tcPr>
            <w:tcW w:w="5701" w:type="dxa"/>
            <w:gridSpan w:val="2"/>
            <w:tcBorders>
              <w:top w:val="single" w:sz="4" w:space="0" w:color="000000"/>
              <w:left w:val="nil"/>
              <w:bottom w:val="single" w:sz="4" w:space="0" w:color="000000"/>
              <w:right w:val="nil"/>
            </w:tcBorders>
            <w:vAlign w:val="center"/>
          </w:tcPr>
          <w:p w14:paraId="4612A851" w14:textId="77777777" w:rsidR="000B3C5C" w:rsidRDefault="00ED192D">
            <w:pPr>
              <w:tabs>
                <w:tab w:val="center" w:pos="2319"/>
                <w:tab w:val="center" w:pos="5399"/>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sz w:val="20"/>
              </w:rPr>
              <w:t xml:space="preserve">To evaluate the relationships between clinical </w:t>
            </w:r>
            <w:r>
              <w:rPr>
                <w:rFonts w:ascii="Arial" w:eastAsia="Arial" w:hAnsi="Arial" w:cs="Arial"/>
                <w:sz w:val="20"/>
              </w:rPr>
              <w:tab/>
            </w:r>
            <w:r>
              <w:rPr>
                <w:rFonts w:ascii="Segoe UI Symbol" w:eastAsia="Segoe UI Symbol" w:hAnsi="Segoe UI Symbol" w:cs="Segoe UI Symbol"/>
              </w:rPr>
              <w:t>•</w:t>
            </w:r>
            <w:r>
              <w:rPr>
                <w:rFonts w:ascii="Arial" w:eastAsia="Arial" w:hAnsi="Arial" w:cs="Arial"/>
              </w:rPr>
              <w:t xml:space="preserve"> </w:t>
            </w:r>
          </w:p>
          <w:p w14:paraId="54D00138" w14:textId="77777777" w:rsidR="000B3C5C" w:rsidRDefault="00ED192D">
            <w:pPr>
              <w:spacing w:after="0" w:line="259" w:lineRule="auto"/>
              <w:ind w:left="850" w:right="172" w:firstLine="0"/>
            </w:pPr>
            <w:r>
              <w:rPr>
                <w:rFonts w:ascii="Arial" w:eastAsia="Arial" w:hAnsi="Arial" w:cs="Arial"/>
                <w:sz w:val="20"/>
              </w:rPr>
              <w:t xml:space="preserve">response and tumor markers as potential predictive biomarkers of response.  </w:t>
            </w:r>
          </w:p>
        </w:tc>
        <w:tc>
          <w:tcPr>
            <w:tcW w:w="4014" w:type="dxa"/>
            <w:tcBorders>
              <w:top w:val="single" w:sz="4" w:space="0" w:color="000000"/>
              <w:left w:val="nil"/>
              <w:bottom w:val="single" w:sz="4" w:space="0" w:color="000000"/>
              <w:right w:val="nil"/>
            </w:tcBorders>
            <w:vAlign w:val="bottom"/>
          </w:tcPr>
          <w:p w14:paraId="4ACB9A5C" w14:textId="77777777" w:rsidR="000B3C5C" w:rsidRDefault="00ED192D">
            <w:pPr>
              <w:spacing w:after="0" w:line="259" w:lineRule="auto"/>
              <w:ind w:left="0" w:firstLine="0"/>
            </w:pPr>
            <w:r>
              <w:rPr>
                <w:rFonts w:ascii="Arial" w:eastAsia="Arial" w:hAnsi="Arial" w:cs="Arial"/>
                <w:sz w:val="20"/>
              </w:rPr>
              <w:t xml:space="preserve">The relationship between clinical response and CD38 expression (in infiltrating immune cells and tumor cells), PD-L1 expression (in tumor cells) and immune contexture in tumor at baseline. </w:t>
            </w:r>
          </w:p>
        </w:tc>
      </w:tr>
      <w:tr w:rsidR="000B3C5C" w14:paraId="6E5E438B" w14:textId="77777777">
        <w:trPr>
          <w:trHeight w:val="875"/>
        </w:trPr>
        <w:tc>
          <w:tcPr>
            <w:tcW w:w="5701" w:type="dxa"/>
            <w:gridSpan w:val="2"/>
            <w:tcBorders>
              <w:top w:val="single" w:sz="4" w:space="0" w:color="000000"/>
              <w:left w:val="nil"/>
              <w:bottom w:val="nil"/>
              <w:right w:val="nil"/>
            </w:tcBorders>
          </w:tcPr>
          <w:p w14:paraId="574D8AFA" w14:textId="77777777" w:rsidR="000B3C5C" w:rsidRDefault="00ED192D">
            <w:pPr>
              <w:tabs>
                <w:tab w:val="center" w:pos="2351"/>
                <w:tab w:val="center" w:pos="5399"/>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sz w:val="20"/>
              </w:rPr>
              <w:t xml:space="preserve">To explore immune genetic markers which are </w:t>
            </w:r>
            <w:r>
              <w:rPr>
                <w:rFonts w:ascii="Arial" w:eastAsia="Arial" w:hAnsi="Arial" w:cs="Arial"/>
                <w:sz w:val="20"/>
              </w:rPr>
              <w:tab/>
            </w:r>
            <w:r>
              <w:rPr>
                <w:rFonts w:ascii="Segoe UI Symbol" w:eastAsia="Segoe UI Symbol" w:hAnsi="Segoe UI Symbol" w:cs="Segoe UI Symbol"/>
              </w:rPr>
              <w:t>•</w:t>
            </w:r>
            <w:r>
              <w:rPr>
                <w:rFonts w:ascii="Arial" w:eastAsia="Arial" w:hAnsi="Arial" w:cs="Arial"/>
              </w:rPr>
              <w:t xml:space="preserve"> </w:t>
            </w:r>
          </w:p>
          <w:p w14:paraId="54D98949" w14:textId="77777777" w:rsidR="000B3C5C" w:rsidRDefault="00ED192D">
            <w:pPr>
              <w:spacing w:after="0" w:line="259" w:lineRule="auto"/>
              <w:ind w:left="850" w:right="638" w:firstLine="0"/>
            </w:pPr>
            <w:r>
              <w:rPr>
                <w:rFonts w:ascii="Arial" w:eastAsia="Arial" w:hAnsi="Arial" w:cs="Arial"/>
                <w:sz w:val="20"/>
              </w:rPr>
              <w:t xml:space="preserve">important for effector functions of Isatuximab as potential predictive markers of response. </w:t>
            </w:r>
          </w:p>
        </w:tc>
        <w:tc>
          <w:tcPr>
            <w:tcW w:w="4014" w:type="dxa"/>
            <w:tcBorders>
              <w:top w:val="single" w:sz="4" w:space="0" w:color="000000"/>
              <w:left w:val="nil"/>
              <w:bottom w:val="nil"/>
              <w:right w:val="nil"/>
            </w:tcBorders>
          </w:tcPr>
          <w:p w14:paraId="3874A803" w14:textId="77777777" w:rsidR="000B3C5C" w:rsidRDefault="00ED192D">
            <w:pPr>
              <w:spacing w:after="0" w:line="259" w:lineRule="auto"/>
              <w:ind w:left="0" w:firstLine="0"/>
            </w:pPr>
            <w:r>
              <w:rPr>
                <w:rFonts w:ascii="Arial" w:eastAsia="Arial" w:hAnsi="Arial" w:cs="Arial"/>
                <w:sz w:val="20"/>
              </w:rPr>
              <w:t xml:space="preserve">Immune genetic determinants (such as polymorphisms in FCγR receptors) in blood at baseline. </w:t>
            </w:r>
          </w:p>
        </w:tc>
      </w:tr>
      <w:tr w:rsidR="000B3C5C" w14:paraId="12803966" w14:textId="77777777">
        <w:trPr>
          <w:trHeight w:val="1032"/>
        </w:trPr>
        <w:tc>
          <w:tcPr>
            <w:tcW w:w="5701" w:type="dxa"/>
            <w:gridSpan w:val="2"/>
            <w:tcBorders>
              <w:top w:val="nil"/>
              <w:left w:val="nil"/>
              <w:bottom w:val="nil"/>
              <w:right w:val="nil"/>
            </w:tcBorders>
          </w:tcPr>
          <w:p w14:paraId="31521E23" w14:textId="77777777" w:rsidR="000B3C5C" w:rsidRDefault="00ED192D">
            <w:pPr>
              <w:tabs>
                <w:tab w:val="center" w:pos="2320"/>
                <w:tab w:val="center" w:pos="5399"/>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sz w:val="20"/>
              </w:rPr>
              <w:t xml:space="preserve">To perform PK/pharmacodynamics analysis if </w:t>
            </w:r>
            <w:r>
              <w:rPr>
                <w:rFonts w:ascii="Arial" w:eastAsia="Arial" w:hAnsi="Arial" w:cs="Arial"/>
                <w:sz w:val="20"/>
              </w:rPr>
              <w:tab/>
            </w:r>
            <w:r>
              <w:rPr>
                <w:rFonts w:ascii="Segoe UI Symbol" w:eastAsia="Segoe UI Symbol" w:hAnsi="Segoe UI Symbol" w:cs="Segoe UI Symbol"/>
              </w:rPr>
              <w:t>•</w:t>
            </w:r>
            <w:r>
              <w:rPr>
                <w:rFonts w:ascii="Arial" w:eastAsia="Arial" w:hAnsi="Arial" w:cs="Arial"/>
              </w:rPr>
              <w:t xml:space="preserve"> </w:t>
            </w:r>
          </w:p>
          <w:p w14:paraId="365AFB1C" w14:textId="77777777" w:rsidR="000B3C5C" w:rsidRDefault="00ED192D">
            <w:pPr>
              <w:spacing w:after="0" w:line="259" w:lineRule="auto"/>
              <w:ind w:left="850" w:right="776" w:firstLine="0"/>
            </w:pPr>
            <w:r>
              <w:rPr>
                <w:rFonts w:ascii="Arial" w:eastAsia="Arial" w:hAnsi="Arial" w:cs="Arial"/>
                <w:sz w:val="20"/>
              </w:rPr>
              <w:t xml:space="preserve">possible with any relevant pharmacodynamics markers mentioned above, and correlation with safety/efficacy endpoints. </w:t>
            </w:r>
          </w:p>
        </w:tc>
        <w:tc>
          <w:tcPr>
            <w:tcW w:w="4014" w:type="dxa"/>
            <w:tcBorders>
              <w:top w:val="nil"/>
              <w:left w:val="nil"/>
              <w:bottom w:val="nil"/>
              <w:right w:val="nil"/>
            </w:tcBorders>
          </w:tcPr>
          <w:p w14:paraId="5B602535" w14:textId="77777777" w:rsidR="000B3C5C" w:rsidRDefault="00ED192D">
            <w:pPr>
              <w:spacing w:after="0" w:line="259" w:lineRule="auto"/>
              <w:ind w:left="0" w:firstLine="0"/>
            </w:pPr>
            <w:r>
              <w:rPr>
                <w:rFonts w:ascii="Arial" w:eastAsia="Arial" w:hAnsi="Arial" w:cs="Arial"/>
                <w:sz w:val="20"/>
              </w:rPr>
              <w:t xml:space="preserve">Pharmacodynamic biomarkers in response to IMP: immunophenotype in peripheral blood, immune contexture in tumor biopsies and cytokine levels in plasma or serum from peripheral blood. </w:t>
            </w:r>
          </w:p>
        </w:tc>
      </w:tr>
      <w:tr w:rsidR="000B3C5C" w14:paraId="12ADE0C6" w14:textId="77777777">
        <w:trPr>
          <w:trHeight w:val="802"/>
        </w:trPr>
        <w:tc>
          <w:tcPr>
            <w:tcW w:w="5701" w:type="dxa"/>
            <w:gridSpan w:val="2"/>
            <w:tcBorders>
              <w:top w:val="nil"/>
              <w:left w:val="nil"/>
              <w:bottom w:val="nil"/>
              <w:right w:val="nil"/>
            </w:tcBorders>
          </w:tcPr>
          <w:p w14:paraId="5C26BB0C" w14:textId="77777777" w:rsidR="000B3C5C" w:rsidRDefault="00ED192D">
            <w:pPr>
              <w:spacing w:after="0" w:line="259" w:lineRule="auto"/>
              <w:ind w:left="0" w:right="151" w:firstLine="0"/>
              <w:jc w:val="right"/>
            </w:pPr>
            <w:r>
              <w:rPr>
                <w:rFonts w:ascii="Segoe UI Symbol" w:eastAsia="Segoe UI Symbol" w:hAnsi="Segoe UI Symbol" w:cs="Segoe UI Symbol"/>
              </w:rPr>
              <w:t>•</w:t>
            </w:r>
            <w:r>
              <w:rPr>
                <w:rFonts w:ascii="Arial" w:eastAsia="Arial" w:hAnsi="Arial" w:cs="Arial"/>
              </w:rPr>
              <w:t xml:space="preserve"> </w:t>
            </w:r>
          </w:p>
        </w:tc>
        <w:tc>
          <w:tcPr>
            <w:tcW w:w="4014" w:type="dxa"/>
            <w:tcBorders>
              <w:top w:val="nil"/>
              <w:left w:val="nil"/>
              <w:bottom w:val="nil"/>
              <w:right w:val="nil"/>
            </w:tcBorders>
          </w:tcPr>
          <w:p w14:paraId="54E28FA7" w14:textId="77777777" w:rsidR="000B3C5C" w:rsidRDefault="00ED192D">
            <w:pPr>
              <w:spacing w:after="0" w:line="259" w:lineRule="auto"/>
              <w:ind w:left="0" w:firstLine="0"/>
            </w:pPr>
            <w:r>
              <w:rPr>
                <w:rFonts w:ascii="Arial" w:eastAsia="Arial" w:hAnsi="Arial" w:cs="Arial"/>
                <w:sz w:val="20"/>
              </w:rPr>
              <w:t xml:space="preserve">Tumor mutational profile will be analyzed at baseline and upon treatment in plasma cell free DNA from peripheral blood and correlated to response to IMP. </w:t>
            </w:r>
          </w:p>
        </w:tc>
      </w:tr>
      <w:tr w:rsidR="000B3C5C" w14:paraId="34B96108" w14:textId="77777777">
        <w:trPr>
          <w:trHeight w:val="1491"/>
        </w:trPr>
        <w:tc>
          <w:tcPr>
            <w:tcW w:w="5701" w:type="dxa"/>
            <w:gridSpan w:val="2"/>
            <w:tcBorders>
              <w:top w:val="nil"/>
              <w:left w:val="nil"/>
              <w:bottom w:val="nil"/>
              <w:right w:val="nil"/>
            </w:tcBorders>
          </w:tcPr>
          <w:p w14:paraId="3394BD02" w14:textId="77777777" w:rsidR="000B3C5C" w:rsidRDefault="00ED192D">
            <w:pPr>
              <w:spacing w:after="0" w:line="259" w:lineRule="auto"/>
              <w:ind w:left="0" w:right="151" w:firstLine="0"/>
              <w:jc w:val="right"/>
            </w:pPr>
            <w:r>
              <w:rPr>
                <w:rFonts w:ascii="Segoe UI Symbol" w:eastAsia="Segoe UI Symbol" w:hAnsi="Segoe UI Symbol" w:cs="Segoe UI Symbol"/>
              </w:rPr>
              <w:t>•</w:t>
            </w:r>
            <w:r>
              <w:rPr>
                <w:rFonts w:ascii="Arial" w:eastAsia="Arial" w:hAnsi="Arial" w:cs="Arial"/>
              </w:rPr>
              <w:t xml:space="preserve"> </w:t>
            </w:r>
          </w:p>
        </w:tc>
        <w:tc>
          <w:tcPr>
            <w:tcW w:w="4014" w:type="dxa"/>
            <w:tcBorders>
              <w:top w:val="nil"/>
              <w:left w:val="nil"/>
              <w:bottom w:val="nil"/>
              <w:right w:val="nil"/>
            </w:tcBorders>
          </w:tcPr>
          <w:p w14:paraId="6C23CE97" w14:textId="77777777" w:rsidR="000B3C5C" w:rsidRDefault="00ED192D">
            <w:pPr>
              <w:spacing w:after="0" w:line="259" w:lineRule="auto"/>
              <w:ind w:left="0" w:right="11" w:firstLine="0"/>
            </w:pPr>
            <w:r>
              <w:rPr>
                <w:rFonts w:ascii="Arial" w:eastAsia="Arial" w:hAnsi="Arial" w:cs="Arial"/>
                <w:sz w:val="20"/>
              </w:rPr>
              <w:t xml:space="preserve">If sufficient clinical response is observable in </w:t>
            </w:r>
            <w:r>
              <w:rPr>
                <w:rFonts w:ascii="Arial" w:eastAsia="Arial" w:hAnsi="Arial" w:cs="Arial"/>
                <w:sz w:val="20"/>
              </w:rPr>
              <w:t xml:space="preserve">Phase 1 and Phase 2 Stage 1 patients, analysis of Isatuximab enzymatic activity might be performed at baseline and upon treatment by measuring metabolites in plasma or serum from peripheral blood and correlated to response to IMP. </w:t>
            </w:r>
          </w:p>
        </w:tc>
      </w:tr>
      <w:tr w:rsidR="000B3C5C" w14:paraId="3CCF952C" w14:textId="77777777">
        <w:trPr>
          <w:trHeight w:val="1493"/>
        </w:trPr>
        <w:tc>
          <w:tcPr>
            <w:tcW w:w="5701" w:type="dxa"/>
            <w:gridSpan w:val="2"/>
            <w:tcBorders>
              <w:top w:val="nil"/>
              <w:left w:val="nil"/>
              <w:bottom w:val="nil"/>
              <w:right w:val="nil"/>
            </w:tcBorders>
          </w:tcPr>
          <w:p w14:paraId="46CC3238" w14:textId="77777777" w:rsidR="000B3C5C" w:rsidRDefault="00ED192D">
            <w:pPr>
              <w:spacing w:after="0" w:line="259" w:lineRule="auto"/>
              <w:ind w:left="0" w:right="151" w:firstLine="0"/>
              <w:jc w:val="right"/>
            </w:pPr>
            <w:r>
              <w:rPr>
                <w:rFonts w:ascii="Segoe UI Symbol" w:eastAsia="Segoe UI Symbol" w:hAnsi="Segoe UI Symbol" w:cs="Segoe UI Symbol"/>
              </w:rPr>
              <w:t>•</w:t>
            </w:r>
            <w:r>
              <w:rPr>
                <w:rFonts w:ascii="Arial" w:eastAsia="Arial" w:hAnsi="Arial" w:cs="Arial"/>
              </w:rPr>
              <w:t xml:space="preserve"> </w:t>
            </w:r>
          </w:p>
        </w:tc>
        <w:tc>
          <w:tcPr>
            <w:tcW w:w="4014" w:type="dxa"/>
            <w:tcBorders>
              <w:top w:val="nil"/>
              <w:left w:val="nil"/>
              <w:bottom w:val="nil"/>
              <w:right w:val="nil"/>
            </w:tcBorders>
          </w:tcPr>
          <w:p w14:paraId="22AF5EAB" w14:textId="77777777" w:rsidR="000B3C5C" w:rsidRDefault="00ED192D">
            <w:pPr>
              <w:spacing w:after="0" w:line="259" w:lineRule="auto"/>
              <w:ind w:left="0" w:firstLine="0"/>
            </w:pPr>
            <w:r>
              <w:rPr>
                <w:rFonts w:ascii="Arial" w:eastAsia="Arial" w:hAnsi="Arial" w:cs="Arial"/>
                <w:sz w:val="20"/>
              </w:rPr>
              <w:t xml:space="preserve">If sufficient clinical response is observable in Phase 1 and Phase 2 Stage 1 patients, further characterization of the immune response might be performed by analysing humoral and T cell adaptive immune response at baseline and upon treatment in peripheral blood and correlated to response to IMP. </w:t>
            </w:r>
          </w:p>
        </w:tc>
      </w:tr>
      <w:tr w:rsidR="000B3C5C" w14:paraId="40086E36" w14:textId="77777777">
        <w:trPr>
          <w:trHeight w:val="510"/>
        </w:trPr>
        <w:tc>
          <w:tcPr>
            <w:tcW w:w="5701" w:type="dxa"/>
            <w:gridSpan w:val="2"/>
            <w:tcBorders>
              <w:top w:val="nil"/>
              <w:left w:val="nil"/>
              <w:bottom w:val="single" w:sz="4" w:space="0" w:color="000000"/>
              <w:right w:val="nil"/>
            </w:tcBorders>
          </w:tcPr>
          <w:p w14:paraId="029A84AB" w14:textId="77777777" w:rsidR="000B3C5C" w:rsidRDefault="00ED192D">
            <w:pPr>
              <w:spacing w:after="0" w:line="259" w:lineRule="auto"/>
              <w:ind w:left="0" w:right="151" w:firstLine="0"/>
              <w:jc w:val="right"/>
            </w:pPr>
            <w:r>
              <w:rPr>
                <w:rFonts w:ascii="Segoe UI Symbol" w:eastAsia="Segoe UI Symbol" w:hAnsi="Segoe UI Symbol" w:cs="Segoe UI Symbol"/>
              </w:rPr>
              <w:t>•</w:t>
            </w:r>
            <w:r>
              <w:rPr>
                <w:rFonts w:ascii="Arial" w:eastAsia="Arial" w:hAnsi="Arial" w:cs="Arial"/>
              </w:rPr>
              <w:t xml:space="preserve"> </w:t>
            </w:r>
          </w:p>
        </w:tc>
        <w:tc>
          <w:tcPr>
            <w:tcW w:w="4014" w:type="dxa"/>
            <w:tcBorders>
              <w:top w:val="nil"/>
              <w:left w:val="nil"/>
              <w:bottom w:val="single" w:sz="4" w:space="0" w:color="000000"/>
              <w:right w:val="nil"/>
            </w:tcBorders>
          </w:tcPr>
          <w:p w14:paraId="7CE032C3" w14:textId="77777777" w:rsidR="000B3C5C" w:rsidRDefault="00ED192D">
            <w:pPr>
              <w:spacing w:after="0" w:line="259" w:lineRule="auto"/>
              <w:ind w:left="0" w:firstLine="0"/>
            </w:pPr>
            <w:r>
              <w:rPr>
                <w:rFonts w:ascii="Arial" w:eastAsia="Arial" w:hAnsi="Arial" w:cs="Arial"/>
                <w:sz w:val="20"/>
              </w:rPr>
              <w:t xml:space="preserve">Determination of exposure-response relationships with efficacy, safety, and biomarkers, if possible. </w:t>
            </w:r>
          </w:p>
        </w:tc>
      </w:tr>
    </w:tbl>
    <w:p w14:paraId="1E78D254" w14:textId="77777777" w:rsidR="000B3C5C" w:rsidRDefault="00ED192D">
      <w:pPr>
        <w:pStyle w:val="Heading2"/>
        <w:tabs>
          <w:tab w:val="center" w:pos="2922"/>
        </w:tabs>
        <w:spacing w:after="249"/>
        <w:ind w:left="-15" w:firstLine="0"/>
      </w:pPr>
      <w:r>
        <w:rPr>
          <w:rFonts w:ascii="Arial" w:eastAsia="Arial" w:hAnsi="Arial" w:cs="Arial"/>
          <w:sz w:val="22"/>
        </w:rPr>
        <w:t xml:space="preserve">3.1 </w:t>
      </w:r>
      <w:r>
        <w:rPr>
          <w:rFonts w:ascii="Arial" w:eastAsia="Arial" w:hAnsi="Arial" w:cs="Arial"/>
          <w:sz w:val="22"/>
        </w:rPr>
        <w:tab/>
        <w:t xml:space="preserve">APPROPRIATENESS OF MEASUREMENTS  </w:t>
      </w:r>
    </w:p>
    <w:p w14:paraId="1C29A9A6" w14:textId="77777777" w:rsidR="000B3C5C" w:rsidRDefault="00ED192D">
      <w:pPr>
        <w:ind w:left="-3" w:right="14"/>
      </w:pPr>
      <w:r>
        <w:t xml:space="preserve">Each of the efficacy and safety assessments chosen for use in this study is considered well established and relevant in a hemato-oncology setting. In addition, suitable steps have been built into each of these assessments to ensure their reliability and accuracy and to minimize any risks to patient safety. </w:t>
      </w:r>
      <w:r>
        <w:br w:type="page"/>
      </w:r>
    </w:p>
    <w:p w14:paraId="055E0393" w14:textId="77777777" w:rsidR="000B3C5C" w:rsidRDefault="00ED192D">
      <w:pPr>
        <w:pStyle w:val="Heading1"/>
        <w:tabs>
          <w:tab w:val="center" w:pos="1731"/>
        </w:tabs>
        <w:spacing w:after="419"/>
        <w:ind w:left="-13" w:firstLine="0"/>
      </w:pPr>
      <w:r>
        <w:t xml:space="preserve">4 </w:t>
      </w:r>
      <w:r>
        <w:tab/>
        <w:t xml:space="preserve">STUDY DESIGN  </w:t>
      </w:r>
    </w:p>
    <w:p w14:paraId="02BBCFB6" w14:textId="77777777" w:rsidR="000B3C5C" w:rsidRDefault="00ED192D">
      <w:pPr>
        <w:pStyle w:val="Heading2"/>
        <w:tabs>
          <w:tab w:val="center" w:pos="1657"/>
        </w:tabs>
        <w:spacing w:after="249"/>
        <w:ind w:left="-15" w:firstLine="0"/>
      </w:pPr>
      <w:r>
        <w:rPr>
          <w:rFonts w:ascii="Arial" w:eastAsia="Arial" w:hAnsi="Arial" w:cs="Arial"/>
          <w:sz w:val="22"/>
        </w:rPr>
        <w:t xml:space="preserve">4.1 </w:t>
      </w:r>
      <w:r>
        <w:rPr>
          <w:rFonts w:ascii="Arial" w:eastAsia="Arial" w:hAnsi="Arial" w:cs="Arial"/>
          <w:sz w:val="22"/>
        </w:rPr>
        <w:tab/>
        <w:t xml:space="preserve">OVERALL DESIGN  </w:t>
      </w:r>
    </w:p>
    <w:p w14:paraId="7A1C1A28" w14:textId="77777777" w:rsidR="000B3C5C" w:rsidRDefault="00ED192D">
      <w:pPr>
        <w:spacing w:after="334"/>
        <w:ind w:left="-3" w:right="14"/>
      </w:pPr>
      <w:r>
        <w:t xml:space="preserve">This is a Phase 1/2 open-label, non-randomized, multi-center, safety, preliminary efficacy, and PK </w:t>
      </w:r>
      <w:r>
        <w:t xml:space="preserve">study of isatuximab in combination with atezolizumab, or isatuximab alone in participants with advanced malignancies. The study will be conducted in 2 parts (see </w:t>
      </w:r>
      <w:r>
        <w:rPr>
          <w:color w:val="0000FF"/>
        </w:rPr>
        <w:t>Section</w:t>
      </w:r>
      <w:r>
        <w:t xml:space="preserve"> </w:t>
      </w:r>
      <w:r>
        <w:rPr>
          <w:color w:val="0000FF"/>
        </w:rPr>
        <w:t>1.2</w:t>
      </w:r>
      <w:r>
        <w:t xml:space="preserve"> for study design schema): </w:t>
      </w:r>
    </w:p>
    <w:p w14:paraId="232474B6" w14:textId="77777777" w:rsidR="000B3C5C" w:rsidRDefault="00ED192D">
      <w:pPr>
        <w:spacing w:after="249" w:line="249" w:lineRule="auto"/>
        <w:ind w:left="-5"/>
      </w:pPr>
      <w:r>
        <w:rPr>
          <w:rFonts w:ascii="Arial" w:eastAsia="Arial" w:hAnsi="Arial" w:cs="Arial"/>
          <w:b/>
          <w:sz w:val="22"/>
        </w:rPr>
        <w:t xml:space="preserve">4.1.1 Phase 1 (safety run-in):  </w:t>
      </w:r>
    </w:p>
    <w:p w14:paraId="489E1E0B" w14:textId="77777777" w:rsidR="000B3C5C" w:rsidRDefault="00ED192D">
      <w:pPr>
        <w:ind w:left="-3" w:right="14"/>
      </w:pPr>
      <w:r>
        <w:t xml:space="preserve">Participants with HCC, SCCHN, EOC, or GBM will be enrolled in Phase 1.  </w:t>
      </w:r>
    </w:p>
    <w:p w14:paraId="74F3611D" w14:textId="77777777" w:rsidR="000B3C5C" w:rsidRDefault="00ED192D">
      <w:pPr>
        <w:spacing w:line="249" w:lineRule="auto"/>
        <w:ind w:left="-5" w:right="51"/>
      </w:pPr>
      <w:r>
        <w:rPr>
          <w:b/>
        </w:rPr>
        <w:t xml:space="preserve">Starting dose and de-escalation design: </w:t>
      </w:r>
    </w:p>
    <w:p w14:paraId="37E17C90" w14:textId="77777777" w:rsidR="000B3C5C" w:rsidRDefault="00ED192D">
      <w:pPr>
        <w:spacing w:after="314"/>
        <w:ind w:left="-3" w:right="98"/>
      </w:pPr>
      <w:r>
        <w:t>Starting dose is 1200 mg once every 3 weeks (Q3W) for atezolizumab with isatuximab given 10 mg/kg once weekly (QW) for 3 weeks followed by Q3W (atezolizumab given first). The table below (</w:t>
      </w:r>
      <w:r>
        <w:rPr>
          <w:color w:val="0000FF"/>
        </w:rPr>
        <w:t>Table 2</w:t>
      </w:r>
      <w:r>
        <w:t xml:space="preserve">) details the dosing schedule modification for Phase 1. Based on safety, alternative dosing schedule may be considered. Overall safety monitoring will be performed throughout the conduct of the study. </w:t>
      </w:r>
    </w:p>
    <w:p w14:paraId="607470DC" w14:textId="77777777" w:rsidR="000B3C5C" w:rsidRDefault="00ED192D">
      <w:pPr>
        <w:spacing w:after="4" w:line="250" w:lineRule="auto"/>
        <w:ind w:left="15" w:right="5"/>
        <w:jc w:val="center"/>
      </w:pPr>
      <w:r>
        <w:rPr>
          <w:rFonts w:ascii="Arial" w:eastAsia="Arial" w:hAnsi="Arial" w:cs="Arial"/>
          <w:b/>
          <w:sz w:val="20"/>
        </w:rPr>
        <w:t xml:space="preserve">Table 2 - Dosing schedule modification for Phase 1  </w:t>
      </w:r>
    </w:p>
    <w:tbl>
      <w:tblPr>
        <w:tblStyle w:val="TableGrid"/>
        <w:tblW w:w="9686" w:type="dxa"/>
        <w:tblInd w:w="-108" w:type="dxa"/>
        <w:tblCellMar>
          <w:top w:w="82" w:type="dxa"/>
          <w:left w:w="0" w:type="dxa"/>
          <w:bottom w:w="0" w:type="dxa"/>
          <w:right w:w="115" w:type="dxa"/>
        </w:tblCellMar>
        <w:tblLook w:val="04A0" w:firstRow="1" w:lastRow="0" w:firstColumn="1" w:lastColumn="0" w:noHBand="0" w:noVBand="1"/>
      </w:tblPr>
      <w:tblGrid>
        <w:gridCol w:w="4244"/>
        <w:gridCol w:w="3178"/>
        <w:gridCol w:w="2264"/>
      </w:tblGrid>
      <w:tr w:rsidR="000B3C5C" w14:paraId="070C47A8" w14:textId="77777777">
        <w:trPr>
          <w:trHeight w:val="360"/>
        </w:trPr>
        <w:tc>
          <w:tcPr>
            <w:tcW w:w="4244" w:type="dxa"/>
            <w:tcBorders>
              <w:top w:val="single" w:sz="4" w:space="0" w:color="000000"/>
              <w:left w:val="nil"/>
              <w:bottom w:val="single" w:sz="4" w:space="0" w:color="000000"/>
              <w:right w:val="nil"/>
            </w:tcBorders>
          </w:tcPr>
          <w:p w14:paraId="6E1A8BE0" w14:textId="77777777" w:rsidR="000B3C5C" w:rsidRDefault="00ED192D">
            <w:pPr>
              <w:spacing w:after="0" w:line="259" w:lineRule="auto"/>
              <w:ind w:left="862" w:firstLine="0"/>
            </w:pPr>
            <w:r>
              <w:rPr>
                <w:rFonts w:ascii="Arial" w:eastAsia="Arial" w:hAnsi="Arial" w:cs="Arial"/>
                <w:b/>
                <w:sz w:val="20"/>
              </w:rPr>
              <w:t xml:space="preserve">Dose level (DL) </w:t>
            </w:r>
          </w:p>
        </w:tc>
        <w:tc>
          <w:tcPr>
            <w:tcW w:w="3178" w:type="dxa"/>
            <w:tcBorders>
              <w:top w:val="single" w:sz="4" w:space="0" w:color="000000"/>
              <w:left w:val="nil"/>
              <w:bottom w:val="single" w:sz="4" w:space="0" w:color="000000"/>
              <w:right w:val="nil"/>
            </w:tcBorders>
          </w:tcPr>
          <w:p w14:paraId="0B74F60E" w14:textId="77777777" w:rsidR="000B3C5C" w:rsidRDefault="00ED192D">
            <w:pPr>
              <w:spacing w:after="0" w:line="259" w:lineRule="auto"/>
              <w:ind w:left="43" w:firstLine="0"/>
            </w:pPr>
            <w:r>
              <w:rPr>
                <w:rFonts w:ascii="Arial" w:eastAsia="Arial" w:hAnsi="Arial" w:cs="Arial"/>
                <w:b/>
                <w:sz w:val="20"/>
              </w:rPr>
              <w:t xml:space="preserve">Isatuximab </w:t>
            </w:r>
          </w:p>
        </w:tc>
        <w:tc>
          <w:tcPr>
            <w:tcW w:w="2264" w:type="dxa"/>
            <w:tcBorders>
              <w:top w:val="single" w:sz="4" w:space="0" w:color="000000"/>
              <w:left w:val="nil"/>
              <w:bottom w:val="single" w:sz="4" w:space="0" w:color="000000"/>
              <w:right w:val="nil"/>
            </w:tcBorders>
          </w:tcPr>
          <w:p w14:paraId="21103D4C" w14:textId="77777777" w:rsidR="000B3C5C" w:rsidRDefault="00ED192D">
            <w:pPr>
              <w:spacing w:after="0" w:line="259" w:lineRule="auto"/>
              <w:ind w:left="0" w:firstLine="0"/>
            </w:pPr>
            <w:r>
              <w:rPr>
                <w:rFonts w:ascii="Arial" w:eastAsia="Arial" w:hAnsi="Arial" w:cs="Arial"/>
                <w:b/>
                <w:sz w:val="20"/>
              </w:rPr>
              <w:t xml:space="preserve">Atezolizumab </w:t>
            </w:r>
          </w:p>
        </w:tc>
      </w:tr>
      <w:tr w:rsidR="000B3C5C" w14:paraId="180FD6ED" w14:textId="77777777">
        <w:trPr>
          <w:trHeight w:val="664"/>
        </w:trPr>
        <w:tc>
          <w:tcPr>
            <w:tcW w:w="4244" w:type="dxa"/>
            <w:tcBorders>
              <w:top w:val="single" w:sz="4" w:space="0" w:color="000000"/>
              <w:left w:val="nil"/>
              <w:bottom w:val="nil"/>
              <w:right w:val="nil"/>
            </w:tcBorders>
          </w:tcPr>
          <w:p w14:paraId="7D25B099" w14:textId="77777777" w:rsidR="000B3C5C" w:rsidRDefault="00ED192D">
            <w:pPr>
              <w:spacing w:after="0" w:line="259" w:lineRule="auto"/>
              <w:ind w:left="1102" w:firstLine="0"/>
            </w:pPr>
            <w:r>
              <w:rPr>
                <w:rFonts w:ascii="Arial" w:eastAsia="Arial" w:hAnsi="Arial" w:cs="Arial"/>
                <w:sz w:val="20"/>
              </w:rPr>
              <w:t xml:space="preserve">Starting dose </w:t>
            </w:r>
          </w:p>
        </w:tc>
        <w:tc>
          <w:tcPr>
            <w:tcW w:w="3178" w:type="dxa"/>
            <w:tcBorders>
              <w:top w:val="single" w:sz="4" w:space="0" w:color="000000"/>
              <w:left w:val="nil"/>
              <w:bottom w:val="nil"/>
              <w:right w:val="nil"/>
            </w:tcBorders>
          </w:tcPr>
          <w:p w14:paraId="29F4E31B" w14:textId="77777777" w:rsidR="000B3C5C" w:rsidRDefault="00ED192D">
            <w:pPr>
              <w:spacing w:after="0" w:line="259" w:lineRule="auto"/>
              <w:ind w:left="0" w:right="1834" w:firstLine="228"/>
            </w:pPr>
            <w:r>
              <w:rPr>
                <w:rFonts w:ascii="Arial" w:eastAsia="Arial" w:hAnsi="Arial" w:cs="Arial"/>
                <w:sz w:val="20"/>
              </w:rPr>
              <w:t xml:space="preserve">10 mg/kg QW × 3 -&gt;Q3W </w:t>
            </w:r>
          </w:p>
        </w:tc>
        <w:tc>
          <w:tcPr>
            <w:tcW w:w="2264" w:type="dxa"/>
            <w:tcBorders>
              <w:top w:val="single" w:sz="4" w:space="0" w:color="000000"/>
              <w:left w:val="nil"/>
              <w:bottom w:val="nil"/>
              <w:right w:val="nil"/>
            </w:tcBorders>
          </w:tcPr>
          <w:p w14:paraId="32B95083" w14:textId="77777777" w:rsidR="000B3C5C" w:rsidRDefault="00ED192D">
            <w:pPr>
              <w:spacing w:after="41" w:line="259" w:lineRule="auto"/>
              <w:ind w:left="326" w:firstLine="0"/>
            </w:pPr>
            <w:r>
              <w:rPr>
                <w:rFonts w:ascii="Arial" w:eastAsia="Arial" w:hAnsi="Arial" w:cs="Arial"/>
                <w:sz w:val="20"/>
              </w:rPr>
              <w:t xml:space="preserve">1200 mg </w:t>
            </w:r>
          </w:p>
          <w:p w14:paraId="0A5272EE" w14:textId="77777777" w:rsidR="000B3C5C" w:rsidRDefault="00ED192D">
            <w:pPr>
              <w:spacing w:after="0" w:line="259" w:lineRule="auto"/>
              <w:ind w:left="458" w:firstLine="0"/>
            </w:pPr>
            <w:r>
              <w:rPr>
                <w:rFonts w:ascii="Arial" w:eastAsia="Arial" w:hAnsi="Arial" w:cs="Arial"/>
                <w:sz w:val="20"/>
              </w:rPr>
              <w:t xml:space="preserve">Q3W </w:t>
            </w:r>
          </w:p>
        </w:tc>
      </w:tr>
      <w:tr w:rsidR="000B3C5C" w14:paraId="1FB6AD94" w14:textId="77777777">
        <w:trPr>
          <w:trHeight w:val="632"/>
        </w:trPr>
        <w:tc>
          <w:tcPr>
            <w:tcW w:w="4244" w:type="dxa"/>
            <w:tcBorders>
              <w:top w:val="nil"/>
              <w:left w:val="nil"/>
              <w:bottom w:val="single" w:sz="12" w:space="0" w:color="000000"/>
              <w:right w:val="nil"/>
            </w:tcBorders>
          </w:tcPr>
          <w:p w14:paraId="32B4F9FF" w14:textId="77777777" w:rsidR="000B3C5C" w:rsidRDefault="00ED192D">
            <w:pPr>
              <w:spacing w:after="43" w:line="259" w:lineRule="auto"/>
              <w:ind w:left="1270" w:firstLine="0"/>
            </w:pPr>
            <w:r>
              <w:rPr>
                <w:rFonts w:ascii="Arial" w:eastAsia="Arial" w:hAnsi="Arial" w:cs="Arial"/>
                <w:sz w:val="20"/>
              </w:rPr>
              <w:t xml:space="preserve">Minus -1 </w:t>
            </w:r>
          </w:p>
          <w:p w14:paraId="63E77271" w14:textId="77777777" w:rsidR="000B3C5C" w:rsidRDefault="00ED192D">
            <w:pPr>
              <w:spacing w:after="0" w:line="259" w:lineRule="auto"/>
              <w:ind w:left="1351" w:firstLine="0"/>
            </w:pPr>
            <w:r>
              <w:rPr>
                <w:rFonts w:ascii="Arial" w:eastAsia="Arial" w:hAnsi="Arial" w:cs="Arial"/>
                <w:sz w:val="20"/>
              </w:rPr>
              <w:t xml:space="preserve">(DL-1) </w:t>
            </w:r>
          </w:p>
        </w:tc>
        <w:tc>
          <w:tcPr>
            <w:tcW w:w="3178" w:type="dxa"/>
            <w:tcBorders>
              <w:top w:val="nil"/>
              <w:left w:val="nil"/>
              <w:bottom w:val="single" w:sz="12" w:space="0" w:color="000000"/>
              <w:right w:val="nil"/>
            </w:tcBorders>
          </w:tcPr>
          <w:p w14:paraId="411E4BD7" w14:textId="77777777" w:rsidR="000B3C5C" w:rsidRDefault="00ED192D">
            <w:pPr>
              <w:spacing w:after="0" w:line="259" w:lineRule="auto"/>
              <w:ind w:left="0" w:right="1880" w:firstLine="274"/>
            </w:pPr>
            <w:r>
              <w:rPr>
                <w:rFonts w:ascii="Arial" w:eastAsia="Arial" w:hAnsi="Arial" w:cs="Arial"/>
                <w:sz w:val="20"/>
              </w:rPr>
              <w:t xml:space="preserve">5 mg/kg QW × 3 -&gt;Q3W </w:t>
            </w:r>
          </w:p>
        </w:tc>
        <w:tc>
          <w:tcPr>
            <w:tcW w:w="2264" w:type="dxa"/>
            <w:tcBorders>
              <w:top w:val="nil"/>
              <w:left w:val="nil"/>
              <w:bottom w:val="single" w:sz="12" w:space="0" w:color="000000"/>
              <w:right w:val="nil"/>
            </w:tcBorders>
          </w:tcPr>
          <w:p w14:paraId="42505B6F" w14:textId="77777777" w:rsidR="000B3C5C" w:rsidRDefault="00ED192D">
            <w:pPr>
              <w:spacing w:after="43" w:line="259" w:lineRule="auto"/>
              <w:ind w:left="326" w:firstLine="0"/>
            </w:pPr>
            <w:r>
              <w:rPr>
                <w:rFonts w:ascii="Arial" w:eastAsia="Arial" w:hAnsi="Arial" w:cs="Arial"/>
                <w:sz w:val="20"/>
              </w:rPr>
              <w:t xml:space="preserve">1200 mg </w:t>
            </w:r>
          </w:p>
          <w:p w14:paraId="1FD0937C" w14:textId="77777777" w:rsidR="000B3C5C" w:rsidRDefault="00ED192D">
            <w:pPr>
              <w:spacing w:after="0" w:line="259" w:lineRule="auto"/>
              <w:ind w:left="458" w:firstLine="0"/>
            </w:pPr>
            <w:r>
              <w:rPr>
                <w:rFonts w:ascii="Arial" w:eastAsia="Arial" w:hAnsi="Arial" w:cs="Arial"/>
                <w:sz w:val="20"/>
              </w:rPr>
              <w:t xml:space="preserve">Q3W </w:t>
            </w:r>
          </w:p>
        </w:tc>
      </w:tr>
    </w:tbl>
    <w:p w14:paraId="3E2DBCB7" w14:textId="77777777" w:rsidR="000B3C5C" w:rsidRDefault="00ED192D">
      <w:pPr>
        <w:spacing w:after="306"/>
        <w:ind w:left="-5" w:right="2"/>
      </w:pPr>
      <w:r>
        <w:rPr>
          <w:rFonts w:ascii="Arial" w:eastAsia="Arial" w:hAnsi="Arial" w:cs="Arial"/>
          <w:sz w:val="18"/>
        </w:rPr>
        <w:t xml:space="preserve">Abbreviations: </w:t>
      </w:r>
      <w:r>
        <w:rPr>
          <w:rFonts w:ascii="Arial" w:eastAsia="Arial" w:hAnsi="Arial" w:cs="Arial"/>
          <w:sz w:val="18"/>
        </w:rPr>
        <w:t xml:space="preserve">DL: Dose level; QW: once weekly, Q3W: once every 3 weeks. </w:t>
      </w:r>
    </w:p>
    <w:p w14:paraId="7BAD89ED" w14:textId="77777777" w:rsidR="000B3C5C" w:rsidRDefault="00ED192D">
      <w:pPr>
        <w:ind w:left="-3" w:right="14"/>
      </w:pPr>
      <w:r>
        <w:t xml:space="preserve">The DLT observation period is 1 cycle (21 days). </w:t>
      </w:r>
    </w:p>
    <w:p w14:paraId="4B9133F2" w14:textId="77777777" w:rsidR="000B3C5C" w:rsidRDefault="00ED192D">
      <w:pPr>
        <w:spacing w:after="75"/>
        <w:ind w:left="-3" w:right="14"/>
      </w:pPr>
      <w:r>
        <w:t>At starting dose, up to approximately 8 patients will be treated and decision will be based on the</w:t>
      </w:r>
      <w:r>
        <w:rPr>
          <w:i/>
        </w:rPr>
        <w:t xml:space="preserve"> </w:t>
      </w:r>
      <w:r>
        <w:t xml:space="preserve">DLTs assessed in the first 6 DLT-evaluable participants (1 cycle, 21 days): </w:t>
      </w:r>
    </w:p>
    <w:p w14:paraId="1C82A581" w14:textId="77777777" w:rsidR="000B3C5C" w:rsidRDefault="00ED192D">
      <w:pPr>
        <w:numPr>
          <w:ilvl w:val="0"/>
          <w:numId w:val="21"/>
        </w:numPr>
        <w:spacing w:after="29"/>
        <w:ind w:right="14" w:hanging="358"/>
      </w:pPr>
      <w:r>
        <w:t xml:space="preserve">If ≤1/6 participant has DLT, the starting dose will be the RP2D. </w:t>
      </w:r>
    </w:p>
    <w:p w14:paraId="5B14107E" w14:textId="77777777" w:rsidR="000B3C5C" w:rsidRDefault="00ED192D">
      <w:pPr>
        <w:numPr>
          <w:ilvl w:val="0"/>
          <w:numId w:val="21"/>
        </w:numPr>
        <w:spacing w:after="57"/>
        <w:ind w:right="14" w:hanging="358"/>
      </w:pPr>
      <w:r>
        <w:t xml:space="preserve">If 2/6 participants have DLT, 6 additional participants will be enrolled at starting dose level: </w:t>
      </w:r>
    </w:p>
    <w:p w14:paraId="2BC98851" w14:textId="77777777" w:rsidR="000B3C5C" w:rsidRDefault="00ED192D">
      <w:pPr>
        <w:numPr>
          <w:ilvl w:val="1"/>
          <w:numId w:val="21"/>
        </w:numPr>
        <w:spacing w:after="59"/>
        <w:ind w:right="14" w:hanging="362"/>
      </w:pPr>
      <w:r>
        <w:t xml:space="preserve">If a total of 2/12 participants treated at starting dose have DLT, starting dose will be the RP2D, </w:t>
      </w:r>
    </w:p>
    <w:p w14:paraId="6D7F5D65" w14:textId="77777777" w:rsidR="000B3C5C" w:rsidRDefault="00ED192D">
      <w:pPr>
        <w:numPr>
          <w:ilvl w:val="1"/>
          <w:numId w:val="21"/>
        </w:numPr>
        <w:spacing w:after="134"/>
        <w:ind w:right="14" w:hanging="362"/>
      </w:pPr>
      <w:r>
        <w:t xml:space="preserve">If a total of ≥3/12 participants have DLT, dose will be de-escalated to dose level minus 1 (DL-1). </w:t>
      </w:r>
    </w:p>
    <w:p w14:paraId="4A2EE0F4" w14:textId="77777777" w:rsidR="000B3C5C" w:rsidRDefault="00ED192D">
      <w:pPr>
        <w:numPr>
          <w:ilvl w:val="0"/>
          <w:numId w:val="21"/>
        </w:numPr>
        <w:ind w:right="14" w:hanging="358"/>
      </w:pPr>
      <w:r>
        <w:t xml:space="preserve">If ≥3/6 participants have DLT, dose will be de-escalated to DL-1. </w:t>
      </w:r>
    </w:p>
    <w:p w14:paraId="0378D4D3" w14:textId="77777777" w:rsidR="000B3C5C" w:rsidRDefault="00ED192D">
      <w:pPr>
        <w:spacing w:after="131"/>
        <w:ind w:left="-3" w:right="14"/>
      </w:pPr>
      <w:r>
        <w:t xml:space="preserve">An additional 6 participants may be enrolled at DL-1: </w:t>
      </w:r>
    </w:p>
    <w:p w14:paraId="4D895082" w14:textId="77777777" w:rsidR="000B3C5C" w:rsidRDefault="00ED192D">
      <w:pPr>
        <w:numPr>
          <w:ilvl w:val="0"/>
          <w:numId w:val="21"/>
        </w:numPr>
        <w:spacing w:after="88"/>
        <w:ind w:right="14" w:hanging="358"/>
      </w:pPr>
      <w:r>
        <w:t xml:space="preserve">If ≤1/6 participant has DLT, DL-1 will be the RP2D. </w:t>
      </w:r>
    </w:p>
    <w:p w14:paraId="27E26B5D" w14:textId="77777777" w:rsidR="000B3C5C" w:rsidRDefault="00ED192D">
      <w:pPr>
        <w:numPr>
          <w:ilvl w:val="0"/>
          <w:numId w:val="21"/>
        </w:numPr>
        <w:spacing w:after="92"/>
        <w:ind w:right="14" w:hanging="358"/>
      </w:pPr>
      <w:r>
        <w:t xml:space="preserve">If 2/6 participants have DLT, 6 additional participants will be enrolled at DL-1: </w:t>
      </w:r>
    </w:p>
    <w:p w14:paraId="343D83FC" w14:textId="77777777" w:rsidR="000B3C5C" w:rsidRDefault="00ED192D">
      <w:pPr>
        <w:numPr>
          <w:ilvl w:val="1"/>
          <w:numId w:val="21"/>
        </w:numPr>
        <w:spacing w:after="138"/>
        <w:ind w:right="14" w:hanging="362"/>
      </w:pPr>
      <w:r>
        <w:t xml:space="preserve">If a total of 2/12 participants treated at starting dose have DLT, DL-1 will be the RP2D, </w:t>
      </w:r>
    </w:p>
    <w:p w14:paraId="36FD330A" w14:textId="77777777" w:rsidR="000B3C5C" w:rsidRDefault="00ED192D">
      <w:pPr>
        <w:numPr>
          <w:ilvl w:val="1"/>
          <w:numId w:val="21"/>
        </w:numPr>
        <w:ind w:right="14" w:hanging="362"/>
      </w:pPr>
      <w:r>
        <w:t xml:space="preserve">If a total of ≥3/6 or ≥3/12 participants have DLT, an alternative dose/schedule might be considered from a safety viewpoint by the Sponsor. </w:t>
      </w:r>
    </w:p>
    <w:p w14:paraId="2A9BCDF7" w14:textId="77777777" w:rsidR="000B3C5C" w:rsidRDefault="00ED192D">
      <w:pPr>
        <w:ind w:left="-3" w:right="14"/>
      </w:pPr>
      <w:r>
        <w:t xml:space="preserve">Investigational medical product initiation in each patient treated in Phase 1 is to be staggered by at least 3 days.  </w:t>
      </w:r>
    </w:p>
    <w:p w14:paraId="36395393" w14:textId="77777777" w:rsidR="000B3C5C" w:rsidRDefault="00ED192D">
      <w:pPr>
        <w:spacing w:after="216" w:line="259" w:lineRule="auto"/>
        <w:ind w:left="-5"/>
      </w:pPr>
      <w:r>
        <w:rPr>
          <w:b/>
          <w:u w:val="single" w:color="000000"/>
        </w:rPr>
        <w:t>Dose limiting toxicity</w:t>
      </w:r>
      <w:r>
        <w:t xml:space="preserve">: </w:t>
      </w:r>
    </w:p>
    <w:p w14:paraId="5047F5E2" w14:textId="77777777" w:rsidR="000B3C5C" w:rsidRDefault="00ED192D">
      <w:pPr>
        <w:ind w:left="-3" w:right="14"/>
      </w:pPr>
      <w:r>
        <w:t xml:space="preserve">Any AEs specified below occurring during the first cycle of treatment, unless due to disease progression or an obviously unrelated cause will be considered a DLT, if confirmed by the Study Committee. The duration of the DLT observation period will be longer for participants who delay initiation of Cycle 2 due to treatment-related AE for which the duration must be assessed in order to determine if the event is a DLT. The NCI-CTCAE version 4.03 will be used to assess the severity of AEs. </w:t>
      </w:r>
    </w:p>
    <w:p w14:paraId="73B0C3E1" w14:textId="77777777" w:rsidR="000B3C5C" w:rsidRDefault="00ED192D">
      <w:pPr>
        <w:spacing w:after="131"/>
        <w:ind w:left="-3" w:right="14"/>
      </w:pPr>
      <w:r>
        <w:rPr>
          <w:b/>
        </w:rPr>
        <w:t>Hematological abnormalities</w:t>
      </w:r>
      <w:r>
        <w:t xml:space="preserve"> are defined as any of the following: </w:t>
      </w:r>
    </w:p>
    <w:p w14:paraId="5F577457" w14:textId="77777777" w:rsidR="000B3C5C" w:rsidRDefault="00ED192D">
      <w:pPr>
        <w:numPr>
          <w:ilvl w:val="0"/>
          <w:numId w:val="21"/>
        </w:numPr>
        <w:spacing w:after="88"/>
        <w:ind w:right="14" w:hanging="358"/>
      </w:pPr>
      <w:r>
        <w:t xml:space="preserve">Grade 4 neutropenia for 7 or more consecutive days. </w:t>
      </w:r>
    </w:p>
    <w:p w14:paraId="39171322" w14:textId="77777777" w:rsidR="000B3C5C" w:rsidRDefault="00ED192D">
      <w:pPr>
        <w:numPr>
          <w:ilvl w:val="0"/>
          <w:numId w:val="21"/>
        </w:numPr>
        <w:spacing w:after="135"/>
        <w:ind w:right="14" w:hanging="358"/>
      </w:pPr>
      <w:r>
        <w:t xml:space="preserve">Grade 3 to 4 neutropenia complicated by fever (temperature ≥38.5°C on more than 1 occasion) or microbiologically or radiographically documented infection. </w:t>
      </w:r>
    </w:p>
    <w:p w14:paraId="4545DDE9" w14:textId="77777777" w:rsidR="000B3C5C" w:rsidRDefault="00ED192D">
      <w:pPr>
        <w:numPr>
          <w:ilvl w:val="0"/>
          <w:numId w:val="21"/>
        </w:numPr>
        <w:ind w:right="14" w:hanging="358"/>
      </w:pPr>
      <w:r>
        <w:t xml:space="preserve">Grade 3 thrombocytopenia associated with clinically significant bleeding requiring clinical intervention, or Grade 4 thrombocytopenia. </w:t>
      </w:r>
    </w:p>
    <w:p w14:paraId="245F1654" w14:textId="77777777" w:rsidR="000B3C5C" w:rsidRDefault="00ED192D">
      <w:pPr>
        <w:pStyle w:val="Heading2"/>
        <w:spacing w:after="131"/>
        <w:ind w:left="-5" w:right="51"/>
      </w:pPr>
      <w:r>
        <w:t xml:space="preserve">Non-hematological abnormalities </w:t>
      </w:r>
    </w:p>
    <w:p w14:paraId="6EE85075" w14:textId="77777777" w:rsidR="000B3C5C" w:rsidRDefault="00ED192D">
      <w:pPr>
        <w:numPr>
          <w:ilvl w:val="0"/>
          <w:numId w:val="22"/>
        </w:numPr>
        <w:spacing w:after="92"/>
        <w:ind w:right="14" w:hanging="358"/>
      </w:pPr>
      <w:r>
        <w:t xml:space="preserve">Findings consistent with a Hy’s law case, consisting of all the following 3 components: </w:t>
      </w:r>
    </w:p>
    <w:p w14:paraId="61637E54" w14:textId="77777777" w:rsidR="000B3C5C" w:rsidRDefault="00ED192D">
      <w:pPr>
        <w:numPr>
          <w:ilvl w:val="1"/>
          <w:numId w:val="22"/>
        </w:numPr>
        <w:spacing w:after="139"/>
        <w:ind w:right="14" w:hanging="362"/>
      </w:pPr>
      <w:r>
        <w:t xml:space="preserve">Grade ≥2 AST or ALT elevation simultaneous with Grade ≥2 total bilirubin elevation without initial findings of cholestasis (such as elevated serum alkaline phosphatase [ALP]), </w:t>
      </w:r>
    </w:p>
    <w:p w14:paraId="40F25706" w14:textId="77777777" w:rsidR="000B3C5C" w:rsidRDefault="00ED192D">
      <w:pPr>
        <w:numPr>
          <w:ilvl w:val="1"/>
          <w:numId w:val="22"/>
        </w:numPr>
        <w:spacing w:after="135"/>
        <w:ind w:right="14" w:hanging="362"/>
      </w:pPr>
      <w:r>
        <w:t xml:space="preserve">No other reason can be found to explain the combination of increased AST or ALT and bilirubin, such as viral hepatitis A, B, or C, pre-existing or acute liver disease (such as HCC or liver metastasis), or in absence of another drug capable of causing the observed injury. </w:t>
      </w:r>
    </w:p>
    <w:p w14:paraId="2C015A59" w14:textId="77777777" w:rsidR="000B3C5C" w:rsidRDefault="00ED192D">
      <w:pPr>
        <w:numPr>
          <w:ilvl w:val="0"/>
          <w:numId w:val="22"/>
        </w:numPr>
        <w:spacing w:after="92"/>
        <w:ind w:right="14" w:hanging="358"/>
      </w:pPr>
      <w:r>
        <w:t xml:space="preserve">Grade 4 non-hematologic AE, </w:t>
      </w:r>
      <w:r>
        <w:rPr>
          <w:b/>
        </w:rPr>
        <w:t>except:</w:t>
      </w:r>
      <w:r>
        <w:t xml:space="preserve"> </w:t>
      </w:r>
    </w:p>
    <w:p w14:paraId="4AF3C1A7" w14:textId="77777777" w:rsidR="000B3C5C" w:rsidRDefault="00ED192D">
      <w:pPr>
        <w:numPr>
          <w:ilvl w:val="1"/>
          <w:numId w:val="22"/>
        </w:numPr>
        <w:ind w:right="14" w:hanging="362"/>
      </w:pPr>
      <w:r>
        <w:t xml:space="preserve">Either Grade 4 AST, Grade 4 ALT, or bilirubin elevation Grade 4 that improve to Grade ≤2 within 3 weeks of onset for participants with SCCHN, EOC, or GBM without liver metastasis, </w:t>
      </w:r>
    </w:p>
    <w:p w14:paraId="0458FBCA" w14:textId="77777777" w:rsidR="000B3C5C" w:rsidRDefault="00ED192D">
      <w:pPr>
        <w:numPr>
          <w:ilvl w:val="1"/>
          <w:numId w:val="22"/>
        </w:numPr>
        <w:spacing w:after="139"/>
        <w:ind w:right="14" w:hanging="362"/>
      </w:pPr>
      <w:r>
        <w:t xml:space="preserve">Either Grade 4 AST, Grade 4 ALT, or bilirubin elevation Grade 4 that improve to Grade ≤3 within 3 weeks of onset for participants with liver metastasis or HCC with abnormal baseline value (ie, Grade 1 or 2), </w:t>
      </w:r>
    </w:p>
    <w:p w14:paraId="64C018DF" w14:textId="77777777" w:rsidR="000B3C5C" w:rsidRDefault="00ED192D">
      <w:pPr>
        <w:numPr>
          <w:ilvl w:val="1"/>
          <w:numId w:val="22"/>
        </w:numPr>
        <w:spacing w:after="134"/>
        <w:ind w:right="14" w:hanging="362"/>
      </w:pPr>
      <w:r>
        <w:t xml:space="preserve">Grade 4 laboratory abnormality that is resolve within 3 days with or without therapeutic intervention. </w:t>
      </w:r>
    </w:p>
    <w:p w14:paraId="38870E76" w14:textId="77777777" w:rsidR="000B3C5C" w:rsidRDefault="00ED192D">
      <w:pPr>
        <w:numPr>
          <w:ilvl w:val="0"/>
          <w:numId w:val="22"/>
        </w:numPr>
        <w:spacing w:after="88"/>
        <w:ind w:right="14" w:hanging="358"/>
      </w:pPr>
      <w:r>
        <w:t xml:space="preserve">Grade 3 to 4 cytokine release syndrome. </w:t>
      </w:r>
    </w:p>
    <w:p w14:paraId="30428A7A" w14:textId="77777777" w:rsidR="000B3C5C" w:rsidRDefault="00ED192D">
      <w:pPr>
        <w:numPr>
          <w:ilvl w:val="0"/>
          <w:numId w:val="22"/>
        </w:numPr>
        <w:spacing w:after="32"/>
        <w:ind w:right="14" w:hanging="358"/>
      </w:pPr>
      <w:r>
        <w:t xml:space="preserve">Grade 3 non-hematological AE lasting &gt;3 days with optimal supportive care, </w:t>
      </w:r>
      <w:r>
        <w:rPr>
          <w:b/>
        </w:rPr>
        <w:t>except</w:t>
      </w:r>
      <w:r>
        <w:t xml:space="preserve">: </w:t>
      </w:r>
    </w:p>
    <w:p w14:paraId="03C73A59" w14:textId="77777777" w:rsidR="000B3C5C" w:rsidRDefault="00ED192D">
      <w:pPr>
        <w:numPr>
          <w:ilvl w:val="1"/>
          <w:numId w:val="22"/>
        </w:numPr>
        <w:spacing w:after="82"/>
        <w:ind w:right="14" w:hanging="362"/>
      </w:pPr>
      <w:r>
        <w:t xml:space="preserve">Grade 3 fatigue, </w:t>
      </w:r>
    </w:p>
    <w:p w14:paraId="0D161B83" w14:textId="77777777" w:rsidR="000B3C5C" w:rsidRDefault="00ED192D">
      <w:pPr>
        <w:numPr>
          <w:ilvl w:val="1"/>
          <w:numId w:val="22"/>
        </w:numPr>
        <w:spacing w:after="82"/>
        <w:ind w:right="14" w:hanging="362"/>
      </w:pPr>
      <w:r>
        <w:t xml:space="preserve">Allergic reaction/hypersensitivity attributed to isatuximab or atezolizumab, </w:t>
      </w:r>
    </w:p>
    <w:p w14:paraId="242A2664" w14:textId="77777777" w:rsidR="000B3C5C" w:rsidRDefault="00ED192D">
      <w:pPr>
        <w:numPr>
          <w:ilvl w:val="1"/>
          <w:numId w:val="22"/>
        </w:numPr>
        <w:spacing w:after="83"/>
        <w:ind w:right="14" w:hanging="362"/>
      </w:pPr>
      <w:r>
        <w:t xml:space="preserve">Grade 3 </w:t>
      </w:r>
      <w:r>
        <w:t xml:space="preserve">laboratory abnormality that is asymptomatic, </w:t>
      </w:r>
    </w:p>
    <w:p w14:paraId="000F8DD8" w14:textId="77777777" w:rsidR="000B3C5C" w:rsidRDefault="00ED192D">
      <w:pPr>
        <w:numPr>
          <w:ilvl w:val="1"/>
          <w:numId w:val="22"/>
        </w:numPr>
        <w:spacing w:after="57"/>
        <w:ind w:right="14" w:hanging="362"/>
      </w:pPr>
      <w:r>
        <w:t xml:space="preserve">Either Grade 3 AST, Grade 3 ALT, or bilirubin elevation Grade 3, for participants with liver metastasis or HCC with abnormal baseline value (ie, Grade 1 or 2), </w:t>
      </w:r>
    </w:p>
    <w:p w14:paraId="6FC13DD4" w14:textId="77777777" w:rsidR="000B3C5C" w:rsidRDefault="00ED192D">
      <w:pPr>
        <w:numPr>
          <w:ilvl w:val="1"/>
          <w:numId w:val="22"/>
        </w:numPr>
        <w:spacing w:after="79"/>
        <w:ind w:right="14" w:hanging="362"/>
      </w:pPr>
      <w:r>
        <w:t xml:space="preserve">Grade 3 nausea, vomiting, or diarrhea if well controlled by systemic medication within 7 days, </w:t>
      </w:r>
    </w:p>
    <w:p w14:paraId="636DEE38" w14:textId="77777777" w:rsidR="000B3C5C" w:rsidRDefault="00ED192D">
      <w:pPr>
        <w:numPr>
          <w:ilvl w:val="1"/>
          <w:numId w:val="22"/>
        </w:numPr>
        <w:spacing w:after="82"/>
        <w:ind w:right="14" w:hanging="362"/>
      </w:pPr>
      <w:r>
        <w:t xml:space="preserve">Grade 3 immune-related AE that improves to Grade ≤1 within 3 weeks of onset, </w:t>
      </w:r>
    </w:p>
    <w:p w14:paraId="0B58B9BB" w14:textId="77777777" w:rsidR="000B3C5C" w:rsidRDefault="00ED192D">
      <w:pPr>
        <w:numPr>
          <w:ilvl w:val="1"/>
          <w:numId w:val="22"/>
        </w:numPr>
        <w:spacing w:after="78"/>
        <w:ind w:right="14" w:hanging="362"/>
      </w:pPr>
      <w:r>
        <w:t xml:space="preserve">Grade 3 arthralgia that can be adequately managed with supportive care or that improves to Grade ≤2 within 7 days, </w:t>
      </w:r>
    </w:p>
    <w:p w14:paraId="65D9F72D" w14:textId="77777777" w:rsidR="000B3C5C" w:rsidRDefault="00ED192D">
      <w:pPr>
        <w:numPr>
          <w:ilvl w:val="1"/>
          <w:numId w:val="22"/>
        </w:numPr>
        <w:spacing w:after="79"/>
        <w:ind w:right="14" w:hanging="362"/>
      </w:pPr>
      <w:r>
        <w:t xml:space="preserve">Grade 3 elevation of serum creatinine that is not accompanied by elevations in blood urea nitrogen (BUN) or other signs of renal injury or that can be attributed to other etiologies such as disease-related obstructions, </w:t>
      </w:r>
    </w:p>
    <w:p w14:paraId="75EC54AF" w14:textId="77777777" w:rsidR="000B3C5C" w:rsidRDefault="00ED192D">
      <w:pPr>
        <w:numPr>
          <w:ilvl w:val="1"/>
          <w:numId w:val="22"/>
        </w:numPr>
        <w:spacing w:after="79"/>
        <w:ind w:right="14" w:hanging="362"/>
      </w:pPr>
      <w:r>
        <w:t xml:space="preserve">Grade 3 autoimmune thyroiditis or other endocrine abnormality that can be managed by endocrine therapy or hormone replacement, </w:t>
      </w:r>
    </w:p>
    <w:p w14:paraId="0679A787" w14:textId="77777777" w:rsidR="000B3C5C" w:rsidRDefault="00ED192D">
      <w:pPr>
        <w:numPr>
          <w:ilvl w:val="1"/>
          <w:numId w:val="22"/>
        </w:numPr>
        <w:spacing w:after="61"/>
        <w:ind w:right="14" w:hanging="362"/>
      </w:pPr>
      <w:r>
        <w:t xml:space="preserve">Grade 3 infusion reaction, </w:t>
      </w:r>
    </w:p>
    <w:p w14:paraId="041C9361" w14:textId="77777777" w:rsidR="000B3C5C" w:rsidRDefault="00ED192D">
      <w:pPr>
        <w:numPr>
          <w:ilvl w:val="1"/>
          <w:numId w:val="22"/>
        </w:numPr>
        <w:spacing w:after="135"/>
        <w:ind w:right="14" w:hanging="362"/>
      </w:pPr>
      <w:r>
        <w:t xml:space="preserve">Grade 3 skin rash that improves to Grade ≤1 within 7 days with appropriate supportive care. </w:t>
      </w:r>
    </w:p>
    <w:p w14:paraId="574E9F98" w14:textId="77777777" w:rsidR="000B3C5C" w:rsidRDefault="00ED192D">
      <w:pPr>
        <w:numPr>
          <w:ilvl w:val="0"/>
          <w:numId w:val="22"/>
        </w:numPr>
        <w:spacing w:after="135"/>
        <w:ind w:right="14" w:hanging="358"/>
      </w:pPr>
      <w:r>
        <w:t xml:space="preserve">Delay in initiation of Cycle 2 more than 14 days due to treatment-related laboratory abnormalities/AE. </w:t>
      </w:r>
    </w:p>
    <w:p w14:paraId="7E4D5C43" w14:textId="77777777" w:rsidR="000B3C5C" w:rsidRDefault="00ED192D">
      <w:pPr>
        <w:numPr>
          <w:ilvl w:val="0"/>
          <w:numId w:val="22"/>
        </w:numPr>
        <w:spacing w:after="110"/>
        <w:ind w:right="14" w:hanging="358"/>
      </w:pPr>
      <w:r>
        <w:t xml:space="preserve">In addition, any other AE that the Study Committee deems to be dose limiting, regardless of its grade, may also be considered as DLT. </w:t>
      </w:r>
    </w:p>
    <w:p w14:paraId="78D97291" w14:textId="77777777" w:rsidR="000B3C5C" w:rsidRDefault="00ED192D">
      <w:pPr>
        <w:spacing w:after="185" w:line="249" w:lineRule="auto"/>
        <w:ind w:left="-5" w:right="51"/>
      </w:pPr>
      <w:r>
        <w:rPr>
          <w:b/>
        </w:rPr>
        <w:t xml:space="preserve">Maximum tolerated dose and Recommended Phase 2 dose:  </w:t>
      </w:r>
    </w:p>
    <w:p w14:paraId="490D2B06" w14:textId="77777777" w:rsidR="000B3C5C" w:rsidRDefault="00ED192D">
      <w:pPr>
        <w:spacing w:after="189"/>
        <w:ind w:left="-3" w:right="14"/>
      </w:pPr>
      <w:r>
        <w:t xml:space="preserve">Any DLT observed during Cycle 1, and also overall safety including all the AEs occurring during treatment, unless due to disease progression or an obviously unrelated cause, will be taken into consideration by a Study Committee for the determination of the MTD and RP2D for the isatuximab and atezolizumab combination. </w:t>
      </w:r>
    </w:p>
    <w:p w14:paraId="193852E2" w14:textId="77777777" w:rsidR="000B3C5C" w:rsidRDefault="00ED192D">
      <w:pPr>
        <w:spacing w:after="11"/>
        <w:ind w:left="-3" w:right="14"/>
      </w:pPr>
      <w:r>
        <w:t xml:space="preserve">The MTD is defined as the highest dose level at which no more than 1 out of 6 participants </w:t>
      </w:r>
    </w:p>
    <w:p w14:paraId="20D06971" w14:textId="77777777" w:rsidR="000B3C5C" w:rsidRDefault="00ED192D">
      <w:pPr>
        <w:spacing w:after="189"/>
        <w:ind w:left="-3" w:right="14"/>
      </w:pPr>
      <w:r>
        <w:t xml:space="preserve">(starting dose or DL-1) or 2 out of 12 participants (starting dose) experience an IMP related DLT. The RP2D is defined as the dose selected for the Phase 2 portion.  </w:t>
      </w:r>
    </w:p>
    <w:p w14:paraId="7669D682" w14:textId="77777777" w:rsidR="000B3C5C" w:rsidRDefault="00ED192D">
      <w:pPr>
        <w:spacing w:after="11"/>
        <w:ind w:left="-3" w:right="14"/>
      </w:pPr>
      <w:r>
        <w:t xml:space="preserve">Following the identification of the RP2D, Phase 2 will be initiated. </w:t>
      </w:r>
    </w:p>
    <w:p w14:paraId="55573DD9" w14:textId="77777777" w:rsidR="000B3C5C" w:rsidRDefault="00ED192D">
      <w:pPr>
        <w:spacing w:after="249" w:line="249" w:lineRule="auto"/>
        <w:ind w:left="-5"/>
      </w:pPr>
      <w:r>
        <w:rPr>
          <w:rFonts w:ascii="Arial" w:eastAsia="Arial" w:hAnsi="Arial" w:cs="Arial"/>
          <w:b/>
          <w:sz w:val="22"/>
        </w:rPr>
        <w:t xml:space="preserve">4.1.2 Phase 2 (efficacy signal search with a 2-stage design in each cohort):  </w:t>
      </w:r>
    </w:p>
    <w:p w14:paraId="0EEC9B02" w14:textId="77777777" w:rsidR="000B3C5C" w:rsidRDefault="00ED192D">
      <w:pPr>
        <w:spacing w:after="135"/>
        <w:ind w:left="-3" w:right="14"/>
      </w:pPr>
      <w:r>
        <w:t xml:space="preserve">Phase 2 may include up to 9 cohorts: Cohorts A, B, C, and D-1 will be initiated in parallel, while other cohorts of the same tumor type will be open depending on results observed at the end of Stage 2 of the corresponding initial tumor type cohort. </w:t>
      </w:r>
    </w:p>
    <w:p w14:paraId="260341CB" w14:textId="77777777" w:rsidR="000B3C5C" w:rsidRDefault="00ED192D">
      <w:pPr>
        <w:numPr>
          <w:ilvl w:val="0"/>
          <w:numId w:val="22"/>
        </w:numPr>
        <w:spacing w:after="91"/>
        <w:ind w:right="14" w:hanging="358"/>
      </w:pPr>
      <w:r>
        <w:rPr>
          <w:b/>
        </w:rPr>
        <w:t>Cohort A</w:t>
      </w:r>
      <w:r>
        <w:t xml:space="preserve">: HCC, isatuximab and atezolizumab combination. </w:t>
      </w:r>
    </w:p>
    <w:p w14:paraId="65FFC6B6" w14:textId="77777777" w:rsidR="000B3C5C" w:rsidRDefault="00ED192D">
      <w:pPr>
        <w:numPr>
          <w:ilvl w:val="0"/>
          <w:numId w:val="22"/>
        </w:numPr>
        <w:spacing w:after="89"/>
        <w:ind w:right="14" w:hanging="358"/>
      </w:pPr>
      <w:r>
        <w:rPr>
          <w:b/>
        </w:rPr>
        <w:t>Cohort B</w:t>
      </w:r>
      <w:r>
        <w:t xml:space="preserve">: SCCHN, isatuximab and atezolizumab combination. </w:t>
      </w:r>
    </w:p>
    <w:p w14:paraId="20771647" w14:textId="77777777" w:rsidR="000B3C5C" w:rsidRDefault="00ED192D">
      <w:pPr>
        <w:numPr>
          <w:ilvl w:val="0"/>
          <w:numId w:val="22"/>
        </w:numPr>
        <w:spacing w:after="89"/>
        <w:ind w:right="14" w:hanging="358"/>
      </w:pPr>
      <w:r>
        <w:rPr>
          <w:b/>
        </w:rPr>
        <w:t>Cohort C</w:t>
      </w:r>
      <w:r>
        <w:t xml:space="preserve">: EOC, isatuximab and atezolizumab combination. </w:t>
      </w:r>
    </w:p>
    <w:p w14:paraId="139E5353" w14:textId="77777777" w:rsidR="000B3C5C" w:rsidRDefault="00ED192D">
      <w:pPr>
        <w:numPr>
          <w:ilvl w:val="0"/>
          <w:numId w:val="22"/>
        </w:numPr>
        <w:spacing w:after="88"/>
        <w:ind w:right="14" w:hanging="358"/>
      </w:pPr>
      <w:r>
        <w:rPr>
          <w:b/>
        </w:rPr>
        <w:t>Cohort D-1</w:t>
      </w:r>
      <w:r>
        <w:t xml:space="preserve">: GBM, isatuximab and atezolizumab combination. </w:t>
      </w:r>
    </w:p>
    <w:p w14:paraId="3BEF4D1A" w14:textId="77777777" w:rsidR="000B3C5C" w:rsidRDefault="00ED192D">
      <w:pPr>
        <w:numPr>
          <w:ilvl w:val="0"/>
          <w:numId w:val="22"/>
        </w:numPr>
        <w:spacing w:after="29"/>
        <w:ind w:right="14" w:hanging="358"/>
      </w:pPr>
      <w:r>
        <w:t xml:space="preserve">Possibly Cohort D-2: GBM, isatuximab monotherapy. </w:t>
      </w:r>
    </w:p>
    <w:p w14:paraId="666DAFE4" w14:textId="77777777" w:rsidR="000B3C5C" w:rsidRDefault="00ED192D">
      <w:pPr>
        <w:numPr>
          <w:ilvl w:val="0"/>
          <w:numId w:val="22"/>
        </w:numPr>
        <w:spacing w:after="170"/>
        <w:ind w:right="14" w:hanging="358"/>
      </w:pPr>
      <w:r>
        <w:t xml:space="preserve">Possibly Cohort E: isatuximab and atezolizumab combination in participants with one tumor type (HCC, SCCHN, EOC, or GBM), or isatuximab monotherapy (GBM only), without initial isatuximab weekly dosing. </w:t>
      </w:r>
    </w:p>
    <w:p w14:paraId="1901A8AE" w14:textId="77777777" w:rsidR="000B3C5C" w:rsidRDefault="00ED192D">
      <w:pPr>
        <w:spacing w:after="170"/>
        <w:ind w:left="-3" w:right="14"/>
      </w:pPr>
      <w:r>
        <w:t xml:space="preserve">A 2-stage design will be used in each cohort. Enrollment in Cohort D-2 may start only if clinical benefit is observed in Cohort D-1 at the end of Phase 2 Stage 2 as determined by the Sponsor after consulting with Study Committee. </w:t>
      </w:r>
    </w:p>
    <w:p w14:paraId="6FB0CF6F" w14:textId="77777777" w:rsidR="000B3C5C" w:rsidRDefault="00ED192D">
      <w:pPr>
        <w:spacing w:after="170"/>
        <w:ind w:left="-3" w:right="14"/>
      </w:pPr>
      <w:r>
        <w:t>The participants treated at the RP2D of isatuximab and atezolizumab in combination during Phase 1 will be included in the efficacy analysis together with participants of the same tumor type in Phase 2 Stage 1. Based on the predefined number of objective responses  in participants with SCCHN, HCC, EOC, or the predefined PFS-6 in participants with GBM, as well as any other relevant data observed within a treatment cohort in Phase 2 Stage 1, the study will proceed with Phase 2 Stage 2. After enrollment complet</w:t>
      </w:r>
      <w:r>
        <w:t xml:space="preserve">ion of Phase 2 Stage 1, if efficacy results do not warrant initiation of Stage 2, enrollment will be paused until sufficient results or analyses warrant initiation of Phase 2 Stage 2. In the case of inadequate efficacy for a cohort at interim analyses, the Sponsor will notify study sites regarding modification or termination of study procedures/scheduled activities for patients in that specific cohort. </w:t>
      </w:r>
    </w:p>
    <w:p w14:paraId="6D12C650" w14:textId="77777777" w:rsidR="000B3C5C" w:rsidRDefault="00ED192D">
      <w:pPr>
        <w:spacing w:after="11"/>
        <w:ind w:left="-3" w:right="14"/>
      </w:pPr>
      <w:r>
        <w:t xml:space="preserve">For participants with GBM, if clinical benefit is observed in Cohort D-1 at the end of Phase 2 </w:t>
      </w:r>
    </w:p>
    <w:p w14:paraId="044EE7F9" w14:textId="77777777" w:rsidR="000B3C5C" w:rsidRDefault="00ED192D">
      <w:pPr>
        <w:spacing w:after="11"/>
        <w:ind w:left="-3" w:right="14"/>
      </w:pPr>
      <w:r>
        <w:t xml:space="preserve">Stage 2 as determined in </w:t>
      </w:r>
      <w:r>
        <w:rPr>
          <w:color w:val="0000FF"/>
        </w:rPr>
        <w:t>Section</w:t>
      </w:r>
      <w:r>
        <w:t xml:space="preserve"> </w:t>
      </w:r>
      <w:r>
        <w:rPr>
          <w:color w:val="0000FF"/>
        </w:rPr>
        <w:t>9.2</w:t>
      </w:r>
      <w:r>
        <w:t xml:space="preserve">, an isatuximab monotherapy cohort may be initiated </w:t>
      </w:r>
    </w:p>
    <w:p w14:paraId="6225E723" w14:textId="77777777" w:rsidR="000B3C5C" w:rsidRDefault="00ED192D">
      <w:pPr>
        <w:spacing w:after="170"/>
        <w:ind w:left="-3" w:right="14"/>
      </w:pPr>
      <w:r>
        <w:t xml:space="preserve">(Cohort D-2). Participants with GBM will be enrolled into Cohort D-2, isatuximab monotherapy (Phase 2 Stage 1). The isatuximab single agent dose and schedule for Cohort D-2 will be determined based on results from Cohort D-1. </w:t>
      </w:r>
    </w:p>
    <w:p w14:paraId="632125F2" w14:textId="77777777" w:rsidR="000B3C5C" w:rsidRDefault="00ED192D">
      <w:pPr>
        <w:ind w:left="-3" w:right="14"/>
      </w:pPr>
      <w:r>
        <w:t>Based on the positive efficacy signal and the totality of data observed within a treatment cohort at end of Phase 2 Stage 2, the Sponsor may decide to further study in the same indication either isatuximab Q3W in combination with atezolizumab, or isatuximab Q3W as monotherapy in participants with GBM. This schedule without the initial weekly dosing may be more practical for participants and health care providers. Objectives and study design considerations for these cohorts are the same as those for other co</w:t>
      </w:r>
      <w:r>
        <w:t xml:space="preserve">horts in the same tumor type, respectively. </w:t>
      </w:r>
    </w:p>
    <w:p w14:paraId="09B994E7" w14:textId="77777777" w:rsidR="000B3C5C" w:rsidRDefault="00ED192D">
      <w:pPr>
        <w:pStyle w:val="Heading3"/>
        <w:tabs>
          <w:tab w:val="center" w:pos="3397"/>
        </w:tabs>
        <w:ind w:left="-15" w:firstLine="0"/>
      </w:pPr>
      <w:r>
        <w:t xml:space="preserve">4.2 </w:t>
      </w:r>
      <w:r>
        <w:tab/>
        <w:t xml:space="preserve">DURATION OF STUDY PERIOD (PER PARTICIPANT)  </w:t>
      </w:r>
    </w:p>
    <w:p w14:paraId="2F92092F" w14:textId="77777777" w:rsidR="000B3C5C" w:rsidRDefault="00ED192D">
      <w:pPr>
        <w:ind w:left="-3" w:right="14"/>
      </w:pPr>
      <w:r>
        <w:t xml:space="preserve">The duration of the study for a participant will include a screening period (up to 28 days), a treatment period (up to 2 years), a safety follow-up period (90 days), and every 90 days follow-up visits or phone calls until death or study cut-off. </w:t>
      </w:r>
    </w:p>
    <w:p w14:paraId="10770A72" w14:textId="77777777" w:rsidR="000B3C5C" w:rsidRDefault="00ED192D">
      <w:pPr>
        <w:ind w:left="-3" w:right="14"/>
      </w:pPr>
      <w:r>
        <w:rPr>
          <w:b/>
        </w:rPr>
        <w:t xml:space="preserve">Treatment period: </w:t>
      </w:r>
      <w:r>
        <w:t xml:space="preserve">The cycle duration is 21 days. Participants will continue treatment until disease progression confirmed by imaging 4 weeks after initial evidence of progression, unacceptable AE, patient’s decision to stop treatment, 2 years of uninterrupted delivery of IMP(s) without documented PD. </w:t>
      </w:r>
    </w:p>
    <w:p w14:paraId="41D87DFF" w14:textId="77777777" w:rsidR="000B3C5C" w:rsidRDefault="00ED192D">
      <w:pPr>
        <w:spacing w:after="11"/>
        <w:ind w:left="-3" w:right="14"/>
      </w:pPr>
      <w:r>
        <w:rPr>
          <w:b/>
        </w:rPr>
        <w:t xml:space="preserve">Safety follow-up period: </w:t>
      </w:r>
      <w:r>
        <w:t xml:space="preserve">After treatment discontinuation, participant will return to the study site </w:t>
      </w:r>
    </w:p>
    <w:p w14:paraId="29667D86" w14:textId="77777777" w:rsidR="000B3C5C" w:rsidRDefault="00ED192D">
      <w:pPr>
        <w:ind w:left="-3" w:right="14"/>
      </w:pPr>
      <w:r>
        <w:t xml:space="preserve">30 days (±7 days) after the last dose of IMP(s), or when the participant receives another anti-cancer therapy, whichever is earlier, for EOT assessments. In addition, there will be an extended safety follow-up period for 90 days after the last dose of IMP(s) for ADA assessment and for safety assessment. </w:t>
      </w:r>
    </w:p>
    <w:p w14:paraId="5BEA4802" w14:textId="77777777" w:rsidR="000B3C5C" w:rsidRDefault="00ED192D">
      <w:pPr>
        <w:ind w:left="-3" w:right="577"/>
      </w:pPr>
      <w:r>
        <w:t xml:space="preserve">Participants who discontinue the study treatment without PD will be followed at 90 days (±7 days) for disease assessment. </w:t>
      </w:r>
    </w:p>
    <w:p w14:paraId="45D955C2" w14:textId="77777777" w:rsidR="000B3C5C" w:rsidRDefault="00ED192D">
      <w:pPr>
        <w:spacing w:after="75"/>
        <w:ind w:left="-3" w:right="14"/>
      </w:pPr>
      <w:r>
        <w:rPr>
          <w:b/>
        </w:rPr>
        <w:t>Survival follow-up period:</w:t>
      </w:r>
      <w:r>
        <w:t xml:space="preserve"> The further follow-up schedule beyond 90 days after last dose of IMP(s) is according to the disease progression status: </w:t>
      </w:r>
    </w:p>
    <w:p w14:paraId="3DBBD5EF" w14:textId="77777777" w:rsidR="000B3C5C" w:rsidRDefault="00ED192D">
      <w:pPr>
        <w:numPr>
          <w:ilvl w:val="0"/>
          <w:numId w:val="23"/>
        </w:numPr>
        <w:spacing w:after="75"/>
        <w:ind w:right="14" w:hanging="358"/>
      </w:pPr>
      <w:r>
        <w:rPr>
          <w:u w:val="single" w:color="000000"/>
        </w:rPr>
        <w:t>Participants who discontinue study treatment due to PD</w:t>
      </w:r>
      <w:r>
        <w:t xml:space="preserve">: phone call follow-up will be done every 90 days from the date of last IMP(s) administration until death or study cut-off date. </w:t>
      </w:r>
    </w:p>
    <w:p w14:paraId="6A0AFF39" w14:textId="77777777" w:rsidR="000B3C5C" w:rsidRDefault="00ED192D">
      <w:pPr>
        <w:numPr>
          <w:ilvl w:val="0"/>
          <w:numId w:val="23"/>
        </w:numPr>
        <w:spacing w:after="75"/>
        <w:ind w:right="14" w:hanging="358"/>
      </w:pPr>
      <w:r>
        <w:rPr>
          <w:u w:val="single" w:color="000000"/>
        </w:rPr>
        <w:t>Participants who discontinue the study treatment without PD</w:t>
      </w:r>
      <w:r>
        <w:t xml:space="preserve">: will be followed every 90 days for disease assessment until confirmation of PD or start treatment with another anti-cancer therapy, or until study cut-off date whichever comes first. After PD, participant will be followed by phone call until death or study cut-off date. </w:t>
      </w:r>
    </w:p>
    <w:p w14:paraId="42EE1FE6" w14:textId="77777777" w:rsidR="000B3C5C" w:rsidRDefault="00ED192D">
      <w:pPr>
        <w:numPr>
          <w:ilvl w:val="0"/>
          <w:numId w:val="23"/>
        </w:numPr>
        <w:spacing w:after="472"/>
        <w:ind w:right="14" w:hanging="358"/>
      </w:pPr>
      <w:r>
        <w:rPr>
          <w:u w:val="single" w:color="000000"/>
        </w:rPr>
        <w:t>Participants who are still on study treatment after study cut-off date</w:t>
      </w:r>
      <w:r>
        <w:t xml:space="preserve">: will continue to receive study treatment if they benefit, and will undergo planned study procedures (except PK and ADA) until confirmation of PD, or start with another anti-cancer therapy, or treatment period ended, whichever comes first. All SAEs still ongoing at the end of the study treatment, and all AEs considered related to study treatment still ongoing or occurring after the end of study treatment, which will be followed until resolution/stabilization. </w:t>
      </w:r>
    </w:p>
    <w:p w14:paraId="444A8D80" w14:textId="77777777" w:rsidR="000B3C5C" w:rsidRDefault="00ED192D">
      <w:pPr>
        <w:pStyle w:val="Heading3"/>
        <w:tabs>
          <w:tab w:val="center" w:pos="3082"/>
        </w:tabs>
        <w:ind w:left="-15" w:firstLine="0"/>
      </w:pPr>
      <w:r>
        <w:t xml:space="preserve">4.3 </w:t>
      </w:r>
      <w:r>
        <w:tab/>
        <w:t xml:space="preserve">SCIENTIFIC RATIONALE FOR STUDY DESIGN  </w:t>
      </w:r>
    </w:p>
    <w:p w14:paraId="7B234442" w14:textId="77777777" w:rsidR="000B3C5C" w:rsidRDefault="00ED192D">
      <w:pPr>
        <w:ind w:left="-3" w:right="14"/>
      </w:pPr>
      <w:r>
        <w:t xml:space="preserve">This is a Phase 1/2 open-label, non-randomized, multi-center, safety, preliminary efficacy, and PK study of isatuximab (SAR650984) in combination with atezolizumab or isatuximab alone in patients with advanced malignancies. </w:t>
      </w:r>
    </w:p>
    <w:p w14:paraId="12FE933D" w14:textId="77777777" w:rsidR="000B3C5C" w:rsidRDefault="00ED192D">
      <w:pPr>
        <w:ind w:left="-3" w:right="14"/>
      </w:pPr>
      <w:r>
        <w:t xml:space="preserve">Treatment beyond the second or third line in those 4 indications remains challenging with a significant unmet need for patients with advanced malignancies.  Combination strategies with immunotherapy agents have a potential to increasing their individual effectiveness in these patients. </w:t>
      </w:r>
    </w:p>
    <w:p w14:paraId="4B6336FE" w14:textId="77777777" w:rsidR="000B3C5C" w:rsidRDefault="00ED192D">
      <w:pPr>
        <w:ind w:left="-3" w:right="14"/>
      </w:pPr>
      <w:r>
        <w:t xml:space="preserve">Phase 1 is designed to characterize the safety and tolerability of isatuximab in combination with atezolizumab in patients with unresectable HCC, platinum-refractory recurrent/metastatic SCCHN, platinum-refractory EOC, or recurrent GBM, and to confirm the RP2D. </w:t>
      </w:r>
    </w:p>
    <w:p w14:paraId="38419214" w14:textId="77777777" w:rsidR="000B3C5C" w:rsidRDefault="00ED192D">
      <w:pPr>
        <w:spacing w:after="472"/>
        <w:ind w:left="-3" w:right="14"/>
      </w:pPr>
      <w:r>
        <w:t xml:space="preserve">Phase 2 is designed to assess RR of isatuximab in combination with atezolizumab in patients with HCC, or SCCHN, or EOC and to assess the PFS rate at 6 months (PFS-6) of isatuximab in combination with atezolizumab, or as a single agent in patients with GBM. </w:t>
      </w:r>
    </w:p>
    <w:p w14:paraId="468DE102" w14:textId="77777777" w:rsidR="000B3C5C" w:rsidRDefault="00ED192D">
      <w:pPr>
        <w:pStyle w:val="Heading3"/>
        <w:tabs>
          <w:tab w:val="center" w:pos="2116"/>
        </w:tabs>
        <w:ind w:left="-15" w:firstLine="0"/>
      </w:pPr>
      <w:r>
        <w:t xml:space="preserve">4.4 </w:t>
      </w:r>
      <w:r>
        <w:tab/>
        <w:t xml:space="preserve">JUSTIFICATION FOR DOSE  </w:t>
      </w:r>
    </w:p>
    <w:p w14:paraId="4BFDD81A" w14:textId="77777777" w:rsidR="000B3C5C" w:rsidRDefault="00ED192D">
      <w:pPr>
        <w:ind w:left="-3" w:right="14"/>
      </w:pPr>
      <w:r>
        <w:t xml:space="preserve">Atezolizumab is administered as an IV infusion every 3 weeks at 1200 mg dose.  </w:t>
      </w:r>
    </w:p>
    <w:p w14:paraId="64583722" w14:textId="77777777" w:rsidR="000B3C5C" w:rsidRDefault="00ED192D">
      <w:pPr>
        <w:ind w:left="-3" w:right="14"/>
      </w:pPr>
      <w:r>
        <w:t xml:space="preserve">A flat IV atezolizumab dose of 1200 mg Q3W was selected as this is the standard dose used in the approved indications (UC and NSCLC). </w:t>
      </w:r>
    </w:p>
    <w:p w14:paraId="2747FD74" w14:textId="77777777" w:rsidR="000B3C5C" w:rsidRDefault="00ED192D">
      <w:pPr>
        <w:ind w:left="-3" w:right="14"/>
      </w:pPr>
      <w:r>
        <w:t xml:space="preserve">In patients with MM, isatuximab exhibits non-linear PK due to the presence of target-mediated drug disposition. In addition, tumor burden impacts the PK of isatuximab. </w:t>
      </w:r>
    </w:p>
    <w:p w14:paraId="0FD3066A" w14:textId="77777777" w:rsidR="000B3C5C" w:rsidRDefault="00ED192D">
      <w:pPr>
        <w:spacing w:after="0"/>
        <w:ind w:left="-3" w:right="14"/>
      </w:pPr>
      <w:r>
        <w:t xml:space="preserve">Based on safety, efficacy, PK, and PK/pharmacodynamic analyses, the dose/schedule of isatuximab when used in combination with other therapies for the treatment of MM is 10 mg/kg QW × 4 followed by once every 2 weeks (Q2W). The half-life of isatuximab associated to the linear elimination is 18 days and we hypothesized that the immuno-modulatory mechanisms of isatuximab will be mainly involved in the pharmacological activity of isatuximab; therefore, a less intensive schedule of administration for isatuximab </w:t>
      </w:r>
      <w:r>
        <w:t xml:space="preserve">is proposed compared to the schedule used in </w:t>
      </w:r>
    </w:p>
    <w:p w14:paraId="2DA9B79F" w14:textId="77777777" w:rsidR="000B3C5C" w:rsidRDefault="00ED192D">
      <w:pPr>
        <w:ind w:left="-3" w:right="14"/>
      </w:pPr>
      <w:r>
        <w:t xml:space="preserve">patients with MMs: 10 mg/kg QW × 3 followed by Q3W.  Of note, based on updated pharmacokinetic characterization of isatuximab in 2019, the plasma half-life has been re-estimated to 28 days. </w:t>
      </w:r>
    </w:p>
    <w:p w14:paraId="62F6218E" w14:textId="77777777" w:rsidR="000B3C5C" w:rsidRDefault="00ED192D">
      <w:pPr>
        <w:ind w:left="-3" w:right="81"/>
      </w:pPr>
      <w:r>
        <w:t xml:space="preserve">Based on safety, efficacy, PK, and PK/pharmacodynamic data analyses, the dose/schedule of isatuximab when used as monotherapy for the treatment of MM is 20 mg/kg QW × 4 followed by Q2W. However, based on the reasons mentioned above and the hypothesis that tumor burden will be lower in patients with HCC, or SCCHN, or EOC, or GBM cancer compared to MM (ie, less target-mediated drug disposition), and because isatuximab monotherapy demonstrated activity at doses ≥10 mg/kg with no clear dose response between 10 </w:t>
      </w:r>
      <w:r>
        <w:t xml:space="preserve">mg/kg and 20 mg/kg, 10 mg/kg  QW × 3 followed by Q3W is proposed to be tested in the monotherapy arm of this study. </w:t>
      </w:r>
    </w:p>
    <w:p w14:paraId="177239C7" w14:textId="77777777" w:rsidR="000B3C5C" w:rsidRDefault="00ED192D">
      <w:pPr>
        <w:spacing w:after="473"/>
        <w:ind w:left="-3" w:right="14"/>
      </w:pPr>
      <w:r>
        <w:t xml:space="preserve">Once the plan of care is established with isatuximab 10 mg/kg QW × 3/Q3W, Q3W may be tested as the loading period may not be necessary to ensure activity. </w:t>
      </w:r>
    </w:p>
    <w:p w14:paraId="141F3E12" w14:textId="77777777" w:rsidR="000B3C5C" w:rsidRDefault="00ED192D">
      <w:pPr>
        <w:pStyle w:val="Heading3"/>
        <w:tabs>
          <w:tab w:val="center" w:pos="2152"/>
        </w:tabs>
        <w:ind w:left="-15" w:firstLine="0"/>
      </w:pPr>
      <w:r>
        <w:t xml:space="preserve">4.5 </w:t>
      </w:r>
      <w:r>
        <w:tab/>
        <w:t xml:space="preserve">END OF STUDY DEFINITION  </w:t>
      </w:r>
    </w:p>
    <w:p w14:paraId="0D9CE38D" w14:textId="77777777" w:rsidR="000B3C5C" w:rsidRDefault="00ED192D">
      <w:pPr>
        <w:ind w:left="-3" w:right="14"/>
      </w:pPr>
      <w:r>
        <w:t xml:space="preserve">A participant is considered to have completed the study if he/she has completed all phases of the study including the last visit or the last scheduled procedure shown in the Schedule of Activities (SoA). </w:t>
      </w:r>
    </w:p>
    <w:p w14:paraId="56D255BD" w14:textId="77777777" w:rsidR="000B3C5C" w:rsidRDefault="00ED192D">
      <w:pPr>
        <w:spacing w:after="0"/>
        <w:ind w:left="-3" w:right="346"/>
      </w:pPr>
      <w:r>
        <w:t xml:space="preserve">The end of study will occur at the study cut-off planned at 12 months after the last participant enters the study or when all participants have had the opportunity to complete the EOT visit 30 days after the last study treatment administration, whichever is the latest. </w:t>
      </w:r>
      <w:r>
        <w:br w:type="page"/>
      </w:r>
    </w:p>
    <w:p w14:paraId="5E30125E" w14:textId="77777777" w:rsidR="000B3C5C" w:rsidRDefault="00ED192D">
      <w:pPr>
        <w:pStyle w:val="Heading1"/>
        <w:tabs>
          <w:tab w:val="center" w:pos="2111"/>
        </w:tabs>
        <w:ind w:left="-13" w:firstLine="0"/>
      </w:pPr>
      <w:r>
        <w:t xml:space="preserve">5 </w:t>
      </w:r>
      <w:r>
        <w:tab/>
        <w:t xml:space="preserve">STUDY POPULATION  </w:t>
      </w:r>
    </w:p>
    <w:p w14:paraId="753D90C3" w14:textId="77777777" w:rsidR="000B3C5C" w:rsidRDefault="00ED192D">
      <w:pPr>
        <w:spacing w:after="472"/>
        <w:ind w:left="-3" w:right="14"/>
      </w:pPr>
      <w:r>
        <w:t xml:space="preserve">Prospective approval of protocol deviations to recruitment and enrollment criteria, also known as protocol waivers or exemptions, is not permitted. </w:t>
      </w:r>
    </w:p>
    <w:p w14:paraId="55E78944" w14:textId="77777777" w:rsidR="000B3C5C" w:rsidRDefault="00ED192D">
      <w:pPr>
        <w:tabs>
          <w:tab w:val="center" w:pos="1836"/>
        </w:tabs>
        <w:spacing w:after="249" w:line="249" w:lineRule="auto"/>
        <w:ind w:left="-15" w:firstLine="0"/>
      </w:pPr>
      <w:r>
        <w:rPr>
          <w:rFonts w:ascii="Arial" w:eastAsia="Arial" w:hAnsi="Arial" w:cs="Arial"/>
          <w:b/>
          <w:sz w:val="22"/>
        </w:rPr>
        <w:t xml:space="preserve">5.1 </w:t>
      </w:r>
      <w:r>
        <w:rPr>
          <w:rFonts w:ascii="Arial" w:eastAsia="Arial" w:hAnsi="Arial" w:cs="Arial"/>
          <w:b/>
          <w:sz w:val="22"/>
        </w:rPr>
        <w:tab/>
        <w:t xml:space="preserve">INCLUSION CRITERIA  </w:t>
      </w:r>
    </w:p>
    <w:p w14:paraId="2E89DC48" w14:textId="77777777" w:rsidR="000B3C5C" w:rsidRDefault="00ED192D">
      <w:pPr>
        <w:ind w:left="-3" w:right="14"/>
      </w:pPr>
      <w:r>
        <w:t xml:space="preserve">Participants are eligible to </w:t>
      </w:r>
      <w:r>
        <w:t xml:space="preserve">be included in the study only if all of the following criteria apply: </w:t>
      </w:r>
    </w:p>
    <w:p w14:paraId="79D4832E" w14:textId="77777777" w:rsidR="000B3C5C" w:rsidRDefault="00ED192D">
      <w:pPr>
        <w:spacing w:after="194" w:line="249" w:lineRule="auto"/>
        <w:ind w:left="-5" w:right="51"/>
      </w:pPr>
      <w:r>
        <w:rPr>
          <w:b/>
        </w:rPr>
        <w:t xml:space="preserve">Age </w:t>
      </w:r>
    </w:p>
    <w:p w14:paraId="68B9716C" w14:textId="77777777" w:rsidR="000B3C5C" w:rsidRDefault="00ED192D">
      <w:pPr>
        <w:ind w:left="-3" w:right="14"/>
      </w:pPr>
      <w:r>
        <w:t>I 01.</w:t>
      </w:r>
      <w:r>
        <w:rPr>
          <w:rFonts w:ascii="Arial" w:eastAsia="Arial" w:hAnsi="Arial" w:cs="Arial"/>
        </w:rPr>
        <w:t xml:space="preserve"> </w:t>
      </w:r>
      <w:r>
        <w:t xml:space="preserve">Participant must be at least 18 years of age, at the time of signing the informed consent. </w:t>
      </w:r>
    </w:p>
    <w:p w14:paraId="2D4123DD" w14:textId="77777777" w:rsidR="000B3C5C" w:rsidRDefault="00ED192D">
      <w:pPr>
        <w:pStyle w:val="Heading2"/>
        <w:spacing w:after="194"/>
        <w:ind w:left="-5" w:right="51"/>
      </w:pPr>
      <w:r>
        <w:t>Type of participant and disease characteristics</w:t>
      </w:r>
      <w:r>
        <w:rPr>
          <w:b w:val="0"/>
        </w:rPr>
        <w:t xml:space="preserve"> </w:t>
      </w:r>
    </w:p>
    <w:p w14:paraId="370990C7" w14:textId="77777777" w:rsidR="000B3C5C" w:rsidRDefault="00ED192D">
      <w:pPr>
        <w:spacing w:after="197"/>
        <w:ind w:left="678" w:right="14" w:hanging="691"/>
      </w:pPr>
      <w:r>
        <w:t>I 02.</w:t>
      </w:r>
      <w:r>
        <w:rPr>
          <w:rFonts w:ascii="Arial" w:eastAsia="Arial" w:hAnsi="Arial" w:cs="Arial"/>
        </w:rPr>
        <w:t xml:space="preserve"> </w:t>
      </w:r>
      <w:r>
        <w:t xml:space="preserve">For HCC, SCCHN, and EOC, disease location amenable to mandatory tumor biopsy at baseline (unless clinically unfeasible and after discussion with Sanofi Medical Monitor in Phase 1 and Phase 2 Stage 1, mandatory in Phase 2 Stage 2), and at Cycle 2 Day 1 if clinically feasible. Fine needle aspirates are not acceptable. Needle or excisional biopsies, or resected tissue are required. Provision of archival tumor tissue sample obtained at the time of or after progression of immediate previous line of anti-cancer </w:t>
      </w:r>
      <w:r>
        <w:t xml:space="preserve">treatment is allowed to replace mandatory baseline biopsy. For GBM, it is mandatory to provide archival tumor tissue sample. The biopsy taken at baseline and potentially Cycle 2 Day 1 should be from a lesion not previously irradiated (preferred), or the new growth area of a lesion that grows after irradiation. </w:t>
      </w:r>
    </w:p>
    <w:p w14:paraId="050404AE" w14:textId="77777777" w:rsidR="000B3C5C" w:rsidRDefault="00ED192D">
      <w:pPr>
        <w:spacing w:after="11"/>
        <w:ind w:left="-3" w:right="14"/>
      </w:pPr>
      <w:r>
        <w:t>I 03.</w:t>
      </w:r>
      <w:r>
        <w:rPr>
          <w:rFonts w:ascii="Arial" w:eastAsia="Arial" w:hAnsi="Arial" w:cs="Arial"/>
        </w:rPr>
        <w:t xml:space="preserve"> </w:t>
      </w:r>
      <w:r>
        <w:t xml:space="preserve">At least one measurable lesion for HCC, SCCHN, EOC (per RECIST 1.1  </w:t>
      </w:r>
    </w:p>
    <w:p w14:paraId="06342749" w14:textId="77777777" w:rsidR="000B3C5C" w:rsidRDefault="00ED192D">
      <w:pPr>
        <w:spacing w:after="197"/>
        <w:ind w:left="701" w:right="14"/>
      </w:pPr>
      <w:r>
        <w:t xml:space="preserve">[Appendix 11: </w:t>
      </w:r>
      <w:r>
        <w:rPr>
          <w:color w:val="0000FF"/>
        </w:rPr>
        <w:t>Section</w:t>
      </w:r>
      <w:r>
        <w:t xml:space="preserve"> </w:t>
      </w:r>
      <w:r>
        <w:rPr>
          <w:color w:val="0000FF"/>
        </w:rPr>
        <w:t>10.11</w:t>
      </w:r>
      <w:r>
        <w:t xml:space="preserve">]). Tumor lesions previously irradiated, or received other locoregional therapy, are usually not considered measurable unless there has been documented progression in the lesion. </w:t>
      </w:r>
    </w:p>
    <w:p w14:paraId="19D3C51B" w14:textId="77777777" w:rsidR="000B3C5C" w:rsidRDefault="00ED192D">
      <w:pPr>
        <w:ind w:left="678" w:right="14" w:hanging="691"/>
      </w:pPr>
      <w:r>
        <w:t>I 04.</w:t>
      </w:r>
      <w:r>
        <w:rPr>
          <w:rFonts w:ascii="Arial" w:eastAsia="Arial" w:hAnsi="Arial" w:cs="Arial"/>
        </w:rPr>
        <w:t xml:space="preserve"> </w:t>
      </w:r>
      <w:r>
        <w:t xml:space="preserve">Based on the Investigator’s judgement, at this time, other anti-cancer therapy is not the best option for this specific patient. </w:t>
      </w:r>
    </w:p>
    <w:p w14:paraId="6C3D6F61" w14:textId="77777777" w:rsidR="000B3C5C" w:rsidRDefault="00ED192D">
      <w:pPr>
        <w:spacing w:after="185" w:line="259" w:lineRule="auto"/>
        <w:ind w:left="-5"/>
      </w:pPr>
      <w:r>
        <w:rPr>
          <w:b/>
          <w:i/>
        </w:rPr>
        <w:t>For patients with HCC</w:t>
      </w:r>
      <w:r>
        <w:rPr>
          <w:b/>
        </w:rPr>
        <w:t xml:space="preserve">: </w:t>
      </w:r>
    </w:p>
    <w:p w14:paraId="0BE6BC86" w14:textId="77777777" w:rsidR="000B3C5C" w:rsidRDefault="00ED192D">
      <w:pPr>
        <w:spacing w:after="197"/>
        <w:ind w:left="678" w:right="14" w:hanging="691"/>
      </w:pPr>
      <w:r>
        <w:t>I 05.</w:t>
      </w:r>
      <w:r>
        <w:rPr>
          <w:rFonts w:ascii="Arial" w:eastAsia="Arial" w:hAnsi="Arial" w:cs="Arial"/>
        </w:rPr>
        <w:t xml:space="preserve"> </w:t>
      </w:r>
      <w:r>
        <w:t xml:space="preserve">Histologically confirmed unresectable HCC (excluding fibrolamellar and mixed hepatocellular/cholangiocarcinoma). Radiology diagnosed HCC as per American Association for the Study of Liver Diseases criteria needs to be confirmed by histology before initiation of IMP. </w:t>
      </w:r>
    </w:p>
    <w:p w14:paraId="2DDB23E4" w14:textId="77777777" w:rsidR="000B3C5C" w:rsidRDefault="00ED192D">
      <w:pPr>
        <w:ind w:left="678" w:right="14" w:hanging="691"/>
      </w:pPr>
      <w:r>
        <w:t>I 06.</w:t>
      </w:r>
      <w:r>
        <w:rPr>
          <w:rFonts w:ascii="Arial" w:eastAsia="Arial" w:hAnsi="Arial" w:cs="Arial"/>
        </w:rPr>
        <w:t xml:space="preserve"> </w:t>
      </w:r>
      <w:r>
        <w:t xml:space="preserve">Barcelona Clinic Liver Cancer (BCLC) Stage C disease, or BCLC Stage B disease not amenable to locoregional therapy or refractory to locoregional therapy, and not amenable to a curative treatment approach (see Appendix 12: </w:t>
      </w:r>
      <w:r>
        <w:rPr>
          <w:color w:val="0000FF"/>
        </w:rPr>
        <w:t>Section</w:t>
      </w:r>
      <w:r>
        <w:t xml:space="preserve"> </w:t>
      </w:r>
      <w:r>
        <w:rPr>
          <w:color w:val="0000FF"/>
        </w:rPr>
        <w:t>10.12</w:t>
      </w:r>
      <w:r>
        <w:t xml:space="preserve">). </w:t>
      </w:r>
    </w:p>
    <w:p w14:paraId="4AFCB90B" w14:textId="77777777" w:rsidR="000B3C5C" w:rsidRDefault="00ED192D">
      <w:pPr>
        <w:spacing w:after="196"/>
        <w:ind w:left="678" w:right="1896" w:hanging="691"/>
      </w:pPr>
      <w:r>
        <w:t xml:space="preserve">I 07. Child Pugh Class A liver score within 14 days of initiation of IMP  (see Appendix 13:  </w:t>
      </w:r>
      <w:r>
        <w:rPr>
          <w:color w:val="0000FF"/>
        </w:rPr>
        <w:t>Section</w:t>
      </w:r>
      <w:r>
        <w:t xml:space="preserve"> </w:t>
      </w:r>
      <w:r>
        <w:rPr>
          <w:color w:val="0000FF"/>
        </w:rPr>
        <w:t>10.13</w:t>
      </w:r>
      <w:r>
        <w:t xml:space="preserve">). </w:t>
      </w:r>
    </w:p>
    <w:p w14:paraId="5C53C551" w14:textId="77777777" w:rsidR="000B3C5C" w:rsidRDefault="00ED192D">
      <w:pPr>
        <w:spacing w:after="189"/>
        <w:ind w:left="678" w:right="14" w:hanging="691"/>
      </w:pPr>
      <w:r>
        <w:t>I 08.</w:t>
      </w:r>
      <w:r>
        <w:rPr>
          <w:rFonts w:ascii="Arial" w:eastAsia="Arial" w:hAnsi="Arial" w:cs="Arial"/>
        </w:rPr>
        <w:t xml:space="preserve"> </w:t>
      </w:r>
      <w:r>
        <w:t xml:space="preserve">Documentation of progressive disease (PD) during or after treatment with either sorafenib or lenvatinib, or intolerance to the therapy. Intolerance is defined as permanent discontinuation of sorafenib or lenvatinib due to occurrence of ≥CTCAE Grade 2 treatment-related adverse event (AE) which (1) persisted in spite of comprehensive supportive therapy according to institutional standards </w:t>
      </w:r>
      <w:r>
        <w:rPr>
          <w:b/>
          <w:u w:val="single" w:color="000000"/>
        </w:rPr>
        <w:t>AND</w:t>
      </w:r>
      <w:r>
        <w:t xml:space="preserve"> (2) persisted or recurred after sorafenib or lenvatinib treatment interruption of at least 7 days and dose reduction b</w:t>
      </w:r>
      <w:r>
        <w:t xml:space="preserve">y one dose level. </w:t>
      </w:r>
    </w:p>
    <w:p w14:paraId="14C5AAF7" w14:textId="77777777" w:rsidR="000B3C5C" w:rsidRDefault="00ED192D">
      <w:pPr>
        <w:spacing w:after="185" w:line="259" w:lineRule="auto"/>
        <w:ind w:left="-5"/>
      </w:pPr>
      <w:r>
        <w:rPr>
          <w:b/>
          <w:i/>
        </w:rPr>
        <w:t>For patients with SCCHN</w:t>
      </w:r>
      <w:r>
        <w:rPr>
          <w:b/>
        </w:rPr>
        <w:t xml:space="preserve">: </w:t>
      </w:r>
    </w:p>
    <w:p w14:paraId="7E3C86D7" w14:textId="77777777" w:rsidR="000B3C5C" w:rsidRDefault="00ED192D">
      <w:pPr>
        <w:spacing w:after="197"/>
        <w:ind w:left="678" w:right="14" w:hanging="691"/>
      </w:pPr>
      <w:r>
        <w:t>I 09.</w:t>
      </w:r>
      <w:r>
        <w:rPr>
          <w:rFonts w:ascii="Arial" w:eastAsia="Arial" w:hAnsi="Arial" w:cs="Arial"/>
        </w:rPr>
        <w:t xml:space="preserve"> </w:t>
      </w:r>
      <w:r>
        <w:t xml:space="preserve">Histologically confirmed recurrent or metastatic SCCHN (oral cavity, pharynx, larynx), not amenable to local therapy with curative intent (surgery or radiation therapy with or without chemotherapy). </w:t>
      </w:r>
    </w:p>
    <w:p w14:paraId="730DE063" w14:textId="77777777" w:rsidR="000B3C5C" w:rsidRDefault="00ED192D">
      <w:pPr>
        <w:spacing w:after="197"/>
        <w:ind w:left="678" w:right="14" w:hanging="691"/>
      </w:pPr>
      <w:r>
        <w:t>I 10.</w:t>
      </w:r>
      <w:r>
        <w:rPr>
          <w:rFonts w:ascii="Arial" w:eastAsia="Arial" w:hAnsi="Arial" w:cs="Arial"/>
        </w:rPr>
        <w:t xml:space="preserve"> </w:t>
      </w:r>
      <w:r>
        <w:t xml:space="preserve">Documentation of tumor recurrence or PD within 6 months of last platinum-based therapy in primary (ie, unresectable locally advanced disease with radiation), recurrent, or metastatic setting. Clinical progression after platinum-based therapy is defined as progression of a lesion at least 10 mm in size that is amenable to caliper measurement  (eg, superficial skin lesion as per RECIST 1.1) or a lesion that has been visualized and photographically recorded with measurements and shown to have progression are </w:t>
      </w:r>
      <w:r>
        <w:t xml:space="preserve">eligible. </w:t>
      </w:r>
    </w:p>
    <w:p w14:paraId="76662096" w14:textId="77777777" w:rsidR="000B3C5C" w:rsidRDefault="00ED192D">
      <w:pPr>
        <w:spacing w:after="201"/>
        <w:ind w:left="678" w:right="14" w:hanging="691"/>
      </w:pPr>
      <w:r>
        <w:t>I 11.</w:t>
      </w:r>
      <w:r>
        <w:rPr>
          <w:rFonts w:ascii="Arial" w:eastAsia="Arial" w:hAnsi="Arial" w:cs="Arial"/>
        </w:rPr>
        <w:t xml:space="preserve"> </w:t>
      </w:r>
      <w:r>
        <w:t xml:space="preserve">Received and failed up to 2 lines of prior systemic anti-cancer therapy. A line of systemic chemotherapy is defined as any chemotherapy that was administered as part of primary therapy for SCCHN (eg, induction or concurrent chemo-radiotherapy) or any single-agent or multiple-agent chemotherapy regimen that was administered after a diagnosis of recurrent and/or metastatic SCCHN. </w:t>
      </w:r>
    </w:p>
    <w:p w14:paraId="46FD069D" w14:textId="77777777" w:rsidR="000B3C5C" w:rsidRDefault="00ED192D">
      <w:pPr>
        <w:spacing w:after="187"/>
        <w:ind w:left="-3" w:right="14"/>
      </w:pPr>
      <w:r>
        <w:t>I 12.</w:t>
      </w:r>
      <w:r>
        <w:rPr>
          <w:rFonts w:ascii="Arial" w:eastAsia="Arial" w:hAnsi="Arial" w:cs="Arial"/>
        </w:rPr>
        <w:t xml:space="preserve"> </w:t>
      </w:r>
      <w:r>
        <w:t>Resting baseline O</w:t>
      </w:r>
      <w:r>
        <w:rPr>
          <w:vertAlign w:val="subscript"/>
        </w:rPr>
        <w:t>2</w:t>
      </w:r>
      <w:r>
        <w:t xml:space="preserve"> saturation by pulse oximetry of  ≥92% at rest. </w:t>
      </w:r>
    </w:p>
    <w:p w14:paraId="73F39311" w14:textId="77777777" w:rsidR="000B3C5C" w:rsidRDefault="00ED192D">
      <w:pPr>
        <w:spacing w:after="185" w:line="259" w:lineRule="auto"/>
        <w:ind w:left="-5"/>
      </w:pPr>
      <w:r>
        <w:rPr>
          <w:b/>
          <w:i/>
        </w:rPr>
        <w:t>For patients with EOC</w:t>
      </w:r>
      <w:r>
        <w:rPr>
          <w:b/>
        </w:rPr>
        <w:t xml:space="preserve">: </w:t>
      </w:r>
    </w:p>
    <w:p w14:paraId="625DF1CE" w14:textId="77777777" w:rsidR="000B3C5C" w:rsidRDefault="00ED192D">
      <w:pPr>
        <w:spacing w:after="197"/>
        <w:ind w:left="678" w:right="14" w:hanging="691"/>
      </w:pPr>
      <w:r>
        <w:t>I 13.</w:t>
      </w:r>
      <w:r>
        <w:rPr>
          <w:rFonts w:ascii="Arial" w:eastAsia="Arial" w:hAnsi="Arial" w:cs="Arial"/>
        </w:rPr>
        <w:t xml:space="preserve"> </w:t>
      </w:r>
      <w:r>
        <w:t xml:space="preserve">Histologically confirmed advanced epithelial ovarian, fallopian tube, or peritoneal cancer, excluding mucinous histology but including malignant mixed Müllerian tumors with high grade serous component. </w:t>
      </w:r>
    </w:p>
    <w:p w14:paraId="491244A0" w14:textId="77777777" w:rsidR="000B3C5C" w:rsidRDefault="00ED192D">
      <w:pPr>
        <w:spacing w:after="79"/>
        <w:ind w:left="678" w:right="14" w:hanging="691"/>
      </w:pPr>
      <w:r>
        <w:t>I 14.</w:t>
      </w:r>
      <w:r>
        <w:rPr>
          <w:rFonts w:ascii="Arial" w:eastAsia="Arial" w:hAnsi="Arial" w:cs="Arial"/>
        </w:rPr>
        <w:t xml:space="preserve"> </w:t>
      </w:r>
      <w:r>
        <w:t xml:space="preserve">Platinum-resistant/refractory disease (specific to France only: see definition to I14 in </w:t>
      </w:r>
      <w:r>
        <w:rPr>
          <w:color w:val="0000FF"/>
        </w:rPr>
        <w:t>Section 10.8.1</w:t>
      </w:r>
      <w:r>
        <w:t xml:space="preserve">): </w:t>
      </w:r>
    </w:p>
    <w:p w14:paraId="5CDF9154" w14:textId="77777777" w:rsidR="000B3C5C" w:rsidRDefault="00ED192D">
      <w:pPr>
        <w:numPr>
          <w:ilvl w:val="0"/>
          <w:numId w:val="24"/>
        </w:numPr>
        <w:spacing w:after="78"/>
        <w:ind w:right="14" w:hanging="362"/>
      </w:pPr>
      <w:r>
        <w:t xml:space="preserve">Received up to 3 lines of prior platinum-containing therapy when the disease was platinum-sensitive, and, </w:t>
      </w:r>
    </w:p>
    <w:p w14:paraId="07D7303E" w14:textId="77777777" w:rsidR="000B3C5C" w:rsidRDefault="00ED192D">
      <w:pPr>
        <w:numPr>
          <w:ilvl w:val="0"/>
          <w:numId w:val="24"/>
        </w:numPr>
        <w:spacing w:after="79"/>
        <w:ind w:right="14" w:hanging="362"/>
      </w:pPr>
      <w:r>
        <w:t xml:space="preserve">The patients should not have received any systemic therapy for platinum-resistant/refractory disease. Platinum-resistant/refractory disease is defined as PD within 6 months following the last administered dose of platinum-containing therapy (resistant), or lack of response or disease progression while receiving the most recent platinum-containing therapy (refractory), respectively, </w:t>
      </w:r>
    </w:p>
    <w:p w14:paraId="65625D23" w14:textId="77777777" w:rsidR="000B3C5C" w:rsidRDefault="00ED192D">
      <w:pPr>
        <w:numPr>
          <w:ilvl w:val="0"/>
          <w:numId w:val="24"/>
        </w:numPr>
        <w:ind w:right="14" w:hanging="362"/>
      </w:pPr>
      <w:r>
        <w:t xml:space="preserve">Previous treatment with up to one line of PARP inhibitor therapy is allowed. </w:t>
      </w:r>
    </w:p>
    <w:p w14:paraId="099C04C6" w14:textId="77777777" w:rsidR="000B3C5C" w:rsidRDefault="00ED192D">
      <w:pPr>
        <w:spacing w:after="185" w:line="259" w:lineRule="auto"/>
        <w:ind w:left="-5"/>
      </w:pPr>
      <w:r>
        <w:rPr>
          <w:b/>
          <w:i/>
        </w:rPr>
        <w:t>For patients with GBM</w:t>
      </w:r>
      <w:r>
        <w:rPr>
          <w:b/>
        </w:rPr>
        <w:t xml:space="preserve">: </w:t>
      </w:r>
    </w:p>
    <w:p w14:paraId="416FD97A" w14:textId="77777777" w:rsidR="000B3C5C" w:rsidRDefault="00ED192D">
      <w:pPr>
        <w:spacing w:after="197"/>
        <w:ind w:left="678" w:right="14" w:hanging="691"/>
      </w:pPr>
      <w:r>
        <w:t>I 15.</w:t>
      </w:r>
      <w:r>
        <w:rPr>
          <w:rFonts w:ascii="Arial" w:eastAsia="Arial" w:hAnsi="Arial" w:cs="Arial"/>
        </w:rPr>
        <w:t xml:space="preserve"> </w:t>
      </w:r>
      <w:r>
        <w:t xml:space="preserve">Have histologically confirmed glioblastoma.  Patients with the original histology as low grade glioma are NOT eligible. </w:t>
      </w:r>
    </w:p>
    <w:p w14:paraId="7AF6E3F9" w14:textId="77777777" w:rsidR="000B3C5C" w:rsidRDefault="00ED192D">
      <w:pPr>
        <w:ind w:left="678" w:right="14" w:hanging="691"/>
      </w:pPr>
      <w:r>
        <w:t>I 16.</w:t>
      </w:r>
      <w:r>
        <w:rPr>
          <w:rFonts w:ascii="Arial" w:eastAsia="Arial" w:hAnsi="Arial" w:cs="Arial"/>
        </w:rPr>
        <w:t xml:space="preserve"> </w:t>
      </w:r>
      <w:r>
        <w:t xml:space="preserve">Documentation of PD or first recurrence during (after at least 12 weeks from completion of irradiation) or after temozolomide maintenance therapy for newly diagnosed GBM treated with 1st line radiotherapy plus concurrent temozolomide. PD occurred within 12 weeks from completion of irradiation can only be defined by (1) new enhancement outside of the radiation field, or (2) unequivocal histological confirmation. Patients who received additional surgery after first recurrence ARE eligible. </w:t>
      </w:r>
    </w:p>
    <w:p w14:paraId="6C94D2AC" w14:textId="77777777" w:rsidR="000B3C5C" w:rsidRDefault="00ED192D">
      <w:pPr>
        <w:spacing w:after="194" w:line="249" w:lineRule="auto"/>
        <w:ind w:left="-5" w:right="51"/>
      </w:pPr>
      <w:r>
        <w:rPr>
          <w:b/>
        </w:rPr>
        <w:t xml:space="preserve">Sex </w:t>
      </w:r>
    </w:p>
    <w:p w14:paraId="2462FD0F" w14:textId="77777777" w:rsidR="000B3C5C" w:rsidRDefault="00ED192D">
      <w:pPr>
        <w:ind w:left="-3" w:right="14"/>
      </w:pPr>
      <w:r>
        <w:t>I 17.</w:t>
      </w:r>
      <w:r>
        <w:rPr>
          <w:rFonts w:ascii="Arial" w:eastAsia="Arial" w:hAnsi="Arial" w:cs="Arial"/>
        </w:rPr>
        <w:t xml:space="preserve"> </w:t>
      </w:r>
      <w:r>
        <w:t xml:space="preserve">Male or Female </w:t>
      </w:r>
    </w:p>
    <w:p w14:paraId="0492E392" w14:textId="77777777" w:rsidR="000B3C5C" w:rsidRDefault="00ED192D">
      <w:pPr>
        <w:pStyle w:val="Heading2"/>
        <w:spacing w:after="194"/>
        <w:ind w:left="-5" w:right="51"/>
      </w:pPr>
      <w:r>
        <w:t xml:space="preserve">Informed Consent </w:t>
      </w:r>
    </w:p>
    <w:p w14:paraId="12311795" w14:textId="77777777" w:rsidR="000B3C5C" w:rsidRDefault="00ED192D">
      <w:pPr>
        <w:spacing w:after="11"/>
        <w:ind w:left="-3" w:right="14"/>
      </w:pPr>
      <w:r>
        <w:t>I 18.</w:t>
      </w:r>
      <w:r>
        <w:rPr>
          <w:rFonts w:ascii="Arial" w:eastAsia="Arial" w:hAnsi="Arial" w:cs="Arial"/>
        </w:rPr>
        <w:t xml:space="preserve"> </w:t>
      </w:r>
      <w:r>
        <w:t xml:space="preserve">Capable of giving signed informed consent as described in Appendix 1  </w:t>
      </w:r>
    </w:p>
    <w:p w14:paraId="006263CF" w14:textId="77777777" w:rsidR="000B3C5C" w:rsidRDefault="00ED192D">
      <w:pPr>
        <w:spacing w:after="472"/>
        <w:ind w:left="701" w:right="14"/>
      </w:pPr>
      <w:r>
        <w:t>(</w:t>
      </w:r>
      <w:r>
        <w:rPr>
          <w:color w:val="0000FF"/>
        </w:rPr>
        <w:t>Section</w:t>
      </w:r>
      <w:r>
        <w:t xml:space="preserve"> </w:t>
      </w:r>
      <w:r>
        <w:rPr>
          <w:color w:val="0000FF"/>
        </w:rPr>
        <w:t>10.1.2</w:t>
      </w:r>
      <w:r>
        <w:t xml:space="preserve">) which includes compliance with the requirements and restrictions listed in the informed consent form (ICF) and in this protocol. </w:t>
      </w:r>
    </w:p>
    <w:p w14:paraId="599BA3E9" w14:textId="77777777" w:rsidR="000B3C5C" w:rsidRDefault="00ED192D">
      <w:pPr>
        <w:tabs>
          <w:tab w:val="center" w:pos="1872"/>
        </w:tabs>
        <w:spacing w:after="249" w:line="249" w:lineRule="auto"/>
        <w:ind w:left="-15" w:firstLine="0"/>
      </w:pPr>
      <w:r>
        <w:rPr>
          <w:rFonts w:ascii="Arial" w:eastAsia="Arial" w:hAnsi="Arial" w:cs="Arial"/>
          <w:b/>
          <w:sz w:val="22"/>
        </w:rPr>
        <w:t xml:space="preserve">5.2 </w:t>
      </w:r>
      <w:r>
        <w:rPr>
          <w:rFonts w:ascii="Arial" w:eastAsia="Arial" w:hAnsi="Arial" w:cs="Arial"/>
          <w:b/>
          <w:sz w:val="22"/>
        </w:rPr>
        <w:tab/>
        <w:t xml:space="preserve">EXCLUSION CRITERIA  </w:t>
      </w:r>
    </w:p>
    <w:p w14:paraId="42EC05D3" w14:textId="77777777" w:rsidR="000B3C5C" w:rsidRDefault="00ED192D">
      <w:pPr>
        <w:ind w:left="-3" w:right="14"/>
      </w:pPr>
      <w:r>
        <w:t xml:space="preserve">Participants are excluded from the study if any of the following criteria apply: </w:t>
      </w:r>
    </w:p>
    <w:p w14:paraId="73A85241" w14:textId="77777777" w:rsidR="000B3C5C" w:rsidRDefault="00ED192D">
      <w:pPr>
        <w:pStyle w:val="Heading2"/>
        <w:spacing w:after="194"/>
        <w:ind w:left="-5" w:right="51"/>
      </w:pPr>
      <w:r>
        <w:t xml:space="preserve">Medical conditions </w:t>
      </w:r>
    </w:p>
    <w:p w14:paraId="1B688951" w14:textId="77777777" w:rsidR="000B3C5C" w:rsidRDefault="00ED192D">
      <w:pPr>
        <w:spacing w:after="197"/>
        <w:ind w:left="678" w:right="14" w:hanging="691"/>
      </w:pPr>
      <w:r>
        <w:t>E 01.</w:t>
      </w:r>
      <w:r>
        <w:rPr>
          <w:rFonts w:ascii="Arial" w:eastAsia="Arial" w:hAnsi="Arial" w:cs="Arial"/>
        </w:rPr>
        <w:t xml:space="preserve"> </w:t>
      </w:r>
      <w:r>
        <w:t xml:space="preserve">Eastern Cooperative Oncology Group (ECOG) performance status of ≥2 (for patients with HCC, SCCHN, and EOC), or Karnofsky performance score of ≤70 (for patients with GBM (see Appendix 14: </w:t>
      </w:r>
      <w:r>
        <w:rPr>
          <w:color w:val="0000FF"/>
        </w:rPr>
        <w:t>Section</w:t>
      </w:r>
      <w:r>
        <w:t xml:space="preserve"> </w:t>
      </w:r>
      <w:r>
        <w:rPr>
          <w:color w:val="0000FF"/>
        </w:rPr>
        <w:t>10.14</w:t>
      </w:r>
      <w:r>
        <w:t xml:space="preserve">). </w:t>
      </w:r>
    </w:p>
    <w:p w14:paraId="1468AC17" w14:textId="77777777" w:rsidR="000B3C5C" w:rsidRDefault="00ED192D">
      <w:pPr>
        <w:spacing w:after="194"/>
        <w:ind w:left="-3" w:right="14"/>
      </w:pPr>
      <w:r>
        <w:t>E 02.</w:t>
      </w:r>
      <w:r>
        <w:rPr>
          <w:rFonts w:ascii="Arial" w:eastAsia="Arial" w:hAnsi="Arial" w:cs="Arial"/>
        </w:rPr>
        <w:t xml:space="preserve"> </w:t>
      </w:r>
      <w:r>
        <w:t xml:space="preserve">Predicted life expectancy &lt;3 months. </w:t>
      </w:r>
    </w:p>
    <w:p w14:paraId="0E9EA2A9" w14:textId="77777777" w:rsidR="000B3C5C" w:rsidRDefault="00ED192D">
      <w:pPr>
        <w:spacing w:after="198"/>
        <w:ind w:left="678" w:right="14" w:hanging="691"/>
      </w:pPr>
      <w:r>
        <w:t>E 03.</w:t>
      </w:r>
      <w:r>
        <w:rPr>
          <w:rFonts w:ascii="Arial" w:eastAsia="Arial" w:hAnsi="Arial" w:cs="Arial"/>
        </w:rPr>
        <w:t xml:space="preserve"> </w:t>
      </w:r>
      <w:r>
        <w:t xml:space="preserve">Active brain metastases or leptomeningeal metastases. Patients with asymptomatic central nervous system metastases which have been stable (defined as without evidence of progression by MRI for at least 28 days prior to initiation of IMP and any neurologic symptoms have returned to baseline) following treatment with surgery or radiation therapy are eligible. </w:t>
      </w:r>
    </w:p>
    <w:p w14:paraId="76D2D8A0" w14:textId="77777777" w:rsidR="000B3C5C" w:rsidRDefault="00ED192D">
      <w:pPr>
        <w:spacing w:after="197"/>
        <w:ind w:left="678" w:right="14" w:hanging="691"/>
      </w:pPr>
      <w:r>
        <w:t>E 04.</w:t>
      </w:r>
      <w:r>
        <w:rPr>
          <w:rFonts w:ascii="Arial" w:eastAsia="Arial" w:hAnsi="Arial" w:cs="Arial"/>
        </w:rPr>
        <w:t xml:space="preserve"> </w:t>
      </w:r>
      <w:r>
        <w:t xml:space="preserve">Symptomatic or impending cord compression at study entry, unless appropriately treated beforehand and remained clinically stable and asymptomatic. </w:t>
      </w:r>
    </w:p>
    <w:p w14:paraId="11CD6AEA" w14:textId="77777777" w:rsidR="000B3C5C" w:rsidRDefault="00ED192D">
      <w:pPr>
        <w:ind w:left="678" w:right="14" w:hanging="691"/>
      </w:pPr>
      <w:r>
        <w:t>E 05.</w:t>
      </w:r>
      <w:r>
        <w:rPr>
          <w:rFonts w:ascii="Arial" w:eastAsia="Arial" w:hAnsi="Arial" w:cs="Arial"/>
        </w:rPr>
        <w:t xml:space="preserve"> </w:t>
      </w:r>
      <w:r>
        <w:t xml:space="preserve">Comorbidity requiring systemic corticosteroid therapy (&gt;10 mg prednisone/day or equivalent for patients with HCC, SCCHN, and EOC). Physiologic replacement doses are allowed even if they are &gt;10 mg of prednisone/day or equivalent, as long as they are not being administered for immunosuppressive intent. </w:t>
      </w:r>
    </w:p>
    <w:p w14:paraId="108B3EFE" w14:textId="77777777" w:rsidR="000B3C5C" w:rsidRDefault="00ED192D">
      <w:pPr>
        <w:ind w:left="678" w:right="14" w:hanging="691"/>
      </w:pPr>
      <w:r>
        <w:t>E 06.</w:t>
      </w:r>
      <w:r>
        <w:tab/>
        <w:t xml:space="preserve">Significant cardiac dysfunction such as New York Heart Association classification for chronic heart failure III-IV, symptomatic coronary artery disease, major clinically significant electrocardiogram (ECG) abnormality, clinically significant ventricular arrhythmias; myocardial infarction within 6 months; unstable, poorly controlled angina pectoris despite treatment. </w:t>
      </w:r>
    </w:p>
    <w:p w14:paraId="48FC61A7" w14:textId="77777777" w:rsidR="000B3C5C" w:rsidRDefault="00ED192D">
      <w:pPr>
        <w:spacing w:after="224" w:line="259" w:lineRule="auto"/>
        <w:ind w:left="-5"/>
      </w:pPr>
      <w:r>
        <w:rPr>
          <w:b/>
          <w:i/>
        </w:rPr>
        <w:t>For patients with SCCHN</w:t>
      </w:r>
      <w:r>
        <w:rPr>
          <w:b/>
        </w:rPr>
        <w:t xml:space="preserve">: </w:t>
      </w:r>
    </w:p>
    <w:p w14:paraId="153B132B" w14:textId="77777777" w:rsidR="000B3C5C" w:rsidRDefault="00ED192D">
      <w:pPr>
        <w:ind w:left="678" w:right="114" w:hanging="691"/>
      </w:pPr>
      <w:r>
        <w:t>E 07.</w:t>
      </w:r>
      <w:r>
        <w:rPr>
          <w:rFonts w:ascii="Arial" w:eastAsia="Arial" w:hAnsi="Arial" w:cs="Arial"/>
        </w:rPr>
        <w:t xml:space="preserve"> </w:t>
      </w:r>
      <w:r>
        <w:t xml:space="preserve">Histologically confirmed recurrent or metastatic carcinoma of the nasopharynx, squamous cell carcinoma of unknown primary, and salivary gland or non-squamous histologies (eg, mucosal melanoma). </w:t>
      </w:r>
    </w:p>
    <w:p w14:paraId="165B27C0" w14:textId="77777777" w:rsidR="000B3C5C" w:rsidRDefault="00ED192D">
      <w:pPr>
        <w:spacing w:after="224" w:line="259" w:lineRule="auto"/>
        <w:ind w:left="-5"/>
      </w:pPr>
      <w:r>
        <w:rPr>
          <w:b/>
          <w:i/>
        </w:rPr>
        <w:t>For patients with EOC</w:t>
      </w:r>
      <w:r>
        <w:rPr>
          <w:b/>
        </w:rPr>
        <w:t xml:space="preserve">: </w:t>
      </w:r>
    </w:p>
    <w:p w14:paraId="42109D08" w14:textId="77777777" w:rsidR="000B3C5C" w:rsidRDefault="00ED192D">
      <w:pPr>
        <w:ind w:left="678" w:right="14" w:hanging="691"/>
      </w:pPr>
      <w:r>
        <w:t>E 08.</w:t>
      </w:r>
      <w:r>
        <w:rPr>
          <w:rFonts w:ascii="Arial" w:eastAsia="Arial" w:hAnsi="Arial" w:cs="Arial"/>
        </w:rPr>
        <w:t xml:space="preserve"> </w:t>
      </w:r>
      <w:r>
        <w:t xml:space="preserve">Non-epithelial tumor or ovarian tumors with low malignant potential (ie, borderline tumors, eg, low grade serous). </w:t>
      </w:r>
    </w:p>
    <w:p w14:paraId="12652329" w14:textId="77777777" w:rsidR="000B3C5C" w:rsidRDefault="00ED192D">
      <w:pPr>
        <w:spacing w:after="224" w:line="259" w:lineRule="auto"/>
        <w:ind w:left="-5"/>
      </w:pPr>
      <w:r>
        <w:rPr>
          <w:b/>
          <w:i/>
        </w:rPr>
        <w:t>For patients with GBM</w:t>
      </w:r>
      <w:r>
        <w:rPr>
          <w:b/>
        </w:rPr>
        <w:t xml:space="preserve">: </w:t>
      </w:r>
    </w:p>
    <w:p w14:paraId="4D029AE9" w14:textId="77777777" w:rsidR="000B3C5C" w:rsidRDefault="00ED192D">
      <w:pPr>
        <w:ind w:left="-3" w:right="14"/>
      </w:pPr>
      <w:r>
        <w:t>E 09.</w:t>
      </w:r>
      <w:r>
        <w:rPr>
          <w:rFonts w:ascii="Arial" w:eastAsia="Arial" w:hAnsi="Arial" w:cs="Arial"/>
        </w:rPr>
        <w:t xml:space="preserve"> </w:t>
      </w:r>
      <w:r>
        <w:t xml:space="preserve">Have more than 1 prior recurrence. </w:t>
      </w:r>
    </w:p>
    <w:p w14:paraId="77FDAD44" w14:textId="77777777" w:rsidR="000B3C5C" w:rsidRDefault="00ED192D">
      <w:pPr>
        <w:ind w:left="-3" w:right="14"/>
      </w:pPr>
      <w:r>
        <w:t>E 10.</w:t>
      </w:r>
      <w:r>
        <w:rPr>
          <w:rFonts w:ascii="Arial" w:eastAsia="Arial" w:hAnsi="Arial" w:cs="Arial"/>
        </w:rPr>
        <w:t xml:space="preserve"> </w:t>
      </w:r>
      <w:r>
        <w:t xml:space="preserve">Presence of diffuse leptomeningeal disease or extracranial metastases. </w:t>
      </w:r>
    </w:p>
    <w:p w14:paraId="59ECF4A0" w14:textId="77777777" w:rsidR="000B3C5C" w:rsidRDefault="00ED192D">
      <w:pPr>
        <w:ind w:left="-3" w:right="14"/>
      </w:pPr>
      <w:r>
        <w:t>E 11.</w:t>
      </w:r>
      <w:r>
        <w:rPr>
          <w:rFonts w:ascii="Arial" w:eastAsia="Arial" w:hAnsi="Arial" w:cs="Arial"/>
        </w:rPr>
        <w:t xml:space="preserve"> </w:t>
      </w:r>
      <w:r>
        <w:t xml:space="preserve">Tumors primarily localized or originated from the brainstem or spinal cord. </w:t>
      </w:r>
    </w:p>
    <w:p w14:paraId="72717FC1" w14:textId="77777777" w:rsidR="000B3C5C" w:rsidRDefault="00ED192D">
      <w:pPr>
        <w:ind w:left="678" w:right="896" w:hanging="691"/>
      </w:pPr>
      <w:r>
        <w:t>E 12.</w:t>
      </w:r>
      <w:r>
        <w:rPr>
          <w:rFonts w:ascii="Arial" w:eastAsia="Arial" w:hAnsi="Arial" w:cs="Arial"/>
        </w:rPr>
        <w:t xml:space="preserve"> </w:t>
      </w:r>
      <w:r>
        <w:t xml:space="preserve">Requires treatment with dexamethasone &gt;4 mg/day, or bioequivalent for at least 3 consecutive days, within 2 weeks before initiation of IMP. </w:t>
      </w:r>
    </w:p>
    <w:p w14:paraId="073F02F5" w14:textId="77777777" w:rsidR="000B3C5C" w:rsidRDefault="00ED192D">
      <w:pPr>
        <w:ind w:left="678" w:right="14" w:hanging="691"/>
      </w:pPr>
      <w:r>
        <w:t>E 13.</w:t>
      </w:r>
      <w:r>
        <w:rPr>
          <w:rFonts w:ascii="Arial" w:eastAsia="Arial" w:hAnsi="Arial" w:cs="Arial"/>
        </w:rPr>
        <w:t xml:space="preserve"> </w:t>
      </w:r>
      <w:r>
        <w:t xml:space="preserve">Mental impairment that may compromise ability to give informed consent and comply with the requirements of the study. </w:t>
      </w:r>
    </w:p>
    <w:p w14:paraId="17611D70" w14:textId="77777777" w:rsidR="000B3C5C" w:rsidRDefault="00ED192D">
      <w:pPr>
        <w:ind w:left="-3" w:right="14"/>
      </w:pPr>
      <w:r>
        <w:t>E 14.</w:t>
      </w:r>
      <w:r>
        <w:rPr>
          <w:rFonts w:ascii="Arial" w:eastAsia="Arial" w:hAnsi="Arial" w:cs="Arial"/>
        </w:rPr>
        <w:t xml:space="preserve"> </w:t>
      </w:r>
      <w:r>
        <w:t xml:space="preserve">Uncontrolled seizure by medication. </w:t>
      </w:r>
    </w:p>
    <w:p w14:paraId="03B32084" w14:textId="77777777" w:rsidR="000B3C5C" w:rsidRDefault="00ED192D">
      <w:pPr>
        <w:pStyle w:val="Heading2"/>
        <w:ind w:left="-5" w:right="51"/>
      </w:pPr>
      <w:r>
        <w:t xml:space="preserve">Prior/concomitant therapy </w:t>
      </w:r>
    </w:p>
    <w:p w14:paraId="09F31EBB" w14:textId="77777777" w:rsidR="000B3C5C" w:rsidRDefault="00ED192D">
      <w:pPr>
        <w:ind w:left="678" w:right="14" w:hanging="691"/>
      </w:pPr>
      <w:r>
        <w:t>E 15.</w:t>
      </w:r>
      <w:r>
        <w:rPr>
          <w:rFonts w:ascii="Arial" w:eastAsia="Arial" w:hAnsi="Arial" w:cs="Arial"/>
        </w:rPr>
        <w:t xml:space="preserve"> </w:t>
      </w:r>
      <w:r>
        <w:t xml:space="preserve">Prior treatment with an agent (approved or investigational) that blocks CD38 (patients who had previously participated in a study with an anti-CD38 but have written confirmation they were on control arm are allowed). </w:t>
      </w:r>
    </w:p>
    <w:p w14:paraId="4EEE96F1" w14:textId="77777777" w:rsidR="000B3C5C" w:rsidRDefault="00ED192D">
      <w:pPr>
        <w:ind w:left="678" w:right="14" w:hanging="691"/>
      </w:pPr>
      <w:r>
        <w:t>E 16.</w:t>
      </w:r>
      <w:r>
        <w:rPr>
          <w:rFonts w:ascii="Arial" w:eastAsia="Arial" w:hAnsi="Arial" w:cs="Arial"/>
        </w:rPr>
        <w:t xml:space="preserve"> </w:t>
      </w:r>
      <w:r>
        <w:t xml:space="preserve">Prior treatment with an agent (approved or investigational) that blocks the PD-1/PD-L1 pathway (patients who had previously participated in a study with an anti-PD-1/PD-L1 but have written confirmation they were on control arm are allowed). </w:t>
      </w:r>
    </w:p>
    <w:p w14:paraId="32217F6E" w14:textId="77777777" w:rsidR="000B3C5C" w:rsidRDefault="00ED192D">
      <w:pPr>
        <w:ind w:left="678" w:right="14" w:hanging="691"/>
      </w:pPr>
      <w:r>
        <w:t>E 17.</w:t>
      </w:r>
      <w:r>
        <w:rPr>
          <w:rFonts w:ascii="Arial" w:eastAsia="Arial" w:hAnsi="Arial" w:cs="Arial"/>
        </w:rPr>
        <w:t xml:space="preserve"> </w:t>
      </w:r>
      <w:r>
        <w:t xml:space="preserve">Prior intravenous (IV) cytotoxic chemotherapy, antineoplastic biological therapy within  21 days from initiation of IMP, major surgery with 28 days from initiation of IMP; and prior oral cytotoxic chemotherapy, hormonal therapy, tyrosine kinase inhibitor therapy, or completed palliative radiotherapy within 14 days from initiation of IMP. </w:t>
      </w:r>
    </w:p>
    <w:p w14:paraId="4A227DAC" w14:textId="77777777" w:rsidR="000B3C5C" w:rsidRDefault="00ED192D">
      <w:pPr>
        <w:spacing w:line="249" w:lineRule="auto"/>
        <w:ind w:left="-5" w:right="51"/>
      </w:pPr>
      <w:r>
        <w:rPr>
          <w:b/>
        </w:rPr>
        <w:t xml:space="preserve">For patients with GBM: </w:t>
      </w:r>
    </w:p>
    <w:p w14:paraId="283BF9BD" w14:textId="77777777" w:rsidR="000B3C5C" w:rsidRDefault="00ED192D">
      <w:pPr>
        <w:ind w:left="-3" w:right="14"/>
      </w:pPr>
      <w:r>
        <w:t>E 18.</w:t>
      </w:r>
      <w:r>
        <w:rPr>
          <w:rFonts w:ascii="Arial" w:eastAsia="Arial" w:hAnsi="Arial" w:cs="Arial"/>
        </w:rPr>
        <w:t xml:space="preserve"> </w:t>
      </w:r>
      <w:r>
        <w:t xml:space="preserve">Received vascular endothelial growth factor (VEGF)/VEGF receptor directed therapy. </w:t>
      </w:r>
    </w:p>
    <w:p w14:paraId="1FE8A1BA" w14:textId="77777777" w:rsidR="000B3C5C" w:rsidRDefault="00ED192D">
      <w:pPr>
        <w:ind w:left="678" w:right="14" w:hanging="691"/>
      </w:pPr>
      <w:r>
        <w:t>E 19.</w:t>
      </w:r>
      <w:r>
        <w:rPr>
          <w:rFonts w:ascii="Arial" w:eastAsia="Arial" w:hAnsi="Arial" w:cs="Arial"/>
        </w:rPr>
        <w:t xml:space="preserve"> </w:t>
      </w:r>
      <w:r>
        <w:t xml:space="preserve">Locally directed therapies (except radiotherapy) including but not limited to stereotactic radiosurgery, re-irradiation, Gliadel, and therapeutics administered by direct injection or convection-enhanced delivery within 6 months before initiation of IMP. </w:t>
      </w:r>
    </w:p>
    <w:p w14:paraId="3A911CC9" w14:textId="77777777" w:rsidR="000B3C5C" w:rsidRDefault="00ED192D">
      <w:pPr>
        <w:spacing w:line="249" w:lineRule="auto"/>
        <w:ind w:left="-5" w:right="51"/>
      </w:pPr>
      <w:r>
        <w:rPr>
          <w:b/>
        </w:rPr>
        <w:t xml:space="preserve">Prior/concurrent clinical study experience </w:t>
      </w:r>
    </w:p>
    <w:p w14:paraId="6C0A180B" w14:textId="77777777" w:rsidR="000B3C5C" w:rsidRDefault="00ED192D">
      <w:pPr>
        <w:ind w:left="-3" w:right="14"/>
      </w:pPr>
      <w:r>
        <w:t>E 20.</w:t>
      </w:r>
      <w:r>
        <w:rPr>
          <w:rFonts w:ascii="Arial" w:eastAsia="Arial" w:hAnsi="Arial" w:cs="Arial"/>
        </w:rPr>
        <w:t xml:space="preserve"> </w:t>
      </w:r>
      <w:r>
        <w:t xml:space="preserve">Last dose of prior investigational agent within 28 days from initiation of IMP. </w:t>
      </w:r>
    </w:p>
    <w:p w14:paraId="5A4953B5" w14:textId="77777777" w:rsidR="000B3C5C" w:rsidRDefault="00ED192D">
      <w:pPr>
        <w:pStyle w:val="Heading2"/>
        <w:ind w:left="-5" w:right="51"/>
      </w:pPr>
      <w:r>
        <w:t>Diagnostic assessments</w:t>
      </w:r>
      <w:r>
        <w:rPr>
          <w:b w:val="0"/>
        </w:rPr>
        <w:t xml:space="preserve"> </w:t>
      </w:r>
    </w:p>
    <w:p w14:paraId="4A1D2E61" w14:textId="77777777" w:rsidR="000B3C5C" w:rsidRDefault="00ED192D">
      <w:pPr>
        <w:spacing w:after="129"/>
        <w:ind w:left="-3" w:right="14"/>
      </w:pPr>
      <w:r>
        <w:t>E 21.</w:t>
      </w:r>
      <w:r>
        <w:rPr>
          <w:rFonts w:ascii="Arial" w:eastAsia="Arial" w:hAnsi="Arial" w:cs="Arial"/>
        </w:rPr>
        <w:t xml:space="preserve"> </w:t>
      </w:r>
      <w:r>
        <w:t xml:space="preserve">Inadequate organ and bone marrow function at the Screening visit: </w:t>
      </w:r>
    </w:p>
    <w:p w14:paraId="5C892118" w14:textId="77777777" w:rsidR="000B3C5C" w:rsidRDefault="00ED192D">
      <w:pPr>
        <w:numPr>
          <w:ilvl w:val="0"/>
          <w:numId w:val="25"/>
        </w:numPr>
        <w:spacing w:after="151"/>
        <w:ind w:right="14" w:hanging="362"/>
      </w:pPr>
      <w:r>
        <w:t>White blood cell (WBC) &lt;2000/mm</w:t>
      </w:r>
      <w:r>
        <w:rPr>
          <w:vertAlign w:val="superscript"/>
        </w:rPr>
        <w:t>3</w:t>
      </w:r>
      <w:r>
        <w:t xml:space="preserve"> (2.0 × 10</w:t>
      </w:r>
      <w:r>
        <w:rPr>
          <w:vertAlign w:val="superscript"/>
        </w:rPr>
        <w:t>9</w:t>
      </w:r>
      <w:r>
        <w:t xml:space="preserve">/L), </w:t>
      </w:r>
    </w:p>
    <w:p w14:paraId="13C7781A" w14:textId="77777777" w:rsidR="000B3C5C" w:rsidRDefault="00ED192D">
      <w:pPr>
        <w:numPr>
          <w:ilvl w:val="0"/>
          <w:numId w:val="25"/>
        </w:numPr>
        <w:spacing w:after="150"/>
        <w:ind w:right="14" w:hanging="362"/>
      </w:pPr>
      <w:r>
        <w:t>Absolute neutrophil count (ANC) &lt;1500/mm</w:t>
      </w:r>
      <w:r>
        <w:rPr>
          <w:vertAlign w:val="superscript"/>
        </w:rPr>
        <w:t>3</w:t>
      </w:r>
      <w:r>
        <w:t xml:space="preserve"> (1.5 × 10</w:t>
      </w:r>
      <w:r>
        <w:rPr>
          <w:vertAlign w:val="superscript"/>
        </w:rPr>
        <w:t>9</w:t>
      </w:r>
      <w:r>
        <w:t xml:space="preserve">/L), </w:t>
      </w:r>
    </w:p>
    <w:p w14:paraId="665743E0" w14:textId="77777777" w:rsidR="000B3C5C" w:rsidRDefault="00ED192D">
      <w:pPr>
        <w:numPr>
          <w:ilvl w:val="0"/>
          <w:numId w:val="25"/>
        </w:numPr>
        <w:spacing w:after="138"/>
        <w:ind w:right="14" w:hanging="362"/>
      </w:pPr>
      <w:r>
        <w:t>Platelets &lt;100 × 10</w:t>
      </w:r>
      <w:r>
        <w:rPr>
          <w:vertAlign w:val="superscript"/>
        </w:rPr>
        <w:t>9</w:t>
      </w:r>
      <w:r>
        <w:t>/L for patients with SCCHN, EOC and GBM; or &lt;75 × 10</w:t>
      </w:r>
      <w:r>
        <w:rPr>
          <w:vertAlign w:val="superscript"/>
        </w:rPr>
        <w:t>9</w:t>
      </w:r>
      <w:r>
        <w:t xml:space="preserve"> /L for patients with HCC. Platelet transfusion is not allowed within 7 days before the screening hematological test, </w:t>
      </w:r>
    </w:p>
    <w:p w14:paraId="3CD3DEB0" w14:textId="77777777" w:rsidR="000B3C5C" w:rsidRDefault="00ED192D">
      <w:pPr>
        <w:numPr>
          <w:ilvl w:val="0"/>
          <w:numId w:val="25"/>
        </w:numPr>
        <w:spacing w:after="142"/>
        <w:ind w:right="14" w:hanging="362"/>
      </w:pPr>
      <w:r>
        <w:t xml:space="preserve">Hemoglobin &lt;9 g/dL or &lt;5.6 mmol/L (without transfusion within 1 week), </w:t>
      </w:r>
    </w:p>
    <w:p w14:paraId="2712D883" w14:textId="77777777" w:rsidR="000B3C5C" w:rsidRDefault="00ED192D">
      <w:pPr>
        <w:numPr>
          <w:ilvl w:val="0"/>
          <w:numId w:val="25"/>
        </w:numPr>
        <w:spacing w:after="142"/>
        <w:ind w:right="14" w:hanging="362"/>
      </w:pPr>
      <w:r>
        <w:t xml:space="preserve">Total bilirubin &gt;2 upper limit of normal (ULN), </w:t>
      </w:r>
    </w:p>
    <w:p w14:paraId="1908D383" w14:textId="77777777" w:rsidR="000B3C5C" w:rsidRDefault="00ED192D">
      <w:pPr>
        <w:numPr>
          <w:ilvl w:val="0"/>
          <w:numId w:val="25"/>
        </w:numPr>
        <w:spacing w:after="11"/>
        <w:ind w:right="14" w:hanging="362"/>
      </w:pPr>
      <w:r>
        <w:t xml:space="preserve">Aspartate aminotransferase (AST) and/or alanine aminotransferase (ALT) &gt;3 × ULN </w:t>
      </w:r>
    </w:p>
    <w:p w14:paraId="02A70BBB" w14:textId="77777777" w:rsidR="000B3C5C" w:rsidRDefault="00ED192D">
      <w:pPr>
        <w:spacing w:after="136"/>
        <w:ind w:left="1092" w:right="14"/>
      </w:pPr>
      <w:r>
        <w:t xml:space="preserve">(or &gt;5 × ULN for patients with liver metastases or HCC), </w:t>
      </w:r>
    </w:p>
    <w:p w14:paraId="5D79AED1" w14:textId="77777777" w:rsidR="000B3C5C" w:rsidRDefault="00ED192D">
      <w:pPr>
        <w:numPr>
          <w:ilvl w:val="0"/>
          <w:numId w:val="25"/>
        </w:numPr>
        <w:spacing w:after="148"/>
        <w:ind w:right="14" w:hanging="362"/>
      </w:pPr>
      <w:r>
        <w:t>For Phase 1, patients without pre-</w:t>
      </w:r>
      <w:r>
        <w:t>existing or acute liver disease (including viral hepatitis, HCC or liver metastasis), total bilirubin &gt;1.5 × ULN, AST and/or ALT &gt;2 × ULN</w:t>
      </w:r>
      <w:r>
        <w:rPr>
          <w:rFonts w:ascii="Calibri" w:eastAsia="Calibri" w:hAnsi="Calibri" w:cs="Calibri"/>
          <w:color w:val="4F81BD"/>
        </w:rPr>
        <w:t>,</w:t>
      </w:r>
      <w:r>
        <w:t xml:space="preserve"> ALP &gt;2.5 × ULN</w:t>
      </w:r>
      <w:r>
        <w:rPr>
          <w:rFonts w:ascii="Calibri" w:eastAsia="Calibri" w:hAnsi="Calibri" w:cs="Calibri"/>
          <w:color w:val="4F81BD"/>
        </w:rPr>
        <w:t>,</w:t>
      </w:r>
      <w:r>
        <w:t xml:space="preserve"> </w:t>
      </w:r>
    </w:p>
    <w:p w14:paraId="20347660" w14:textId="77777777" w:rsidR="000B3C5C" w:rsidRDefault="00ED192D">
      <w:pPr>
        <w:numPr>
          <w:ilvl w:val="0"/>
          <w:numId w:val="25"/>
        </w:numPr>
        <w:spacing w:after="138"/>
        <w:ind w:right="14" w:hanging="362"/>
      </w:pPr>
      <w:r>
        <w:t xml:space="preserve">International normalized ratio (INR) &gt;1.7 or prothrombin time &gt;4 seconds above control for patients with HCC, </w:t>
      </w:r>
    </w:p>
    <w:p w14:paraId="17AE0151" w14:textId="77777777" w:rsidR="000B3C5C" w:rsidRDefault="00ED192D">
      <w:pPr>
        <w:numPr>
          <w:ilvl w:val="0"/>
          <w:numId w:val="25"/>
        </w:numPr>
        <w:spacing w:after="140"/>
        <w:ind w:right="14" w:hanging="362"/>
      </w:pPr>
      <w:r>
        <w:t xml:space="preserve">Albumin &lt;2.8 g/dL for patients with HCC, </w:t>
      </w:r>
    </w:p>
    <w:p w14:paraId="09753BFF" w14:textId="77777777" w:rsidR="000B3C5C" w:rsidRDefault="00ED192D">
      <w:pPr>
        <w:numPr>
          <w:ilvl w:val="0"/>
          <w:numId w:val="25"/>
        </w:numPr>
        <w:ind w:right="14" w:hanging="362"/>
      </w:pPr>
      <w:r>
        <w:t>Estimated glomerular filtration rate (eGFR) &lt;30 mL/min/1.73m</w:t>
      </w:r>
      <w:r>
        <w:rPr>
          <w:vertAlign w:val="superscript"/>
        </w:rPr>
        <w:t>2</w:t>
      </w:r>
      <w:r>
        <w:t xml:space="preserve"> (Modification of Diet in Renal Disease [MDRD] Formula). </w:t>
      </w:r>
    </w:p>
    <w:p w14:paraId="718B689F" w14:textId="77777777" w:rsidR="000B3C5C" w:rsidRDefault="00ED192D">
      <w:pPr>
        <w:ind w:left="-3" w:right="14"/>
      </w:pPr>
      <w:r>
        <w:t>E 22.</w:t>
      </w:r>
      <w:r>
        <w:rPr>
          <w:rFonts w:ascii="Arial" w:eastAsia="Arial" w:hAnsi="Arial" w:cs="Arial"/>
        </w:rPr>
        <w:t xml:space="preserve"> </w:t>
      </w:r>
      <w:r>
        <w:t xml:space="preserve">Prior solid organ or bone marrow transplantation. </w:t>
      </w:r>
    </w:p>
    <w:p w14:paraId="0C398471" w14:textId="77777777" w:rsidR="000B3C5C" w:rsidRDefault="00ED192D">
      <w:pPr>
        <w:ind w:left="678" w:right="14" w:hanging="691"/>
      </w:pPr>
      <w:r>
        <w:t>E 23.</w:t>
      </w:r>
      <w:r>
        <w:rPr>
          <w:rFonts w:ascii="Arial" w:eastAsia="Arial" w:hAnsi="Arial" w:cs="Arial"/>
        </w:rPr>
        <w:t xml:space="preserve"> </w:t>
      </w:r>
      <w:r>
        <w:t xml:space="preserve">Treatment-related immune-mediated (or immune-related) AEs from immune-modulatory agents (including but not limited to anti-CTLA4-mAbs) that caused permanent discontinuation of the agent, or that were Grade 3 or 4 in severity, or that have not resolved to baseline at least 3 months prior to initiation of IMP. </w:t>
      </w:r>
    </w:p>
    <w:p w14:paraId="159A8D17" w14:textId="77777777" w:rsidR="000B3C5C" w:rsidRDefault="00ED192D">
      <w:pPr>
        <w:ind w:left="-3" w:right="14"/>
      </w:pPr>
      <w:r>
        <w:t>E 24.</w:t>
      </w:r>
      <w:r>
        <w:rPr>
          <w:rFonts w:ascii="Arial" w:eastAsia="Arial" w:hAnsi="Arial" w:cs="Arial"/>
        </w:rPr>
        <w:t xml:space="preserve"> </w:t>
      </w:r>
      <w:r>
        <w:t xml:space="preserve">History of Grade 3 immune-mediated ADRs (eg, colitis, hepatitis, etc). </w:t>
      </w:r>
    </w:p>
    <w:p w14:paraId="65235B02" w14:textId="77777777" w:rsidR="000B3C5C" w:rsidRDefault="00ED192D">
      <w:pPr>
        <w:ind w:left="678" w:right="14" w:hanging="691"/>
      </w:pPr>
      <w:r>
        <w:t>E 25.</w:t>
      </w:r>
      <w:r>
        <w:tab/>
        <w:t xml:space="preserve">Ongoing AEs (excluding alopecia and fatigue) caused by any prior anti-cancer therapy &gt;Grade 1 (NCI-CTCAE v4.03). </w:t>
      </w:r>
    </w:p>
    <w:p w14:paraId="186749A6" w14:textId="77777777" w:rsidR="000B3C5C" w:rsidRDefault="00ED192D">
      <w:pPr>
        <w:ind w:left="-3" w:right="14"/>
      </w:pPr>
      <w:r>
        <w:t>E 26.</w:t>
      </w:r>
      <w:r>
        <w:rPr>
          <w:rFonts w:ascii="Arial" w:eastAsia="Arial" w:hAnsi="Arial" w:cs="Arial"/>
        </w:rPr>
        <w:t xml:space="preserve"> </w:t>
      </w:r>
      <w:r>
        <w:t xml:space="preserve">Active, known, or suspected autoimmune disease. </w:t>
      </w:r>
    </w:p>
    <w:p w14:paraId="4D812AB0" w14:textId="77777777" w:rsidR="000B3C5C" w:rsidRDefault="00ED192D">
      <w:pPr>
        <w:ind w:left="678" w:right="14" w:hanging="691"/>
      </w:pPr>
      <w:r>
        <w:t>E 27.</w:t>
      </w:r>
      <w:r>
        <w:rPr>
          <w:rFonts w:ascii="Arial" w:eastAsia="Arial" w:hAnsi="Arial" w:cs="Arial"/>
        </w:rPr>
        <w:t xml:space="preserve"> </w:t>
      </w:r>
      <w:r>
        <w:t xml:space="preserve">History of or current interstitial lung disease or pneumonitis (radiation pneumonitis in the radiation field is permitted); history of thoracic radiation received thoracic radiation therapy of &gt;30 Gy within 6 months of the first dose of trial treatment. </w:t>
      </w:r>
    </w:p>
    <w:p w14:paraId="6F4F836B" w14:textId="77777777" w:rsidR="000B3C5C" w:rsidRDefault="00ED192D">
      <w:pPr>
        <w:ind w:left="678" w:right="14" w:hanging="691"/>
      </w:pPr>
      <w:r>
        <w:t>E 28.</w:t>
      </w:r>
      <w:r>
        <w:rPr>
          <w:rFonts w:ascii="Arial" w:eastAsia="Arial" w:hAnsi="Arial" w:cs="Arial"/>
        </w:rPr>
        <w:t xml:space="preserve"> </w:t>
      </w:r>
      <w:r>
        <w:t xml:space="preserve">Receipt of a live-virus vaccination within 28 days of planned treatment start. Seasonal flu vaccines that do not contain live virus are permitted. </w:t>
      </w:r>
    </w:p>
    <w:p w14:paraId="587185C6" w14:textId="77777777" w:rsidR="000B3C5C" w:rsidRDefault="00ED192D">
      <w:pPr>
        <w:ind w:left="678" w:right="14" w:hanging="691"/>
      </w:pPr>
      <w:r>
        <w:t>E 29.</w:t>
      </w:r>
      <w:r>
        <w:rPr>
          <w:rFonts w:ascii="Arial" w:eastAsia="Arial" w:hAnsi="Arial" w:cs="Arial"/>
        </w:rPr>
        <w:t xml:space="preserve"> </w:t>
      </w:r>
      <w:r>
        <w:t xml:space="preserve">Known additional malignancy either progressing or requiring active treatment within the last 3 years (except for basal cell carcinoma of the skin, squamous cell carcinoma of the skin, or in situ cervical cancer that has undergone potentially curative therapy). </w:t>
      </w:r>
    </w:p>
    <w:p w14:paraId="1625D7F8" w14:textId="77777777" w:rsidR="000B3C5C" w:rsidRDefault="00ED192D">
      <w:pPr>
        <w:ind w:left="678" w:right="14" w:hanging="691"/>
      </w:pPr>
      <w:r>
        <w:t>E 30.</w:t>
      </w:r>
      <w:r>
        <w:rPr>
          <w:rFonts w:ascii="Arial" w:eastAsia="Arial" w:hAnsi="Arial" w:cs="Arial"/>
        </w:rPr>
        <w:t xml:space="preserve"> </w:t>
      </w:r>
      <w:r>
        <w:t xml:space="preserve">Women of childbearing potential (WOCBP) or male patients with female partners of childbearing potential not protected by highly effective method of birth control and/or who are unwilling or unable to be tested for pregnancy (see Appendix 4: </w:t>
      </w:r>
      <w:r>
        <w:rPr>
          <w:color w:val="0000FF"/>
        </w:rPr>
        <w:t>Section</w:t>
      </w:r>
      <w:r>
        <w:t xml:space="preserve"> </w:t>
      </w:r>
      <w:r>
        <w:rPr>
          <w:color w:val="0000FF"/>
        </w:rPr>
        <w:t>10.4</w:t>
      </w:r>
      <w:r>
        <w:t xml:space="preserve">). </w:t>
      </w:r>
    </w:p>
    <w:p w14:paraId="44DB132B" w14:textId="77777777" w:rsidR="000B3C5C" w:rsidRDefault="00ED192D">
      <w:pPr>
        <w:ind w:left="678" w:right="14" w:hanging="691"/>
      </w:pPr>
      <w:r>
        <w:t>E 31.</w:t>
      </w:r>
      <w:r>
        <w:rPr>
          <w:rFonts w:ascii="Arial" w:eastAsia="Arial" w:hAnsi="Arial" w:cs="Arial"/>
        </w:rPr>
        <w:t xml:space="preserve"> </w:t>
      </w:r>
      <w:r>
        <w:t xml:space="preserve">Pregnant or breastfeeding women or women who intend to become pregnant during participation in the study. </w:t>
      </w:r>
    </w:p>
    <w:p w14:paraId="237B3CCD" w14:textId="77777777" w:rsidR="000B3C5C" w:rsidRDefault="00ED192D">
      <w:pPr>
        <w:ind w:left="678" w:right="14" w:hanging="691"/>
      </w:pPr>
      <w:r>
        <w:t>E 32.</w:t>
      </w:r>
      <w:r>
        <w:rPr>
          <w:rFonts w:ascii="Arial" w:eastAsia="Arial" w:hAnsi="Arial" w:cs="Arial"/>
        </w:rPr>
        <w:t xml:space="preserve"> </w:t>
      </w:r>
      <w:r>
        <w:t xml:space="preserve">Known intolerance or hypersensitivity to any component of isatuximab, atezolizumab, or pre-medication. </w:t>
      </w:r>
    </w:p>
    <w:p w14:paraId="49D858B1" w14:textId="77777777" w:rsidR="000B3C5C" w:rsidRDefault="00ED192D">
      <w:pPr>
        <w:ind w:left="678" w:right="14" w:hanging="691"/>
      </w:pPr>
      <w:r>
        <w:t>E 33.</w:t>
      </w:r>
      <w:r>
        <w:rPr>
          <w:rFonts w:ascii="Arial" w:eastAsia="Arial" w:hAnsi="Arial" w:cs="Arial"/>
        </w:rPr>
        <w:t xml:space="preserve"> </w:t>
      </w:r>
      <w:r>
        <w:t xml:space="preserve">History or current evidence of any condition, therapy, or laboratory abnormality that might confound the results of the trial, interfere with the patient’s participation for the full duration of the trial, or is not in the best interest of the patient to participate, in the opinion of the treating Investigator. </w:t>
      </w:r>
    </w:p>
    <w:p w14:paraId="0BCF5E70" w14:textId="77777777" w:rsidR="000B3C5C" w:rsidRDefault="00ED192D">
      <w:pPr>
        <w:ind w:left="678" w:right="14" w:hanging="691"/>
      </w:pPr>
      <w:r>
        <w:t>E 34.</w:t>
      </w:r>
      <w:r>
        <w:rPr>
          <w:rFonts w:ascii="Arial" w:eastAsia="Arial" w:hAnsi="Arial" w:cs="Arial"/>
        </w:rPr>
        <w:t xml:space="preserve"> </w:t>
      </w:r>
      <w:r>
        <w:t xml:space="preserve">Known uncontrolled HIV infection, active tuberculosis, or severe infection requiring parenteral antibiotic treatment. </w:t>
      </w:r>
    </w:p>
    <w:p w14:paraId="2D66A3E3" w14:textId="77777777" w:rsidR="000B3C5C" w:rsidRDefault="00ED192D">
      <w:pPr>
        <w:spacing w:after="132"/>
        <w:ind w:left="-3" w:right="14"/>
      </w:pPr>
      <w:r>
        <w:t>E 35.</w:t>
      </w:r>
      <w:r>
        <w:rPr>
          <w:rFonts w:ascii="Arial" w:eastAsia="Arial" w:hAnsi="Arial" w:cs="Arial"/>
        </w:rPr>
        <w:t xml:space="preserve"> </w:t>
      </w:r>
      <w:r>
        <w:t xml:space="preserve">Known uncontrolled hepatitis B virus (HBV) infection: </w:t>
      </w:r>
    </w:p>
    <w:p w14:paraId="55AA13F4" w14:textId="77777777" w:rsidR="000B3C5C" w:rsidRDefault="00ED192D">
      <w:pPr>
        <w:numPr>
          <w:ilvl w:val="0"/>
          <w:numId w:val="26"/>
        </w:numPr>
        <w:spacing w:after="133"/>
        <w:ind w:right="334" w:hanging="286"/>
      </w:pPr>
      <w:r>
        <w:t>Anti-</w:t>
      </w:r>
      <w:r>
        <w:t>HBV therapy started before initiation of IMP and HBV viral load &lt;2000 IU/mL (10</w:t>
      </w:r>
      <w:r>
        <w:rPr>
          <w:vertAlign w:val="superscript"/>
        </w:rPr>
        <w:t>4</w:t>
      </w:r>
      <w:r>
        <w:t xml:space="preserve"> copies/mL) are eligible. The anti-HBV therapy should continue throughout the treatment period. </w:t>
      </w:r>
    </w:p>
    <w:p w14:paraId="78CC6555" w14:textId="77777777" w:rsidR="000B3C5C" w:rsidRDefault="00ED192D">
      <w:pPr>
        <w:numPr>
          <w:ilvl w:val="0"/>
          <w:numId w:val="26"/>
        </w:numPr>
        <w:ind w:right="334" w:hanging="286"/>
      </w:pPr>
      <w:r>
        <w:t xml:space="preserve">Positive anti-HBc, anti-HBs, negative HBsAg, and HBV virus load without HBV therapy are eligible. </w:t>
      </w:r>
    </w:p>
    <w:p w14:paraId="54586B15" w14:textId="77777777" w:rsidR="000B3C5C" w:rsidRDefault="00ED192D">
      <w:pPr>
        <w:spacing w:after="132"/>
        <w:ind w:left="-3" w:right="14"/>
      </w:pPr>
      <w:r>
        <w:t>E 36.</w:t>
      </w:r>
      <w:r>
        <w:rPr>
          <w:rFonts w:ascii="Arial" w:eastAsia="Arial" w:hAnsi="Arial" w:cs="Arial"/>
        </w:rPr>
        <w:t xml:space="preserve"> </w:t>
      </w:r>
      <w:r>
        <w:t xml:space="preserve">Known untreated current HCV infection. </w:t>
      </w:r>
    </w:p>
    <w:p w14:paraId="5F10F28C" w14:textId="77777777" w:rsidR="000B3C5C" w:rsidRDefault="00ED192D">
      <w:pPr>
        <w:numPr>
          <w:ilvl w:val="0"/>
          <w:numId w:val="27"/>
        </w:numPr>
        <w:spacing w:after="135"/>
        <w:ind w:right="14" w:hanging="286"/>
      </w:pPr>
      <w:r>
        <w:t xml:space="preserve">Anti-HCV therapy started before initiation of IMP are eligible. The anti-HCV therapy should continue throughout the treatment period until seroconversion. </w:t>
      </w:r>
    </w:p>
    <w:p w14:paraId="2835D09C" w14:textId="77777777" w:rsidR="000B3C5C" w:rsidRDefault="00ED192D">
      <w:pPr>
        <w:numPr>
          <w:ilvl w:val="0"/>
          <w:numId w:val="27"/>
        </w:numPr>
        <w:ind w:right="14" w:hanging="286"/>
      </w:pPr>
      <w:r>
        <w:t xml:space="preserve">Positive HCV antibody and undetectable HCV RNA without anti-HCV therapy are eligible. </w:t>
      </w:r>
    </w:p>
    <w:p w14:paraId="3390ABCB" w14:textId="77777777" w:rsidR="000B3C5C" w:rsidRDefault="00ED192D">
      <w:pPr>
        <w:spacing w:after="224" w:line="259" w:lineRule="auto"/>
        <w:ind w:left="-5"/>
      </w:pPr>
      <w:r>
        <w:rPr>
          <w:b/>
          <w:i/>
        </w:rPr>
        <w:t>For patients with HCC:</w:t>
      </w:r>
      <w:r>
        <w:t xml:space="preserve"> </w:t>
      </w:r>
    </w:p>
    <w:p w14:paraId="501B4A49" w14:textId="77777777" w:rsidR="000B3C5C" w:rsidRDefault="00ED192D">
      <w:pPr>
        <w:ind w:left="-3" w:right="14"/>
      </w:pPr>
      <w:r>
        <w:t>E 37.</w:t>
      </w:r>
      <w:r>
        <w:rPr>
          <w:rFonts w:ascii="Arial" w:eastAsia="Arial" w:hAnsi="Arial" w:cs="Arial"/>
        </w:rPr>
        <w:t xml:space="preserve"> </w:t>
      </w:r>
      <w:r>
        <w:t xml:space="preserve">Esophageal or gastric variceal bleeding within the past 12 weeks. </w:t>
      </w:r>
    </w:p>
    <w:p w14:paraId="41FDAD8F" w14:textId="77777777" w:rsidR="000B3C5C" w:rsidRDefault="00ED192D">
      <w:pPr>
        <w:ind w:left="678" w:right="14" w:hanging="691"/>
      </w:pPr>
      <w:r>
        <w:t>E 38.</w:t>
      </w:r>
      <w:r>
        <w:rPr>
          <w:rFonts w:ascii="Arial" w:eastAsia="Arial" w:hAnsi="Arial" w:cs="Arial"/>
        </w:rPr>
        <w:t xml:space="preserve"> </w:t>
      </w:r>
      <w:r>
        <w:t xml:space="preserve">Clinically apparent ascites on physical examination. Ascites detectable on imaging studies only ARE eligible. </w:t>
      </w:r>
    </w:p>
    <w:p w14:paraId="3BF81506" w14:textId="77777777" w:rsidR="000B3C5C" w:rsidRDefault="00ED192D">
      <w:pPr>
        <w:ind w:left="678" w:right="14" w:hanging="691"/>
      </w:pPr>
      <w:r>
        <w:t>E 39.</w:t>
      </w:r>
      <w:r>
        <w:rPr>
          <w:rFonts w:ascii="Arial" w:eastAsia="Arial" w:hAnsi="Arial" w:cs="Arial"/>
        </w:rPr>
        <w:t xml:space="preserve"> </w:t>
      </w:r>
      <w:r>
        <w:t xml:space="preserve">Complete portal vein or inferior vena cava occlusion, or cardiac involvement of HCC based on imaging. </w:t>
      </w:r>
    </w:p>
    <w:p w14:paraId="374B6B5C" w14:textId="77777777" w:rsidR="000B3C5C" w:rsidRDefault="00ED192D">
      <w:pPr>
        <w:ind w:left="-3" w:right="14"/>
      </w:pPr>
      <w:r>
        <w:t>E 40.</w:t>
      </w:r>
      <w:r>
        <w:rPr>
          <w:rFonts w:ascii="Arial" w:eastAsia="Arial" w:hAnsi="Arial" w:cs="Arial"/>
        </w:rPr>
        <w:t xml:space="preserve"> </w:t>
      </w:r>
      <w:r>
        <w:t xml:space="preserve">Clinically diagnosed hepatic encephalopathy within 3 months before initiation of IMP. </w:t>
      </w:r>
    </w:p>
    <w:p w14:paraId="63627CA4" w14:textId="77777777" w:rsidR="000B3C5C" w:rsidRDefault="00ED192D">
      <w:pPr>
        <w:ind w:left="678" w:right="14" w:hanging="691"/>
      </w:pPr>
      <w:r>
        <w:t>E 41.</w:t>
      </w:r>
      <w:r>
        <w:rPr>
          <w:rFonts w:ascii="Arial" w:eastAsia="Arial" w:hAnsi="Arial" w:cs="Arial"/>
        </w:rPr>
        <w:t xml:space="preserve"> </w:t>
      </w:r>
      <w:r>
        <w:t xml:space="preserve">Prior systemic therapy for HCC in the advanced (incurable) setting other than sorafenib or lenvatinib. </w:t>
      </w:r>
    </w:p>
    <w:p w14:paraId="54547FB6" w14:textId="77777777" w:rsidR="000B3C5C" w:rsidRDefault="00ED192D">
      <w:pPr>
        <w:spacing w:after="472"/>
        <w:ind w:left="678" w:right="197" w:hanging="691"/>
      </w:pPr>
      <w:r>
        <w:t>E 42.</w:t>
      </w:r>
      <w:r>
        <w:rPr>
          <w:rFonts w:ascii="Arial" w:eastAsia="Arial" w:hAnsi="Arial" w:cs="Arial"/>
        </w:rPr>
        <w:t xml:space="preserve"> </w:t>
      </w:r>
      <w:r>
        <w:t xml:space="preserve">Locoregional therapy to liver (transcatheter chemoembolization, transcatheter embolization, hepatic arterial infusion, radiation, radioembolization, or ablation) within 4 weeks before initiation of IMP. </w:t>
      </w:r>
    </w:p>
    <w:p w14:paraId="48B444AE" w14:textId="77777777" w:rsidR="000B3C5C" w:rsidRDefault="00ED192D">
      <w:pPr>
        <w:tabs>
          <w:tab w:val="center" w:pos="2298"/>
        </w:tabs>
        <w:spacing w:after="131" w:line="249" w:lineRule="auto"/>
        <w:ind w:left="-15" w:firstLine="0"/>
      </w:pPr>
      <w:r>
        <w:rPr>
          <w:rFonts w:ascii="Arial" w:eastAsia="Arial" w:hAnsi="Arial" w:cs="Arial"/>
          <w:b/>
          <w:sz w:val="22"/>
        </w:rPr>
        <w:t xml:space="preserve">5.3 </w:t>
      </w:r>
      <w:r>
        <w:rPr>
          <w:rFonts w:ascii="Arial" w:eastAsia="Arial" w:hAnsi="Arial" w:cs="Arial"/>
          <w:b/>
          <w:sz w:val="22"/>
        </w:rPr>
        <w:tab/>
        <w:t xml:space="preserve">LIFESTYLE CONSIDERATIONS  </w:t>
      </w:r>
    </w:p>
    <w:p w14:paraId="46BB9FB3" w14:textId="77777777" w:rsidR="000B3C5C" w:rsidRDefault="00ED192D">
      <w:pPr>
        <w:spacing w:after="469"/>
        <w:ind w:left="-3" w:right="14"/>
      </w:pPr>
      <w:r>
        <w:t xml:space="preserve">Not applicable. </w:t>
      </w:r>
    </w:p>
    <w:p w14:paraId="26EA83B9" w14:textId="77777777" w:rsidR="000B3C5C" w:rsidRDefault="00ED192D">
      <w:pPr>
        <w:pStyle w:val="Heading3"/>
        <w:tabs>
          <w:tab w:val="center" w:pos="1717"/>
        </w:tabs>
        <w:ind w:left="-15" w:firstLine="0"/>
      </w:pPr>
      <w:r>
        <w:t xml:space="preserve">5.4 </w:t>
      </w:r>
      <w:r>
        <w:tab/>
        <w:t xml:space="preserve">SCREEN FAILURES  </w:t>
      </w:r>
    </w:p>
    <w:p w14:paraId="0DCC270D" w14:textId="77777777" w:rsidR="000B3C5C" w:rsidRDefault="00ED192D">
      <w:pPr>
        <w:ind w:left="-3" w:right="14"/>
      </w:pPr>
      <w:r>
        <w:t xml:space="preserve">Screen failures are defined as participants who consent to participate in the clinical study but are not subsequently treated. A minimal set of screen failure information is required to ensure transparent reporting of screen failure participants to meet the Consolidated Standards of Reporting Trials (CONSORT) publishing requirements and to respond to queries from regulatory authorities. Minimal information includes demography, screen failure details, eligibility criteria, and any SAE. </w:t>
      </w:r>
    </w:p>
    <w:p w14:paraId="6C02E534" w14:textId="77777777" w:rsidR="000B3C5C" w:rsidRDefault="00ED192D">
      <w:pPr>
        <w:ind w:left="-3" w:right="14"/>
      </w:pPr>
      <w:r>
        <w:t>Patient who does not meet protocol entry criteria may be rescreened once during the open screening period, providing he/she meets at that time all inclusion and exclusion criteria. A different patient identification will be issued, while the other identification for this patient should be recorded as Screen Failure. There is no requirement for a waiting period between a screen failure date and the rescreening date. Patients that are rescreened must sign a new consent form and all screening procedures must b</w:t>
      </w:r>
      <w:r>
        <w:t xml:space="preserve">e repeated. </w:t>
      </w:r>
    </w:p>
    <w:p w14:paraId="461FE0AB" w14:textId="77777777" w:rsidR="000B3C5C" w:rsidRDefault="00ED192D">
      <w:pPr>
        <w:pStyle w:val="Heading1"/>
        <w:tabs>
          <w:tab w:val="center" w:pos="2236"/>
        </w:tabs>
        <w:ind w:left="-13" w:firstLine="0"/>
      </w:pPr>
      <w:r>
        <w:t xml:space="preserve">6 </w:t>
      </w:r>
      <w:r>
        <w:tab/>
        <w:t xml:space="preserve">STUDY INTERVENTION  </w:t>
      </w:r>
    </w:p>
    <w:p w14:paraId="4FFAE5CC" w14:textId="77777777" w:rsidR="000B3C5C" w:rsidRDefault="00ED192D">
      <w:pPr>
        <w:spacing w:after="472"/>
        <w:ind w:left="-3" w:right="14"/>
      </w:pPr>
      <w:r>
        <w:t xml:space="preserve">Study intervention is defined as any investigational intervention(s), marketed product(s), placebo, or medical device(s) intended to be administered to a study participant according to the study protocol.   </w:t>
      </w:r>
    </w:p>
    <w:p w14:paraId="674EAF9A" w14:textId="77777777" w:rsidR="000B3C5C" w:rsidRDefault="00ED192D">
      <w:pPr>
        <w:pStyle w:val="Heading2"/>
        <w:tabs>
          <w:tab w:val="center" w:pos="2915"/>
        </w:tabs>
        <w:spacing w:after="249"/>
        <w:ind w:left="-15" w:firstLine="0"/>
      </w:pPr>
      <w:r>
        <w:rPr>
          <w:rFonts w:ascii="Arial" w:eastAsia="Arial" w:hAnsi="Arial" w:cs="Arial"/>
          <w:sz w:val="22"/>
        </w:rPr>
        <w:t xml:space="preserve">6.1 </w:t>
      </w:r>
      <w:r>
        <w:rPr>
          <w:rFonts w:ascii="Arial" w:eastAsia="Arial" w:hAnsi="Arial" w:cs="Arial"/>
          <w:sz w:val="22"/>
        </w:rPr>
        <w:tab/>
      </w:r>
      <w:r>
        <w:rPr>
          <w:rFonts w:ascii="Arial" w:eastAsia="Arial" w:hAnsi="Arial" w:cs="Arial"/>
          <w:sz w:val="22"/>
        </w:rPr>
        <w:t xml:space="preserve">STUDY INTERVENTION(S) ADMINISTERED  </w:t>
      </w:r>
    </w:p>
    <w:p w14:paraId="50B3A7BF" w14:textId="77777777" w:rsidR="000B3C5C" w:rsidRDefault="00ED192D">
      <w:pPr>
        <w:spacing w:after="311" w:line="249" w:lineRule="auto"/>
        <w:ind w:left="-5" w:right="51"/>
      </w:pPr>
      <w:r>
        <w:rPr>
          <w:b/>
        </w:rPr>
        <w:t xml:space="preserve">INVESTIGATIONAL MEDICINAL PRODUCTS: </w:t>
      </w:r>
    </w:p>
    <w:p w14:paraId="17372D72" w14:textId="77777777" w:rsidR="000B3C5C" w:rsidRDefault="00ED192D">
      <w:pPr>
        <w:spacing w:after="4" w:line="250" w:lineRule="auto"/>
        <w:ind w:left="15" w:right="1"/>
        <w:jc w:val="center"/>
      </w:pPr>
      <w:r>
        <w:rPr>
          <w:rFonts w:ascii="Arial" w:eastAsia="Arial" w:hAnsi="Arial" w:cs="Arial"/>
          <w:b/>
          <w:sz w:val="20"/>
        </w:rPr>
        <w:t xml:space="preserve">Table 3 - Overview of study interventions administered  </w:t>
      </w:r>
    </w:p>
    <w:tbl>
      <w:tblPr>
        <w:tblStyle w:val="TableGrid"/>
        <w:tblW w:w="9700" w:type="dxa"/>
        <w:tblInd w:w="-122" w:type="dxa"/>
        <w:tblCellMar>
          <w:top w:w="107" w:type="dxa"/>
          <w:left w:w="0" w:type="dxa"/>
          <w:bottom w:w="0" w:type="dxa"/>
          <w:right w:w="98" w:type="dxa"/>
        </w:tblCellMar>
        <w:tblLook w:val="04A0" w:firstRow="1" w:lastRow="0" w:firstColumn="1" w:lastColumn="0" w:noHBand="0" w:noVBand="1"/>
      </w:tblPr>
      <w:tblGrid>
        <w:gridCol w:w="2971"/>
        <w:gridCol w:w="3751"/>
        <w:gridCol w:w="2978"/>
      </w:tblGrid>
      <w:tr w:rsidR="000B3C5C" w14:paraId="0773B284" w14:textId="77777777">
        <w:trPr>
          <w:trHeight w:val="360"/>
        </w:trPr>
        <w:tc>
          <w:tcPr>
            <w:tcW w:w="2969" w:type="dxa"/>
            <w:tcBorders>
              <w:top w:val="single" w:sz="4" w:space="0" w:color="000000"/>
              <w:left w:val="nil"/>
              <w:bottom w:val="single" w:sz="4" w:space="0" w:color="000000"/>
              <w:right w:val="nil"/>
            </w:tcBorders>
          </w:tcPr>
          <w:p w14:paraId="3AD726D6" w14:textId="77777777" w:rsidR="000B3C5C" w:rsidRDefault="00ED192D">
            <w:pPr>
              <w:spacing w:after="0" w:line="259" w:lineRule="auto"/>
              <w:ind w:left="0" w:right="4" w:firstLine="0"/>
              <w:jc w:val="center"/>
            </w:pPr>
            <w:r>
              <w:rPr>
                <w:rFonts w:ascii="Arial" w:eastAsia="Arial" w:hAnsi="Arial" w:cs="Arial"/>
                <w:b/>
                <w:sz w:val="20"/>
              </w:rPr>
              <w:t xml:space="preserve">Study intervention name </w:t>
            </w:r>
          </w:p>
        </w:tc>
        <w:tc>
          <w:tcPr>
            <w:tcW w:w="3752" w:type="dxa"/>
            <w:tcBorders>
              <w:top w:val="single" w:sz="4" w:space="0" w:color="000000"/>
              <w:left w:val="nil"/>
              <w:bottom w:val="single" w:sz="4" w:space="0" w:color="000000"/>
              <w:right w:val="nil"/>
            </w:tcBorders>
          </w:tcPr>
          <w:p w14:paraId="6AF9B0F6" w14:textId="77777777" w:rsidR="000B3C5C" w:rsidRDefault="00ED192D">
            <w:pPr>
              <w:spacing w:after="0" w:line="259" w:lineRule="auto"/>
              <w:ind w:left="0" w:right="155" w:firstLine="0"/>
              <w:jc w:val="center"/>
            </w:pPr>
            <w:r>
              <w:rPr>
                <w:rFonts w:ascii="Arial" w:eastAsia="Arial" w:hAnsi="Arial" w:cs="Arial"/>
                <w:b/>
                <w:sz w:val="20"/>
              </w:rPr>
              <w:t xml:space="preserve">Isatuximab </w:t>
            </w:r>
          </w:p>
        </w:tc>
        <w:tc>
          <w:tcPr>
            <w:tcW w:w="2979" w:type="dxa"/>
            <w:tcBorders>
              <w:top w:val="single" w:sz="4" w:space="0" w:color="000000"/>
              <w:left w:val="nil"/>
              <w:bottom w:val="single" w:sz="4" w:space="0" w:color="000000"/>
              <w:right w:val="nil"/>
            </w:tcBorders>
          </w:tcPr>
          <w:p w14:paraId="0806C9AD" w14:textId="77777777" w:rsidR="000B3C5C" w:rsidRDefault="00ED192D">
            <w:pPr>
              <w:spacing w:after="0" w:line="259" w:lineRule="auto"/>
              <w:ind w:left="0" w:right="51" w:firstLine="0"/>
              <w:jc w:val="center"/>
            </w:pPr>
            <w:r>
              <w:rPr>
                <w:rFonts w:ascii="Arial" w:eastAsia="Arial" w:hAnsi="Arial" w:cs="Arial"/>
                <w:b/>
                <w:sz w:val="20"/>
              </w:rPr>
              <w:t xml:space="preserve">Atezolizumab </w:t>
            </w:r>
          </w:p>
        </w:tc>
      </w:tr>
      <w:tr w:rsidR="000B3C5C" w14:paraId="67B99D45" w14:textId="77777777">
        <w:trPr>
          <w:trHeight w:val="360"/>
        </w:trPr>
        <w:tc>
          <w:tcPr>
            <w:tcW w:w="2969" w:type="dxa"/>
            <w:tcBorders>
              <w:top w:val="single" w:sz="4" w:space="0" w:color="000000"/>
              <w:left w:val="nil"/>
              <w:bottom w:val="single" w:sz="4" w:space="0" w:color="000000"/>
              <w:right w:val="nil"/>
            </w:tcBorders>
          </w:tcPr>
          <w:p w14:paraId="7C941C0F" w14:textId="77777777" w:rsidR="000B3C5C" w:rsidRDefault="00ED192D">
            <w:pPr>
              <w:spacing w:after="0" w:line="259" w:lineRule="auto"/>
              <w:ind w:left="0" w:right="2" w:firstLine="0"/>
              <w:jc w:val="center"/>
            </w:pPr>
            <w:r>
              <w:rPr>
                <w:rFonts w:ascii="Arial" w:eastAsia="Arial" w:hAnsi="Arial" w:cs="Arial"/>
                <w:sz w:val="20"/>
              </w:rPr>
              <w:t xml:space="preserve">Dosage formulation </w:t>
            </w:r>
          </w:p>
        </w:tc>
        <w:tc>
          <w:tcPr>
            <w:tcW w:w="3752" w:type="dxa"/>
            <w:tcBorders>
              <w:top w:val="single" w:sz="4" w:space="0" w:color="000000"/>
              <w:left w:val="nil"/>
              <w:bottom w:val="single" w:sz="4" w:space="0" w:color="000000"/>
              <w:right w:val="nil"/>
            </w:tcBorders>
          </w:tcPr>
          <w:p w14:paraId="59056ECC" w14:textId="77777777" w:rsidR="000B3C5C" w:rsidRDefault="00ED192D">
            <w:pPr>
              <w:spacing w:after="0" w:line="259" w:lineRule="auto"/>
              <w:ind w:left="530" w:firstLine="0"/>
            </w:pPr>
            <w:r>
              <w:rPr>
                <w:rFonts w:ascii="Arial" w:eastAsia="Arial" w:hAnsi="Arial" w:cs="Arial"/>
                <w:sz w:val="20"/>
              </w:rPr>
              <w:t xml:space="preserve">Concentrated solution for infusion </w:t>
            </w:r>
          </w:p>
        </w:tc>
        <w:tc>
          <w:tcPr>
            <w:tcW w:w="2979" w:type="dxa"/>
            <w:tcBorders>
              <w:top w:val="single" w:sz="4" w:space="0" w:color="000000"/>
              <w:left w:val="nil"/>
              <w:bottom w:val="single" w:sz="4" w:space="0" w:color="000000"/>
              <w:right w:val="nil"/>
            </w:tcBorders>
          </w:tcPr>
          <w:p w14:paraId="407871FC" w14:textId="77777777" w:rsidR="000B3C5C" w:rsidRDefault="00ED192D">
            <w:pPr>
              <w:spacing w:after="0" w:line="259" w:lineRule="auto"/>
              <w:ind w:left="197" w:firstLine="0"/>
            </w:pPr>
            <w:r>
              <w:rPr>
                <w:rFonts w:ascii="Arial" w:eastAsia="Arial" w:hAnsi="Arial" w:cs="Arial"/>
                <w:sz w:val="20"/>
              </w:rPr>
              <w:t xml:space="preserve">Concentrated solution for infusion </w:t>
            </w:r>
          </w:p>
        </w:tc>
      </w:tr>
      <w:tr w:rsidR="000B3C5C" w14:paraId="31C1AA08" w14:textId="77777777">
        <w:trPr>
          <w:trHeight w:val="818"/>
        </w:trPr>
        <w:tc>
          <w:tcPr>
            <w:tcW w:w="2969" w:type="dxa"/>
            <w:tcBorders>
              <w:top w:val="single" w:sz="4" w:space="0" w:color="000000"/>
              <w:left w:val="nil"/>
              <w:bottom w:val="single" w:sz="4" w:space="0" w:color="000000"/>
              <w:right w:val="nil"/>
            </w:tcBorders>
          </w:tcPr>
          <w:p w14:paraId="56D36045" w14:textId="77777777" w:rsidR="000B3C5C" w:rsidRDefault="00ED192D">
            <w:pPr>
              <w:spacing w:after="0" w:line="259" w:lineRule="auto"/>
              <w:ind w:left="1172" w:hanging="802"/>
            </w:pPr>
            <w:r>
              <w:rPr>
                <w:rFonts w:ascii="Arial" w:eastAsia="Arial" w:hAnsi="Arial" w:cs="Arial"/>
                <w:sz w:val="20"/>
              </w:rPr>
              <w:t xml:space="preserve">Unit dose strength(s)/Dosage level(s) </w:t>
            </w:r>
          </w:p>
        </w:tc>
        <w:tc>
          <w:tcPr>
            <w:tcW w:w="3752" w:type="dxa"/>
            <w:tcBorders>
              <w:top w:val="single" w:sz="4" w:space="0" w:color="000000"/>
              <w:left w:val="nil"/>
              <w:bottom w:val="single" w:sz="4" w:space="0" w:color="000000"/>
              <w:right w:val="nil"/>
            </w:tcBorders>
          </w:tcPr>
          <w:p w14:paraId="062108BE" w14:textId="77777777" w:rsidR="000B3C5C" w:rsidRDefault="00ED192D">
            <w:pPr>
              <w:spacing w:after="0" w:line="241" w:lineRule="auto"/>
              <w:ind w:left="252" w:hanging="242"/>
            </w:pPr>
            <w:r>
              <w:rPr>
                <w:rFonts w:ascii="Arial" w:eastAsia="Arial" w:hAnsi="Arial" w:cs="Arial"/>
                <w:sz w:val="20"/>
              </w:rPr>
              <w:t xml:space="preserve">20 mg/mL (500 mg/25 mL) isatuximab in 20 mM histidine, 10% (w/v) sucrose, 0.02% (w/v) </w:t>
            </w:r>
          </w:p>
          <w:p w14:paraId="3C59140D" w14:textId="77777777" w:rsidR="000B3C5C" w:rsidRDefault="00ED192D">
            <w:pPr>
              <w:spacing w:after="0" w:line="259" w:lineRule="auto"/>
              <w:ind w:left="927" w:firstLine="0"/>
            </w:pPr>
            <w:r>
              <w:rPr>
                <w:rFonts w:ascii="Arial" w:eastAsia="Arial" w:hAnsi="Arial" w:cs="Arial"/>
                <w:sz w:val="20"/>
              </w:rPr>
              <w:t xml:space="preserve">polysorbate 80, pH 6.0 </w:t>
            </w:r>
          </w:p>
        </w:tc>
        <w:tc>
          <w:tcPr>
            <w:tcW w:w="2979" w:type="dxa"/>
            <w:tcBorders>
              <w:top w:val="single" w:sz="4" w:space="0" w:color="000000"/>
              <w:left w:val="nil"/>
              <w:bottom w:val="single" w:sz="4" w:space="0" w:color="000000"/>
              <w:right w:val="nil"/>
            </w:tcBorders>
          </w:tcPr>
          <w:p w14:paraId="406304F3" w14:textId="77777777" w:rsidR="000B3C5C" w:rsidRDefault="00ED192D">
            <w:pPr>
              <w:spacing w:after="0" w:line="259" w:lineRule="auto"/>
              <w:ind w:left="0" w:right="46" w:firstLine="0"/>
              <w:jc w:val="center"/>
            </w:pPr>
            <w:r>
              <w:rPr>
                <w:rFonts w:ascii="Arial" w:eastAsia="Arial" w:hAnsi="Arial" w:cs="Arial"/>
                <w:sz w:val="20"/>
              </w:rPr>
              <w:t xml:space="preserve">1200 mg/20 mL (60 mg/mL) </w:t>
            </w:r>
          </w:p>
        </w:tc>
      </w:tr>
      <w:tr w:rsidR="000B3C5C" w14:paraId="1CFB9658" w14:textId="77777777">
        <w:trPr>
          <w:trHeight w:val="1277"/>
        </w:trPr>
        <w:tc>
          <w:tcPr>
            <w:tcW w:w="2969" w:type="dxa"/>
            <w:tcBorders>
              <w:top w:val="single" w:sz="4" w:space="0" w:color="000000"/>
              <w:left w:val="nil"/>
              <w:bottom w:val="single" w:sz="4" w:space="0" w:color="000000"/>
              <w:right w:val="nil"/>
            </w:tcBorders>
          </w:tcPr>
          <w:p w14:paraId="6DA4C0E2" w14:textId="77777777" w:rsidR="000B3C5C" w:rsidRDefault="00ED192D">
            <w:pPr>
              <w:spacing w:after="0" w:line="259" w:lineRule="auto"/>
              <w:ind w:left="1140" w:hanging="706"/>
            </w:pPr>
            <w:r>
              <w:rPr>
                <w:rFonts w:ascii="Arial" w:eastAsia="Arial" w:hAnsi="Arial" w:cs="Arial"/>
                <w:sz w:val="20"/>
              </w:rPr>
              <w:t xml:space="preserve">Route of administration and duration </w:t>
            </w:r>
          </w:p>
        </w:tc>
        <w:tc>
          <w:tcPr>
            <w:tcW w:w="3752" w:type="dxa"/>
            <w:tcBorders>
              <w:top w:val="single" w:sz="4" w:space="0" w:color="000000"/>
              <w:left w:val="nil"/>
              <w:bottom w:val="single" w:sz="4" w:space="0" w:color="000000"/>
              <w:right w:val="nil"/>
            </w:tcBorders>
          </w:tcPr>
          <w:p w14:paraId="64887EFB" w14:textId="77777777" w:rsidR="000B3C5C" w:rsidRDefault="00ED192D">
            <w:pPr>
              <w:spacing w:after="0" w:line="259" w:lineRule="auto"/>
              <w:ind w:left="1099" w:hanging="792"/>
            </w:pPr>
            <w:r>
              <w:rPr>
                <w:rFonts w:ascii="Arial" w:eastAsia="Arial" w:hAnsi="Arial" w:cs="Arial"/>
                <w:sz w:val="20"/>
              </w:rPr>
              <w:t xml:space="preserve">Intravenous infusion </w:t>
            </w:r>
            <w:r>
              <w:rPr>
                <w:rFonts w:ascii="Arial" w:eastAsia="Arial" w:hAnsi="Arial" w:cs="Arial"/>
                <w:sz w:val="20"/>
              </w:rPr>
              <w:t xml:space="preserve">as described in the pharmacy manual </w:t>
            </w:r>
          </w:p>
        </w:tc>
        <w:tc>
          <w:tcPr>
            <w:tcW w:w="2979" w:type="dxa"/>
            <w:tcBorders>
              <w:top w:val="single" w:sz="4" w:space="0" w:color="000000"/>
              <w:left w:val="nil"/>
              <w:bottom w:val="single" w:sz="4" w:space="0" w:color="000000"/>
              <w:right w:val="nil"/>
            </w:tcBorders>
          </w:tcPr>
          <w:p w14:paraId="637C5E24" w14:textId="77777777" w:rsidR="000B3C5C" w:rsidRDefault="00ED192D">
            <w:pPr>
              <w:spacing w:after="0" w:line="259" w:lineRule="auto"/>
              <w:ind w:left="0" w:right="47" w:firstLine="0"/>
              <w:jc w:val="center"/>
            </w:pPr>
            <w:r>
              <w:rPr>
                <w:rFonts w:ascii="Arial" w:eastAsia="Arial" w:hAnsi="Arial" w:cs="Arial"/>
                <w:sz w:val="20"/>
              </w:rPr>
              <w:t xml:space="preserve">Intravenous infusion over </w:t>
            </w:r>
          </w:p>
          <w:p w14:paraId="353467B1" w14:textId="77777777" w:rsidR="000B3C5C" w:rsidRDefault="00ED192D">
            <w:pPr>
              <w:spacing w:after="2" w:line="239" w:lineRule="auto"/>
              <w:ind w:left="292" w:hanging="266"/>
            </w:pPr>
            <w:r>
              <w:rPr>
                <w:rFonts w:ascii="Arial" w:eastAsia="Arial" w:hAnsi="Arial" w:cs="Arial"/>
                <w:sz w:val="20"/>
              </w:rPr>
              <w:t xml:space="preserve">60 (±15) minutes per administration. If the first infusion is tolerated, all </w:t>
            </w:r>
          </w:p>
          <w:p w14:paraId="367AB842" w14:textId="77777777" w:rsidR="000B3C5C" w:rsidRDefault="00ED192D">
            <w:pPr>
              <w:spacing w:after="0" w:line="259" w:lineRule="auto"/>
              <w:ind w:left="588" w:hanging="588"/>
              <w:jc w:val="both"/>
            </w:pPr>
            <w:r>
              <w:rPr>
                <w:rFonts w:ascii="Arial" w:eastAsia="Arial" w:hAnsi="Arial" w:cs="Arial"/>
                <w:sz w:val="20"/>
              </w:rPr>
              <w:t xml:space="preserve">subsequent infusions may be delivered over 30 (±10) minutes. </w:t>
            </w:r>
          </w:p>
        </w:tc>
      </w:tr>
      <w:tr w:rsidR="000B3C5C" w14:paraId="122C0681" w14:textId="77777777">
        <w:trPr>
          <w:trHeight w:val="5780"/>
        </w:trPr>
        <w:tc>
          <w:tcPr>
            <w:tcW w:w="2969" w:type="dxa"/>
            <w:tcBorders>
              <w:top w:val="single" w:sz="4" w:space="0" w:color="000000"/>
              <w:left w:val="nil"/>
              <w:bottom w:val="single" w:sz="4" w:space="0" w:color="000000"/>
              <w:right w:val="nil"/>
            </w:tcBorders>
          </w:tcPr>
          <w:p w14:paraId="7AC363B0" w14:textId="77777777" w:rsidR="000B3C5C" w:rsidRDefault="00ED192D">
            <w:pPr>
              <w:spacing w:after="0" w:line="259" w:lineRule="auto"/>
              <w:ind w:left="0" w:right="1" w:firstLine="0"/>
              <w:jc w:val="center"/>
            </w:pPr>
            <w:r>
              <w:rPr>
                <w:rFonts w:ascii="Arial" w:eastAsia="Arial" w:hAnsi="Arial" w:cs="Arial"/>
                <w:sz w:val="20"/>
              </w:rPr>
              <w:t xml:space="preserve">Dosing instructions </w:t>
            </w:r>
          </w:p>
        </w:tc>
        <w:tc>
          <w:tcPr>
            <w:tcW w:w="6731" w:type="dxa"/>
            <w:gridSpan w:val="2"/>
            <w:tcBorders>
              <w:top w:val="single" w:sz="4" w:space="0" w:color="000000"/>
              <w:left w:val="nil"/>
              <w:bottom w:val="single" w:sz="4" w:space="0" w:color="000000"/>
              <w:right w:val="nil"/>
            </w:tcBorders>
          </w:tcPr>
          <w:p w14:paraId="34D46035" w14:textId="77777777" w:rsidR="000B3C5C" w:rsidRDefault="00ED192D">
            <w:pPr>
              <w:spacing w:after="41" w:line="259" w:lineRule="auto"/>
              <w:ind w:left="0" w:firstLine="0"/>
            </w:pPr>
            <w:r>
              <w:rPr>
                <w:rFonts w:ascii="Arial" w:eastAsia="Arial" w:hAnsi="Arial" w:cs="Arial"/>
                <w:b/>
                <w:sz w:val="20"/>
              </w:rPr>
              <w:t xml:space="preserve">Phase 1 </w:t>
            </w:r>
          </w:p>
          <w:p w14:paraId="527BA21A" w14:textId="77777777" w:rsidR="000B3C5C" w:rsidRDefault="00ED192D">
            <w:pPr>
              <w:spacing w:after="41" w:line="259" w:lineRule="auto"/>
              <w:ind w:left="0" w:firstLine="0"/>
            </w:pPr>
            <w:r>
              <w:rPr>
                <w:rFonts w:ascii="Arial" w:eastAsia="Arial" w:hAnsi="Arial" w:cs="Arial"/>
                <w:b/>
                <w:sz w:val="20"/>
              </w:rPr>
              <w:t>Starting dose</w:t>
            </w:r>
            <w:r>
              <w:rPr>
                <w:rFonts w:ascii="Arial" w:eastAsia="Arial" w:hAnsi="Arial" w:cs="Arial"/>
                <w:sz w:val="20"/>
              </w:rPr>
              <w:t xml:space="preserve">: </w:t>
            </w:r>
          </w:p>
          <w:p w14:paraId="6C0698E8" w14:textId="77777777" w:rsidR="000B3C5C" w:rsidRDefault="00ED192D">
            <w:pPr>
              <w:spacing w:after="60" w:line="241" w:lineRule="auto"/>
              <w:ind w:left="0" w:firstLine="0"/>
            </w:pPr>
            <w:r>
              <w:rPr>
                <w:rFonts w:ascii="Arial" w:eastAsia="Arial" w:hAnsi="Arial" w:cs="Arial"/>
                <w:sz w:val="20"/>
                <w:u w:val="single" w:color="000000"/>
              </w:rPr>
              <w:t>Isatuximab</w:t>
            </w:r>
            <w:r>
              <w:rPr>
                <w:rFonts w:ascii="Arial" w:eastAsia="Arial" w:hAnsi="Arial" w:cs="Arial"/>
                <w:sz w:val="20"/>
              </w:rPr>
              <w:t xml:space="preserve">: 10 mg/kg weekly for 3 weeks (QW × 3; ie. on D1, D8, and D15 of Cycle 1), then every 3 weeks (Q3W) (ie, on Day 1 of each 21-day cycle) </w:t>
            </w:r>
          </w:p>
          <w:p w14:paraId="5424F7D6" w14:textId="77777777" w:rsidR="000B3C5C" w:rsidRDefault="00ED192D">
            <w:pPr>
              <w:spacing w:after="58" w:line="241" w:lineRule="auto"/>
              <w:ind w:left="0" w:firstLine="0"/>
            </w:pPr>
            <w:r>
              <w:rPr>
                <w:rFonts w:ascii="Arial" w:eastAsia="Arial" w:hAnsi="Arial" w:cs="Arial"/>
                <w:sz w:val="20"/>
                <w:u w:val="single" w:color="000000"/>
              </w:rPr>
              <w:t>Atezolizumab</w:t>
            </w:r>
            <w:r>
              <w:rPr>
                <w:rFonts w:ascii="Arial" w:eastAsia="Arial" w:hAnsi="Arial" w:cs="Arial"/>
                <w:sz w:val="20"/>
              </w:rPr>
              <w:t xml:space="preserve"> (administrated before isatuximab): 1200 mg Q3W, (ie, on Day 1 of each 21-day cycle)  </w:t>
            </w:r>
          </w:p>
          <w:p w14:paraId="2944BAD0" w14:textId="77777777" w:rsidR="000B3C5C" w:rsidRDefault="00ED192D">
            <w:pPr>
              <w:spacing w:after="60" w:line="241" w:lineRule="auto"/>
              <w:ind w:left="0" w:firstLine="0"/>
            </w:pPr>
            <w:r>
              <w:rPr>
                <w:rFonts w:ascii="Arial" w:eastAsia="Arial" w:hAnsi="Arial" w:cs="Arial"/>
                <w:b/>
                <w:sz w:val="20"/>
              </w:rPr>
              <w:t>Dose Level -1</w:t>
            </w:r>
            <w:r>
              <w:rPr>
                <w:rFonts w:ascii="Arial" w:eastAsia="Arial" w:hAnsi="Arial" w:cs="Arial"/>
                <w:sz w:val="20"/>
              </w:rPr>
              <w:t xml:space="preserve"> (may be implemented if ≥3/12 with DLT or if ≥3/6 participants with DLT at starting dose): </w:t>
            </w:r>
          </w:p>
          <w:p w14:paraId="4CBF90E2" w14:textId="77777777" w:rsidR="000B3C5C" w:rsidRDefault="00ED192D">
            <w:pPr>
              <w:spacing w:after="41" w:line="259" w:lineRule="auto"/>
              <w:ind w:left="0" w:firstLine="0"/>
            </w:pPr>
            <w:r>
              <w:rPr>
                <w:rFonts w:ascii="Arial" w:eastAsia="Arial" w:hAnsi="Arial" w:cs="Arial"/>
                <w:sz w:val="20"/>
                <w:u w:val="single" w:color="000000"/>
              </w:rPr>
              <w:t>Isatuximab</w:t>
            </w:r>
            <w:r>
              <w:rPr>
                <w:rFonts w:ascii="Arial" w:eastAsia="Arial" w:hAnsi="Arial" w:cs="Arial"/>
                <w:sz w:val="20"/>
              </w:rPr>
              <w:t xml:space="preserve">: 5 mg/kg QW × 3, then Q3W </w:t>
            </w:r>
          </w:p>
          <w:p w14:paraId="6C260757" w14:textId="77777777" w:rsidR="000B3C5C" w:rsidRDefault="00ED192D">
            <w:pPr>
              <w:spacing w:after="0" w:line="304" w:lineRule="auto"/>
              <w:ind w:left="0" w:right="1492" w:firstLine="0"/>
            </w:pPr>
            <w:r>
              <w:rPr>
                <w:rFonts w:ascii="Arial" w:eastAsia="Arial" w:hAnsi="Arial" w:cs="Arial"/>
                <w:sz w:val="20"/>
                <w:u w:val="single" w:color="000000"/>
              </w:rPr>
              <w:t>Atezolizumab</w:t>
            </w:r>
            <w:r>
              <w:rPr>
                <w:rFonts w:ascii="Arial" w:eastAsia="Arial" w:hAnsi="Arial" w:cs="Arial"/>
                <w:sz w:val="20"/>
              </w:rPr>
              <w:t xml:space="preserve"> (administrated before isatuximab): 1200 mg Q3W </w:t>
            </w:r>
            <w:r>
              <w:rPr>
                <w:rFonts w:ascii="Arial" w:eastAsia="Arial" w:hAnsi="Arial" w:cs="Arial"/>
                <w:b/>
                <w:sz w:val="20"/>
              </w:rPr>
              <w:t>Phase 2</w:t>
            </w:r>
            <w:r>
              <w:rPr>
                <w:rFonts w:ascii="Arial" w:eastAsia="Arial" w:hAnsi="Arial" w:cs="Arial"/>
                <w:sz w:val="20"/>
              </w:rPr>
              <w:t xml:space="preserve">:  </w:t>
            </w:r>
          </w:p>
          <w:p w14:paraId="09F47B43" w14:textId="77777777" w:rsidR="000B3C5C" w:rsidRDefault="00ED192D">
            <w:pPr>
              <w:spacing w:after="58" w:line="241" w:lineRule="auto"/>
              <w:ind w:left="0" w:firstLine="0"/>
            </w:pPr>
            <w:r>
              <w:rPr>
                <w:rFonts w:ascii="Arial" w:eastAsia="Arial" w:hAnsi="Arial" w:cs="Arial"/>
                <w:sz w:val="20"/>
              </w:rPr>
              <w:t xml:space="preserve">For the </w:t>
            </w:r>
            <w:r>
              <w:rPr>
                <w:rFonts w:ascii="Arial" w:eastAsia="Arial" w:hAnsi="Arial" w:cs="Arial"/>
                <w:sz w:val="20"/>
                <w:u w:val="single" w:color="000000"/>
              </w:rPr>
              <w:t>combination Cohorts A, B, C, and D-1</w:t>
            </w:r>
            <w:r>
              <w:rPr>
                <w:rFonts w:ascii="Arial" w:eastAsia="Arial" w:hAnsi="Arial" w:cs="Arial"/>
                <w:sz w:val="20"/>
              </w:rPr>
              <w:t xml:space="preserve">, atezolizumab will be administered first followed by isatuximab on Day 1 of each cycle.  Isatuximab will be administered at the RP2D determined based on safety data from Phase 1. </w:t>
            </w:r>
          </w:p>
          <w:p w14:paraId="032966FA" w14:textId="77777777" w:rsidR="000B3C5C" w:rsidRDefault="00ED192D">
            <w:pPr>
              <w:spacing w:after="58" w:line="241" w:lineRule="auto"/>
              <w:ind w:left="0" w:right="70" w:firstLine="0"/>
            </w:pPr>
            <w:r>
              <w:rPr>
                <w:rFonts w:ascii="Arial" w:eastAsia="Arial" w:hAnsi="Arial" w:cs="Arial"/>
                <w:sz w:val="20"/>
                <w:u w:val="single" w:color="000000"/>
              </w:rPr>
              <w:t>Monotherapy dose for GBM in Cohort D-2</w:t>
            </w:r>
            <w:r>
              <w:rPr>
                <w:rFonts w:ascii="Arial" w:eastAsia="Arial" w:hAnsi="Arial" w:cs="Arial"/>
                <w:sz w:val="20"/>
              </w:rPr>
              <w:t xml:space="preserve"> will be determined based on results from Cohort D-1 and schedule of administration will be weekly for first cycle, followed by one dose every 3 weeks.  </w:t>
            </w:r>
          </w:p>
          <w:p w14:paraId="666029AF" w14:textId="77777777" w:rsidR="000B3C5C" w:rsidRDefault="00ED192D">
            <w:pPr>
              <w:spacing w:after="0" w:line="259" w:lineRule="auto"/>
              <w:ind w:left="0" w:right="108" w:firstLine="0"/>
            </w:pPr>
            <w:r>
              <w:rPr>
                <w:rFonts w:ascii="Arial" w:eastAsia="Arial" w:hAnsi="Arial" w:cs="Arial"/>
                <w:sz w:val="20"/>
              </w:rPr>
              <w:t xml:space="preserve">For the possible </w:t>
            </w:r>
            <w:r>
              <w:rPr>
                <w:rFonts w:ascii="Arial" w:eastAsia="Arial" w:hAnsi="Arial" w:cs="Arial"/>
                <w:sz w:val="20"/>
                <w:u w:val="single" w:color="000000"/>
              </w:rPr>
              <w:t>Cohort E</w:t>
            </w:r>
            <w:r>
              <w:rPr>
                <w:rFonts w:ascii="Arial" w:eastAsia="Arial" w:hAnsi="Arial" w:cs="Arial"/>
                <w:sz w:val="20"/>
              </w:rPr>
              <w:t xml:space="preserve">, implemented if positive results are observed in the Phase 2 Stage 2 one tumor type (same as A, B, C, or D-1/D-2), atezolizumab will be administered first followed by isatuximab on Day 1 of each cycle (for combination regimen), and isatuximab will be administered at the RP2D determined based on safety data from Phase 1RP2D without initial isatuximab weekly dosing.  </w:t>
            </w:r>
          </w:p>
        </w:tc>
      </w:tr>
    </w:tbl>
    <w:p w14:paraId="3E024ADF" w14:textId="77777777" w:rsidR="000B3C5C" w:rsidRDefault="000B3C5C">
      <w:pPr>
        <w:sectPr w:rsidR="000B3C5C">
          <w:headerReference w:type="even" r:id="rId29"/>
          <w:headerReference w:type="default" r:id="rId30"/>
          <w:footerReference w:type="even" r:id="rId31"/>
          <w:footerReference w:type="default" r:id="rId32"/>
          <w:headerReference w:type="first" r:id="rId33"/>
          <w:footerReference w:type="first" r:id="rId34"/>
          <w:pgSz w:w="11906" w:h="16838"/>
          <w:pgMar w:top="1829" w:right="854" w:bottom="2161" w:left="1587" w:header="1170" w:footer="454" w:gutter="0"/>
          <w:cols w:space="720"/>
        </w:sectPr>
      </w:pPr>
    </w:p>
    <w:p w14:paraId="78FF15D7" w14:textId="77777777" w:rsidR="000B3C5C" w:rsidRDefault="000B3C5C">
      <w:pPr>
        <w:spacing w:after="0" w:line="259" w:lineRule="auto"/>
        <w:ind w:left="-1587" w:right="11119" w:firstLine="0"/>
      </w:pPr>
    </w:p>
    <w:tbl>
      <w:tblPr>
        <w:tblStyle w:val="TableGrid"/>
        <w:tblW w:w="9700" w:type="dxa"/>
        <w:tblInd w:w="-122" w:type="dxa"/>
        <w:tblCellMar>
          <w:top w:w="0" w:type="dxa"/>
          <w:left w:w="0" w:type="dxa"/>
          <w:bottom w:w="0" w:type="dxa"/>
          <w:right w:w="34" w:type="dxa"/>
        </w:tblCellMar>
        <w:tblLook w:val="04A0" w:firstRow="1" w:lastRow="0" w:firstColumn="1" w:lastColumn="0" w:noHBand="0" w:noVBand="1"/>
      </w:tblPr>
      <w:tblGrid>
        <w:gridCol w:w="2969"/>
        <w:gridCol w:w="3719"/>
        <w:gridCol w:w="3012"/>
      </w:tblGrid>
      <w:tr w:rsidR="000B3C5C" w14:paraId="1AFC6806" w14:textId="77777777">
        <w:trPr>
          <w:trHeight w:val="659"/>
        </w:trPr>
        <w:tc>
          <w:tcPr>
            <w:tcW w:w="2969" w:type="dxa"/>
            <w:tcBorders>
              <w:top w:val="nil"/>
              <w:left w:val="nil"/>
              <w:bottom w:val="single" w:sz="4" w:space="0" w:color="000000"/>
              <w:right w:val="nil"/>
            </w:tcBorders>
          </w:tcPr>
          <w:p w14:paraId="6CF5C839" w14:textId="77777777" w:rsidR="000B3C5C" w:rsidRDefault="00ED192D">
            <w:pPr>
              <w:spacing w:after="0" w:line="259" w:lineRule="auto"/>
              <w:ind w:left="122" w:firstLine="0"/>
            </w:pPr>
            <w:r>
              <w:rPr>
                <w:rFonts w:ascii="Arial" w:eastAsia="Arial" w:hAnsi="Arial" w:cs="Arial"/>
                <w:sz w:val="18"/>
              </w:rPr>
              <w:t xml:space="preserve">Amended Clinical Trial Protocol 05 </w:t>
            </w:r>
          </w:p>
          <w:p w14:paraId="2C0F1AEF" w14:textId="77777777" w:rsidR="000B3C5C" w:rsidRDefault="00ED192D">
            <w:pPr>
              <w:spacing w:after="38" w:line="259" w:lineRule="auto"/>
              <w:ind w:left="122" w:firstLine="0"/>
            </w:pPr>
            <w:r>
              <w:rPr>
                <w:rFonts w:ascii="Arial" w:eastAsia="Arial" w:hAnsi="Arial" w:cs="Arial"/>
                <w:sz w:val="18"/>
              </w:rPr>
              <w:t xml:space="preserve">ACT15377 – isatuximab </w:t>
            </w:r>
          </w:p>
          <w:p w14:paraId="5A890FC6" w14:textId="77777777" w:rsidR="000B3C5C" w:rsidRDefault="00ED192D">
            <w:pPr>
              <w:spacing w:after="0" w:line="259" w:lineRule="auto"/>
              <w:ind w:left="122" w:firstLine="0"/>
            </w:pPr>
            <w:r>
              <w:t xml:space="preserve"> </w:t>
            </w:r>
          </w:p>
        </w:tc>
        <w:tc>
          <w:tcPr>
            <w:tcW w:w="3719" w:type="dxa"/>
            <w:tcBorders>
              <w:top w:val="nil"/>
              <w:left w:val="nil"/>
              <w:bottom w:val="single" w:sz="4" w:space="0" w:color="000000"/>
              <w:right w:val="nil"/>
            </w:tcBorders>
          </w:tcPr>
          <w:p w14:paraId="572F0DAC" w14:textId="77777777" w:rsidR="000B3C5C" w:rsidRDefault="00ED192D">
            <w:pPr>
              <w:spacing w:after="0" w:line="259" w:lineRule="auto"/>
              <w:ind w:left="705" w:firstLine="0"/>
              <w:jc w:val="center"/>
            </w:pPr>
            <w:r>
              <w:rPr>
                <w:rFonts w:ascii="Arial" w:eastAsia="Arial" w:hAnsi="Arial" w:cs="Arial"/>
                <w:sz w:val="18"/>
              </w:rPr>
              <w:t xml:space="preserve">23-Nov-2020 </w:t>
            </w:r>
          </w:p>
          <w:p w14:paraId="432C6B28" w14:textId="77777777" w:rsidR="000B3C5C" w:rsidRDefault="00ED192D">
            <w:pPr>
              <w:spacing w:after="0" w:line="259" w:lineRule="auto"/>
              <w:ind w:left="1673" w:firstLine="0"/>
            </w:pPr>
            <w:r>
              <w:rPr>
                <w:rFonts w:ascii="Arial" w:eastAsia="Arial" w:hAnsi="Arial" w:cs="Arial"/>
                <w:sz w:val="18"/>
              </w:rPr>
              <w:t>Version number: 1</w:t>
            </w:r>
            <w:r>
              <w:rPr>
                <w:rFonts w:ascii="Arial" w:eastAsia="Arial" w:hAnsi="Arial" w:cs="Arial"/>
                <w:color w:val="0070C0"/>
                <w:sz w:val="18"/>
              </w:rPr>
              <w:t xml:space="preserve"> </w:t>
            </w:r>
          </w:p>
        </w:tc>
        <w:tc>
          <w:tcPr>
            <w:tcW w:w="3012" w:type="dxa"/>
            <w:tcBorders>
              <w:top w:val="nil"/>
              <w:left w:val="nil"/>
              <w:bottom w:val="single" w:sz="4" w:space="0" w:color="000000"/>
              <w:right w:val="nil"/>
            </w:tcBorders>
          </w:tcPr>
          <w:p w14:paraId="1A17B80C" w14:textId="77777777" w:rsidR="000B3C5C" w:rsidRDefault="000B3C5C">
            <w:pPr>
              <w:spacing w:after="160" w:line="259" w:lineRule="auto"/>
              <w:ind w:left="0" w:firstLine="0"/>
            </w:pPr>
          </w:p>
        </w:tc>
      </w:tr>
      <w:tr w:rsidR="000B3C5C" w14:paraId="3D24D61D" w14:textId="77777777">
        <w:trPr>
          <w:trHeight w:val="360"/>
        </w:trPr>
        <w:tc>
          <w:tcPr>
            <w:tcW w:w="2969" w:type="dxa"/>
            <w:tcBorders>
              <w:top w:val="single" w:sz="4" w:space="0" w:color="000000"/>
              <w:left w:val="nil"/>
              <w:bottom w:val="single" w:sz="4" w:space="0" w:color="000000"/>
              <w:right w:val="nil"/>
            </w:tcBorders>
          </w:tcPr>
          <w:p w14:paraId="602F627A" w14:textId="77777777" w:rsidR="000B3C5C" w:rsidRDefault="00ED192D">
            <w:pPr>
              <w:spacing w:after="0" w:line="259" w:lineRule="auto"/>
              <w:ind w:left="0" w:right="68" w:firstLine="0"/>
              <w:jc w:val="center"/>
            </w:pPr>
            <w:r>
              <w:rPr>
                <w:rFonts w:ascii="Arial" w:eastAsia="Arial" w:hAnsi="Arial" w:cs="Arial"/>
                <w:b/>
                <w:sz w:val="20"/>
              </w:rPr>
              <w:t xml:space="preserve">Study intervention name </w:t>
            </w:r>
          </w:p>
        </w:tc>
        <w:tc>
          <w:tcPr>
            <w:tcW w:w="3719" w:type="dxa"/>
            <w:tcBorders>
              <w:top w:val="single" w:sz="4" w:space="0" w:color="000000"/>
              <w:left w:val="nil"/>
              <w:bottom w:val="single" w:sz="4" w:space="0" w:color="000000"/>
              <w:right w:val="nil"/>
            </w:tcBorders>
          </w:tcPr>
          <w:p w14:paraId="14E1DA49" w14:textId="77777777" w:rsidR="000B3C5C" w:rsidRDefault="00ED192D">
            <w:pPr>
              <w:spacing w:after="0" w:line="259" w:lineRule="auto"/>
              <w:ind w:left="0" w:right="185" w:firstLine="0"/>
              <w:jc w:val="center"/>
            </w:pPr>
            <w:r>
              <w:rPr>
                <w:rFonts w:ascii="Arial" w:eastAsia="Arial" w:hAnsi="Arial" w:cs="Arial"/>
                <w:b/>
                <w:sz w:val="20"/>
              </w:rPr>
              <w:t xml:space="preserve">Isatuximab </w:t>
            </w:r>
          </w:p>
        </w:tc>
        <w:tc>
          <w:tcPr>
            <w:tcW w:w="3012" w:type="dxa"/>
            <w:tcBorders>
              <w:top w:val="single" w:sz="4" w:space="0" w:color="000000"/>
              <w:left w:val="nil"/>
              <w:bottom w:val="single" w:sz="4" w:space="0" w:color="000000"/>
              <w:right w:val="nil"/>
            </w:tcBorders>
          </w:tcPr>
          <w:p w14:paraId="377FCE94" w14:textId="77777777" w:rsidR="000B3C5C" w:rsidRDefault="00ED192D">
            <w:pPr>
              <w:spacing w:after="0" w:line="259" w:lineRule="auto"/>
              <w:ind w:left="0" w:right="81" w:firstLine="0"/>
              <w:jc w:val="center"/>
            </w:pPr>
            <w:r>
              <w:rPr>
                <w:rFonts w:ascii="Arial" w:eastAsia="Arial" w:hAnsi="Arial" w:cs="Arial"/>
                <w:b/>
                <w:sz w:val="20"/>
              </w:rPr>
              <w:t xml:space="preserve">Atezolizumab </w:t>
            </w:r>
          </w:p>
        </w:tc>
      </w:tr>
      <w:tr w:rsidR="000B3C5C" w14:paraId="233F377E" w14:textId="77777777">
        <w:trPr>
          <w:trHeight w:val="9764"/>
        </w:trPr>
        <w:tc>
          <w:tcPr>
            <w:tcW w:w="2969" w:type="dxa"/>
            <w:tcBorders>
              <w:top w:val="single" w:sz="4" w:space="0" w:color="000000"/>
              <w:left w:val="nil"/>
              <w:bottom w:val="single" w:sz="4" w:space="0" w:color="000000"/>
              <w:right w:val="nil"/>
            </w:tcBorders>
          </w:tcPr>
          <w:p w14:paraId="4936E1EA" w14:textId="77777777" w:rsidR="000B3C5C" w:rsidRDefault="00ED192D">
            <w:pPr>
              <w:spacing w:after="0" w:line="259" w:lineRule="auto"/>
              <w:ind w:left="0" w:right="66" w:firstLine="0"/>
              <w:jc w:val="center"/>
            </w:pPr>
            <w:r>
              <w:rPr>
                <w:rFonts w:ascii="Arial" w:eastAsia="Arial" w:hAnsi="Arial" w:cs="Arial"/>
                <w:sz w:val="20"/>
              </w:rPr>
              <w:t xml:space="preserve">Packaging and labeling </w:t>
            </w:r>
          </w:p>
        </w:tc>
        <w:tc>
          <w:tcPr>
            <w:tcW w:w="3719" w:type="dxa"/>
            <w:tcBorders>
              <w:top w:val="single" w:sz="4" w:space="0" w:color="000000"/>
              <w:left w:val="nil"/>
              <w:bottom w:val="single" w:sz="4" w:space="0" w:color="000000"/>
              <w:right w:val="nil"/>
            </w:tcBorders>
          </w:tcPr>
          <w:p w14:paraId="59859D81" w14:textId="77777777" w:rsidR="000B3C5C" w:rsidRDefault="00ED192D">
            <w:pPr>
              <w:spacing w:after="41" w:line="259" w:lineRule="auto"/>
              <w:ind w:left="0" w:firstLine="0"/>
            </w:pPr>
            <w:r>
              <w:rPr>
                <w:rFonts w:ascii="Arial" w:eastAsia="Arial" w:hAnsi="Arial" w:cs="Arial"/>
                <w:sz w:val="20"/>
              </w:rPr>
              <w:t xml:space="preserve">In single dose vials </w:t>
            </w:r>
          </w:p>
          <w:p w14:paraId="75F85359" w14:textId="77777777" w:rsidR="000B3C5C" w:rsidRDefault="00ED192D">
            <w:pPr>
              <w:spacing w:after="60" w:line="241" w:lineRule="auto"/>
              <w:ind w:left="0" w:right="51" w:firstLine="0"/>
            </w:pPr>
            <w:r>
              <w:rPr>
                <w:rFonts w:ascii="Arial" w:eastAsia="Arial" w:hAnsi="Arial" w:cs="Arial"/>
                <w:sz w:val="20"/>
              </w:rPr>
              <w:t xml:space="preserve">30 mL (C1P2F2) glass vials fitted with elastomeric closure. </w:t>
            </w:r>
          </w:p>
          <w:p w14:paraId="52A27657" w14:textId="77777777" w:rsidR="000B3C5C" w:rsidRDefault="00ED192D">
            <w:pPr>
              <w:spacing w:after="61" w:line="240" w:lineRule="auto"/>
              <w:ind w:left="0" w:right="170" w:firstLine="0"/>
            </w:pPr>
            <w:r>
              <w:rPr>
                <w:rFonts w:ascii="Arial" w:eastAsia="Arial" w:hAnsi="Arial" w:cs="Arial"/>
                <w:sz w:val="20"/>
              </w:rPr>
              <w:t xml:space="preserve">The label contents will be in accordance with the local regulatory specifications and requirements. </w:t>
            </w:r>
          </w:p>
          <w:p w14:paraId="3DA2CEEF" w14:textId="77777777" w:rsidR="000B3C5C" w:rsidRDefault="00ED192D">
            <w:pPr>
              <w:spacing w:after="41" w:line="259" w:lineRule="auto"/>
              <w:ind w:left="0" w:firstLine="0"/>
            </w:pPr>
            <w:r>
              <w:rPr>
                <w:rFonts w:ascii="Arial" w:eastAsia="Arial" w:hAnsi="Arial" w:cs="Arial"/>
                <w:sz w:val="20"/>
              </w:rPr>
              <w:t xml:space="preserve"> </w:t>
            </w:r>
          </w:p>
          <w:p w14:paraId="29E96CCF" w14:textId="77777777" w:rsidR="000B3C5C" w:rsidRDefault="00ED192D">
            <w:pPr>
              <w:spacing w:after="58" w:line="241" w:lineRule="auto"/>
              <w:ind w:left="0" w:right="167" w:firstLine="0"/>
            </w:pPr>
            <w:r>
              <w:rPr>
                <w:rFonts w:ascii="Arial" w:eastAsia="Arial" w:hAnsi="Arial" w:cs="Arial"/>
                <w:b/>
                <w:sz w:val="20"/>
              </w:rPr>
              <w:t>ISATUXIMAB</w:t>
            </w:r>
            <w:r>
              <w:rPr>
                <w:rFonts w:ascii="Arial" w:eastAsia="Arial" w:hAnsi="Arial" w:cs="Arial"/>
                <w:sz w:val="20"/>
              </w:rPr>
              <w:t xml:space="preserve"> </w:t>
            </w:r>
            <w:r>
              <w:rPr>
                <w:rFonts w:ascii="Arial" w:eastAsia="Arial" w:hAnsi="Arial" w:cs="Arial"/>
                <w:sz w:val="20"/>
              </w:rPr>
              <w:t>will be presented as a concentrate for solution for infusion in vials containing 20 mg/mL (500 mg/25 mL) isatuximab in 20 mM histidine, 10% (w/v) sucrose, and 0.02% (w/v) polysorbate 80 at pH 6.0 buffer. This product will be supplied for parenteral administration as a sterile, nonpyrogenic, injectable, 20 mg/mL concentrate for solution for infusion, essentially free of visible particulates. Each vial will contain a nominal content of 500 mg isatuximab C1P2F2. The fill volume will be established to ensure re</w:t>
            </w:r>
            <w:r>
              <w:rPr>
                <w:rFonts w:ascii="Arial" w:eastAsia="Arial" w:hAnsi="Arial" w:cs="Arial"/>
                <w:sz w:val="20"/>
              </w:rPr>
              <w:t xml:space="preserve">moval of 25 mL. </w:t>
            </w:r>
          </w:p>
          <w:p w14:paraId="7B000DB3" w14:textId="77777777" w:rsidR="000B3C5C" w:rsidRDefault="00ED192D">
            <w:pPr>
              <w:spacing w:after="257" w:line="241" w:lineRule="auto"/>
              <w:ind w:left="0" w:right="107" w:firstLine="0"/>
            </w:pPr>
            <w:r>
              <w:rPr>
                <w:rFonts w:ascii="Arial" w:eastAsia="Arial" w:hAnsi="Arial" w:cs="Arial"/>
                <w:sz w:val="20"/>
              </w:rPr>
              <w:t xml:space="preserve">For participant administration, the appropriate volume of isatuximab will be diluted in an infusion bag of 0.9% sodium chloride solution. The final infusion volume corresponding to the dose of isatuximab will be administered for a period of time that will depend on the dose administered and will be based on protein amount given per hour. </w:t>
            </w:r>
          </w:p>
          <w:p w14:paraId="4C1A7753" w14:textId="77777777" w:rsidR="000B3C5C" w:rsidRDefault="00ED192D">
            <w:pPr>
              <w:spacing w:after="19" w:line="259" w:lineRule="auto"/>
              <w:ind w:left="0" w:firstLine="0"/>
            </w:pPr>
            <w:r>
              <w:rPr>
                <w:i/>
                <w:sz w:val="22"/>
              </w:rPr>
              <w:t xml:space="preserve">Preferred diluents are: </w:t>
            </w:r>
          </w:p>
          <w:p w14:paraId="2E608930" w14:textId="77777777" w:rsidR="000B3C5C" w:rsidRDefault="00ED192D">
            <w:pPr>
              <w:spacing w:after="0" w:line="259" w:lineRule="auto"/>
              <w:ind w:left="0" w:firstLine="0"/>
            </w:pPr>
            <w:r>
              <w:rPr>
                <w:rFonts w:ascii="Arial" w:eastAsia="Arial" w:hAnsi="Arial" w:cs="Arial"/>
                <w:sz w:val="20"/>
              </w:rPr>
              <w:t xml:space="preserve">0.9% Sodium chloride for injection 100 mL, </w:t>
            </w:r>
          </w:p>
          <w:p w14:paraId="487BCEB4" w14:textId="77777777" w:rsidR="000B3C5C" w:rsidRDefault="00ED192D">
            <w:pPr>
              <w:spacing w:after="0" w:line="241" w:lineRule="auto"/>
              <w:ind w:left="0" w:right="687" w:firstLine="0"/>
            </w:pPr>
            <w:r>
              <w:rPr>
                <w:rFonts w:ascii="Arial" w:eastAsia="Arial" w:hAnsi="Arial" w:cs="Arial"/>
                <w:sz w:val="20"/>
              </w:rPr>
              <w:t xml:space="preserve">250 mL or 500 mL bags in polyolefins (so </w:t>
            </w:r>
            <w:r>
              <w:rPr>
                <w:rFonts w:ascii="Arial" w:eastAsia="Arial" w:hAnsi="Arial" w:cs="Arial"/>
                <w:sz w:val="20"/>
              </w:rPr>
              <w:t xml:space="preserve">covers also polyethylene (PE) or </w:t>
            </w:r>
          </w:p>
          <w:p w14:paraId="50B5A82E" w14:textId="77777777" w:rsidR="000B3C5C" w:rsidRDefault="00ED192D">
            <w:pPr>
              <w:spacing w:after="58" w:line="241" w:lineRule="auto"/>
              <w:ind w:left="0" w:right="49" w:firstLine="0"/>
            </w:pPr>
            <w:r>
              <w:rPr>
                <w:rFonts w:ascii="Arial" w:eastAsia="Arial" w:hAnsi="Arial" w:cs="Arial"/>
                <w:sz w:val="20"/>
              </w:rPr>
              <w:t xml:space="preserve">polypropylene (PP)) or polyvinyl chloride (PVC) (with DEHP) Or Dextrose 5% for injection 100 mL, 250 mL or 500 mL bags in polyolefins (so covers also PE or PP) or PVC (with DEHP). </w:t>
            </w:r>
          </w:p>
          <w:p w14:paraId="6401CFEA" w14:textId="77777777" w:rsidR="000B3C5C" w:rsidRDefault="00ED192D">
            <w:pPr>
              <w:spacing w:after="0" w:line="259" w:lineRule="auto"/>
              <w:ind w:left="0" w:right="124" w:firstLine="0"/>
            </w:pPr>
            <w:r>
              <w:rPr>
                <w:rFonts w:ascii="Arial" w:eastAsia="Arial" w:hAnsi="Arial" w:cs="Arial"/>
                <w:sz w:val="20"/>
              </w:rPr>
              <w:t xml:space="preserve">Detailed instructions for dilution of the isatuximab concentrate are provided in the Pharmacy Manual. </w:t>
            </w:r>
          </w:p>
        </w:tc>
        <w:tc>
          <w:tcPr>
            <w:tcW w:w="3012" w:type="dxa"/>
            <w:tcBorders>
              <w:top w:val="single" w:sz="4" w:space="0" w:color="000000"/>
              <w:left w:val="nil"/>
              <w:bottom w:val="single" w:sz="4" w:space="0" w:color="000000"/>
              <w:right w:val="nil"/>
            </w:tcBorders>
          </w:tcPr>
          <w:p w14:paraId="349230BB" w14:textId="77777777" w:rsidR="000B3C5C" w:rsidRDefault="00ED192D">
            <w:pPr>
              <w:spacing w:after="41" w:line="259" w:lineRule="auto"/>
              <w:ind w:left="0" w:firstLine="0"/>
            </w:pPr>
            <w:r>
              <w:rPr>
                <w:rFonts w:ascii="Arial" w:eastAsia="Arial" w:hAnsi="Arial" w:cs="Arial"/>
                <w:sz w:val="20"/>
              </w:rPr>
              <w:t xml:space="preserve">In single dose vials </w:t>
            </w:r>
          </w:p>
          <w:p w14:paraId="67643EE9" w14:textId="77777777" w:rsidR="000B3C5C" w:rsidRDefault="00ED192D">
            <w:pPr>
              <w:spacing w:after="60" w:line="241" w:lineRule="auto"/>
              <w:ind w:left="0" w:right="30" w:firstLine="0"/>
            </w:pPr>
            <w:r>
              <w:rPr>
                <w:rFonts w:ascii="Arial" w:eastAsia="Arial" w:hAnsi="Arial" w:cs="Arial"/>
                <w:sz w:val="20"/>
              </w:rPr>
              <w:t xml:space="preserve">Glass vial fitted with elastomeric closure. </w:t>
            </w:r>
          </w:p>
          <w:p w14:paraId="0BCE6DB4" w14:textId="77777777" w:rsidR="000B3C5C" w:rsidRDefault="00ED192D">
            <w:pPr>
              <w:spacing w:after="61" w:line="240" w:lineRule="auto"/>
              <w:ind w:left="0" w:right="75" w:firstLine="0"/>
            </w:pPr>
            <w:r>
              <w:rPr>
                <w:rFonts w:ascii="Arial" w:eastAsia="Arial" w:hAnsi="Arial" w:cs="Arial"/>
                <w:sz w:val="20"/>
              </w:rPr>
              <w:t xml:space="preserve">The label contents will be in accordance with the local regulatory specifications and requirements </w:t>
            </w:r>
          </w:p>
          <w:p w14:paraId="09534BF0" w14:textId="77777777" w:rsidR="000B3C5C" w:rsidRDefault="00ED192D">
            <w:pPr>
              <w:spacing w:after="41" w:line="259" w:lineRule="auto"/>
              <w:ind w:left="0" w:firstLine="0"/>
            </w:pPr>
            <w:r>
              <w:rPr>
                <w:rFonts w:ascii="Arial" w:eastAsia="Arial" w:hAnsi="Arial" w:cs="Arial"/>
                <w:sz w:val="20"/>
              </w:rPr>
              <w:t xml:space="preserve"> </w:t>
            </w:r>
          </w:p>
          <w:p w14:paraId="5B94FCD8" w14:textId="77777777" w:rsidR="000B3C5C" w:rsidRDefault="00ED192D">
            <w:pPr>
              <w:spacing w:after="0" w:line="259" w:lineRule="auto"/>
              <w:ind w:left="0" w:firstLine="0"/>
            </w:pPr>
            <w:r>
              <w:rPr>
                <w:rFonts w:ascii="Arial" w:eastAsia="Arial" w:hAnsi="Arial" w:cs="Arial"/>
                <w:b/>
                <w:sz w:val="20"/>
              </w:rPr>
              <w:t>ATEZOLIZUMAB</w:t>
            </w:r>
            <w:r>
              <w:rPr>
                <w:rFonts w:ascii="Arial" w:eastAsia="Arial" w:hAnsi="Arial" w:cs="Arial"/>
                <w:sz w:val="20"/>
              </w:rPr>
              <w:t xml:space="preserve"> </w:t>
            </w:r>
            <w:r>
              <w:rPr>
                <w:rFonts w:ascii="Arial" w:eastAsia="Arial" w:hAnsi="Arial" w:cs="Arial"/>
                <w:sz w:val="20"/>
              </w:rPr>
              <w:t xml:space="preserve">will be presented as </w:t>
            </w:r>
          </w:p>
          <w:p w14:paraId="7DB4CF52" w14:textId="77777777" w:rsidR="000B3C5C" w:rsidRDefault="00ED192D">
            <w:pPr>
              <w:spacing w:after="258" w:line="241" w:lineRule="auto"/>
              <w:ind w:left="0" w:firstLine="0"/>
            </w:pPr>
            <w:r>
              <w:rPr>
                <w:rFonts w:ascii="Arial" w:eastAsia="Arial" w:hAnsi="Arial" w:cs="Arial"/>
                <w:sz w:val="20"/>
              </w:rPr>
              <w:t xml:space="preserve">a concentrate for solution for infusion in vials containing 60 mg/mL. Each 20 mL vial of concentrate contains 1200 mg atezolizumab. After dilution, 1 mL of solution contains approximately 4.4 mg of atezolizumab. </w:t>
            </w:r>
          </w:p>
          <w:p w14:paraId="1C82695D" w14:textId="77777777" w:rsidR="000B3C5C" w:rsidRDefault="00ED192D">
            <w:pPr>
              <w:spacing w:after="19" w:line="259" w:lineRule="auto"/>
              <w:ind w:left="0" w:firstLine="0"/>
            </w:pPr>
            <w:r>
              <w:rPr>
                <w:i/>
                <w:sz w:val="22"/>
              </w:rPr>
              <w:t>Preferred diluents are:</w:t>
            </w:r>
            <w:r>
              <w:rPr>
                <w:sz w:val="20"/>
              </w:rPr>
              <w:t xml:space="preserve"> </w:t>
            </w:r>
          </w:p>
          <w:p w14:paraId="5210CFE7" w14:textId="77777777" w:rsidR="000B3C5C" w:rsidRDefault="00ED192D">
            <w:pPr>
              <w:spacing w:after="58" w:line="241" w:lineRule="auto"/>
              <w:ind w:left="0" w:firstLine="0"/>
            </w:pPr>
            <w:r>
              <w:rPr>
                <w:rFonts w:ascii="Arial" w:eastAsia="Arial" w:hAnsi="Arial" w:cs="Arial"/>
                <w:b/>
                <w:sz w:val="20"/>
              </w:rPr>
              <w:t>sodium chloride</w:t>
            </w:r>
            <w:r>
              <w:rPr>
                <w:rFonts w:ascii="Arial" w:eastAsia="Arial" w:hAnsi="Arial" w:cs="Arial"/>
                <w:sz w:val="20"/>
              </w:rPr>
              <w:t xml:space="preserve"> 9 mg/mL (0.9%) solution </w:t>
            </w:r>
          </w:p>
          <w:p w14:paraId="6A04B6D1" w14:textId="77777777" w:rsidR="000B3C5C" w:rsidRDefault="00ED192D">
            <w:pPr>
              <w:spacing w:after="43" w:line="259" w:lineRule="auto"/>
              <w:ind w:left="0" w:firstLine="0"/>
            </w:pPr>
            <w:r>
              <w:rPr>
                <w:rFonts w:ascii="Arial" w:eastAsia="Arial" w:hAnsi="Arial" w:cs="Arial"/>
                <w:sz w:val="20"/>
              </w:rPr>
              <w:t xml:space="preserve"> </w:t>
            </w:r>
          </w:p>
          <w:p w14:paraId="51E67153" w14:textId="77777777" w:rsidR="000B3C5C" w:rsidRDefault="00ED192D">
            <w:pPr>
              <w:spacing w:after="61" w:line="241" w:lineRule="auto"/>
              <w:ind w:left="0" w:right="39" w:firstLine="0"/>
            </w:pPr>
            <w:r>
              <w:rPr>
                <w:rFonts w:ascii="Arial" w:eastAsia="Arial" w:hAnsi="Arial" w:cs="Arial"/>
                <w:sz w:val="20"/>
              </w:rPr>
              <w:t xml:space="preserve">No incompatibilities have been observed between Tecentriq and intravenous bags with productcontacting surfaces of PVC, PE or polyolefin. In addition, no incompatibilities have been observed with in-line filter membranes composed of polyethersulfone or polysulfone, and infusion sets and other infusion aids composed of PVC, PE, polybutadiene, or polyetherurethane. The use of in-line filter membranes is optional. </w:t>
            </w:r>
          </w:p>
          <w:p w14:paraId="10967198" w14:textId="77777777" w:rsidR="000B3C5C" w:rsidRDefault="00ED192D">
            <w:pPr>
              <w:spacing w:after="41" w:line="259" w:lineRule="auto"/>
              <w:ind w:left="0" w:firstLine="0"/>
            </w:pPr>
            <w:r>
              <w:rPr>
                <w:rFonts w:ascii="Arial" w:eastAsia="Arial" w:hAnsi="Arial" w:cs="Arial"/>
                <w:sz w:val="20"/>
              </w:rPr>
              <w:t xml:space="preserve"> </w:t>
            </w:r>
          </w:p>
          <w:p w14:paraId="76909208" w14:textId="77777777" w:rsidR="000B3C5C" w:rsidRDefault="00ED192D">
            <w:pPr>
              <w:spacing w:after="0" w:line="259" w:lineRule="auto"/>
              <w:ind w:left="0" w:firstLine="0"/>
            </w:pPr>
            <w:r>
              <w:rPr>
                <w:rFonts w:ascii="Arial" w:eastAsia="Arial" w:hAnsi="Arial" w:cs="Arial"/>
                <w:sz w:val="20"/>
              </w:rPr>
              <w:t xml:space="preserve">Detailed instructions for dilution of the atezolizumab concentrate are provided in the Pharmacy Manual. </w:t>
            </w:r>
          </w:p>
        </w:tc>
      </w:tr>
      <w:tr w:rsidR="000B3C5C" w14:paraId="4930B9CE" w14:textId="77777777">
        <w:trPr>
          <w:trHeight w:val="2377"/>
        </w:trPr>
        <w:tc>
          <w:tcPr>
            <w:tcW w:w="2969" w:type="dxa"/>
            <w:tcBorders>
              <w:top w:val="single" w:sz="4" w:space="0" w:color="000000"/>
              <w:left w:val="nil"/>
              <w:bottom w:val="single" w:sz="4" w:space="0" w:color="000000"/>
              <w:right w:val="nil"/>
            </w:tcBorders>
          </w:tcPr>
          <w:p w14:paraId="4B40968B" w14:textId="77777777" w:rsidR="000B3C5C" w:rsidRDefault="00ED192D">
            <w:pPr>
              <w:spacing w:after="0" w:line="259" w:lineRule="auto"/>
              <w:ind w:left="0" w:right="65" w:firstLine="0"/>
              <w:jc w:val="center"/>
            </w:pPr>
            <w:r>
              <w:rPr>
                <w:rFonts w:ascii="Arial" w:eastAsia="Arial" w:hAnsi="Arial" w:cs="Arial"/>
                <w:sz w:val="20"/>
              </w:rPr>
              <w:t xml:space="preserve">Manufacturer </w:t>
            </w:r>
          </w:p>
        </w:tc>
        <w:tc>
          <w:tcPr>
            <w:tcW w:w="3719" w:type="dxa"/>
            <w:tcBorders>
              <w:top w:val="single" w:sz="4" w:space="0" w:color="000000"/>
              <w:left w:val="nil"/>
              <w:bottom w:val="single" w:sz="4" w:space="0" w:color="000000"/>
              <w:right w:val="nil"/>
            </w:tcBorders>
          </w:tcPr>
          <w:p w14:paraId="07DC2E10" w14:textId="77777777" w:rsidR="000B3C5C" w:rsidRDefault="00ED192D">
            <w:pPr>
              <w:spacing w:after="44" w:line="259" w:lineRule="auto"/>
              <w:ind w:left="0" w:right="183" w:firstLine="0"/>
              <w:jc w:val="center"/>
            </w:pPr>
            <w:r>
              <w:rPr>
                <w:rFonts w:ascii="Arial" w:eastAsia="Arial" w:hAnsi="Arial" w:cs="Arial"/>
                <w:b/>
                <w:sz w:val="20"/>
                <w:u w:val="single" w:color="000000"/>
              </w:rPr>
              <w:t>Bulk Drug Product</w:t>
            </w:r>
            <w:r>
              <w:rPr>
                <w:rFonts w:ascii="Arial" w:eastAsia="Arial" w:hAnsi="Arial" w:cs="Arial"/>
                <w:b/>
                <w:sz w:val="20"/>
              </w:rPr>
              <w:t xml:space="preserve"> </w:t>
            </w:r>
          </w:p>
          <w:p w14:paraId="24DFCDF1" w14:textId="77777777" w:rsidR="000B3C5C" w:rsidRDefault="00ED192D">
            <w:pPr>
              <w:spacing w:after="0" w:line="259" w:lineRule="auto"/>
              <w:ind w:left="175" w:firstLine="0"/>
            </w:pPr>
            <w:r>
              <w:rPr>
                <w:rFonts w:ascii="Arial" w:eastAsia="Arial" w:hAnsi="Arial" w:cs="Arial"/>
                <w:sz w:val="20"/>
              </w:rPr>
              <w:t xml:space="preserve">SANOFI AVENTIS DEUTSCHLAND GmbH </w:t>
            </w:r>
          </w:p>
          <w:p w14:paraId="38EC5DE2" w14:textId="77777777" w:rsidR="000B3C5C" w:rsidRDefault="00ED192D">
            <w:pPr>
              <w:spacing w:after="41" w:line="259" w:lineRule="auto"/>
              <w:ind w:left="322" w:firstLine="0"/>
            </w:pPr>
            <w:r>
              <w:rPr>
                <w:rFonts w:ascii="Arial" w:eastAsia="Arial" w:hAnsi="Arial" w:cs="Arial"/>
                <w:sz w:val="20"/>
              </w:rPr>
              <w:t xml:space="preserve">FRANKFURT GERMANY Industriepark </w:t>
            </w:r>
          </w:p>
          <w:p w14:paraId="5EDA7DF1" w14:textId="77777777" w:rsidR="000B3C5C" w:rsidRDefault="00ED192D">
            <w:pPr>
              <w:spacing w:after="0" w:line="259" w:lineRule="auto"/>
              <w:ind w:left="288" w:firstLine="0"/>
            </w:pPr>
            <w:r>
              <w:rPr>
                <w:rFonts w:ascii="Arial" w:eastAsia="Arial" w:hAnsi="Arial" w:cs="Arial"/>
                <w:sz w:val="20"/>
              </w:rPr>
              <w:t>Höchst 65926 FRANKFURT GERMANY</w:t>
            </w:r>
            <w:r>
              <w:rPr>
                <w:rFonts w:ascii="Arial" w:eastAsia="Arial" w:hAnsi="Arial" w:cs="Arial"/>
                <w:sz w:val="18"/>
              </w:rPr>
              <w:t xml:space="preserve"> </w:t>
            </w:r>
          </w:p>
        </w:tc>
        <w:tc>
          <w:tcPr>
            <w:tcW w:w="3012" w:type="dxa"/>
            <w:tcBorders>
              <w:top w:val="single" w:sz="4" w:space="0" w:color="000000"/>
              <w:left w:val="nil"/>
              <w:bottom w:val="single" w:sz="4" w:space="0" w:color="000000"/>
              <w:right w:val="nil"/>
            </w:tcBorders>
          </w:tcPr>
          <w:p w14:paraId="7F1E7464" w14:textId="77777777" w:rsidR="000B3C5C" w:rsidRDefault="00ED192D">
            <w:pPr>
              <w:spacing w:after="57" w:line="242" w:lineRule="auto"/>
              <w:ind w:left="1077" w:hanging="938"/>
            </w:pPr>
            <w:r>
              <w:rPr>
                <w:rFonts w:ascii="Arial" w:eastAsia="Arial" w:hAnsi="Arial" w:cs="Arial"/>
                <w:sz w:val="20"/>
              </w:rPr>
              <w:t xml:space="preserve">Manufacturer of the biological active substance  </w:t>
            </w:r>
          </w:p>
          <w:p w14:paraId="4E642B78" w14:textId="77777777" w:rsidR="000B3C5C" w:rsidRDefault="00ED192D">
            <w:pPr>
              <w:spacing w:after="0" w:line="259" w:lineRule="auto"/>
              <w:ind w:left="0" w:right="75" w:firstLine="0"/>
              <w:jc w:val="center"/>
            </w:pPr>
            <w:r>
              <w:rPr>
                <w:rFonts w:ascii="Arial" w:eastAsia="Arial" w:hAnsi="Arial" w:cs="Arial"/>
                <w:sz w:val="20"/>
              </w:rPr>
              <w:t xml:space="preserve">F. Hoffmann-La Roche AG </w:t>
            </w:r>
          </w:p>
          <w:p w14:paraId="73E48045" w14:textId="77777777" w:rsidR="000B3C5C" w:rsidRDefault="00ED192D">
            <w:pPr>
              <w:spacing w:after="58" w:line="241" w:lineRule="auto"/>
              <w:ind w:left="864" w:hanging="698"/>
            </w:pPr>
            <w:r>
              <w:rPr>
                <w:rFonts w:ascii="Arial" w:eastAsia="Arial" w:hAnsi="Arial" w:cs="Arial"/>
                <w:sz w:val="20"/>
              </w:rPr>
              <w:t xml:space="preserve">Grenzacherstrasse 124 4070 Basel SWITZERLAND  </w:t>
            </w:r>
          </w:p>
          <w:p w14:paraId="2019C391" w14:textId="77777777" w:rsidR="000B3C5C" w:rsidRDefault="00ED192D">
            <w:pPr>
              <w:spacing w:after="58" w:line="241" w:lineRule="auto"/>
              <w:ind w:left="1183" w:hanging="998"/>
            </w:pPr>
            <w:r>
              <w:rPr>
                <w:rFonts w:ascii="Arial" w:eastAsia="Arial" w:hAnsi="Arial" w:cs="Arial"/>
                <w:sz w:val="20"/>
              </w:rPr>
              <w:t xml:space="preserve">Manufacturer responsible for batch release  </w:t>
            </w:r>
          </w:p>
          <w:p w14:paraId="177045C1" w14:textId="77777777" w:rsidR="000B3C5C" w:rsidRDefault="00ED192D">
            <w:pPr>
              <w:spacing w:after="0" w:line="259" w:lineRule="auto"/>
              <w:ind w:left="38" w:firstLine="0"/>
            </w:pPr>
            <w:r>
              <w:rPr>
                <w:rFonts w:ascii="Arial" w:eastAsia="Arial" w:hAnsi="Arial" w:cs="Arial"/>
                <w:sz w:val="20"/>
              </w:rPr>
              <w:t xml:space="preserve">Roche Pharma AG Emil-Barell-Strasse 1 79639 Grenzach-Whylen GERMANY </w:t>
            </w:r>
          </w:p>
        </w:tc>
      </w:tr>
    </w:tbl>
    <w:p w14:paraId="6D54F29E" w14:textId="77777777" w:rsidR="000B3C5C" w:rsidRDefault="00ED192D">
      <w:pPr>
        <w:spacing w:line="249" w:lineRule="auto"/>
        <w:ind w:left="-5" w:right="51"/>
      </w:pPr>
      <w:r>
        <w:rPr>
          <w:b/>
        </w:rPr>
        <w:t xml:space="preserve">Rate and duration of infusion: </w:t>
      </w:r>
    </w:p>
    <w:p w14:paraId="6EEC8EFB" w14:textId="77777777" w:rsidR="000B3C5C" w:rsidRDefault="00ED192D">
      <w:pPr>
        <w:ind w:left="-3" w:right="14"/>
      </w:pPr>
      <w:r>
        <w:t xml:space="preserve">The duration of infusion for atezolizumab is 1200 mg over 60 minutes per administration. If the first infusion is tolerated, all subsequent infusions may be delivered over 30 minutes. </w:t>
      </w:r>
    </w:p>
    <w:p w14:paraId="04362F7E" w14:textId="77777777" w:rsidR="000B3C5C" w:rsidRDefault="00ED192D">
      <w:pPr>
        <w:spacing w:after="132"/>
        <w:ind w:left="-3" w:right="14"/>
      </w:pPr>
      <w:r>
        <w:t xml:space="preserve">For isatuximab, the rate of infusion should be initiated at 175 mg/hour: </w:t>
      </w:r>
    </w:p>
    <w:p w14:paraId="2DC8B570" w14:textId="77777777" w:rsidR="000B3C5C" w:rsidRDefault="00ED192D">
      <w:pPr>
        <w:numPr>
          <w:ilvl w:val="0"/>
          <w:numId w:val="28"/>
        </w:numPr>
        <w:spacing w:after="135"/>
        <w:ind w:right="14" w:hanging="358"/>
      </w:pPr>
      <w:r>
        <w:t xml:space="preserve">First infusion: initiate infusion at 175 mg/hour. In the absence of IARs after 1 hour of infusion, increase infusion rate by 50 mg/hour increments every 30 minutes, to a maximum of 400 mg/hour. </w:t>
      </w:r>
    </w:p>
    <w:p w14:paraId="07E55A2A" w14:textId="77777777" w:rsidR="000B3C5C" w:rsidRDefault="00ED192D">
      <w:pPr>
        <w:numPr>
          <w:ilvl w:val="0"/>
          <w:numId w:val="28"/>
        </w:numPr>
        <w:ind w:right="14" w:hanging="358"/>
      </w:pPr>
      <w:r>
        <w:t xml:space="preserve">Subsequent infusions: initiate infusion at 175 mg/hour. In the absence of IAR after 1 hour of infusion, increase rate by 100 mg/hour increments every 30 minutes, to a maximum of 400 mg/hour. </w:t>
      </w:r>
    </w:p>
    <w:p w14:paraId="04C0B3E2" w14:textId="77777777" w:rsidR="000B3C5C" w:rsidRDefault="00ED192D">
      <w:pPr>
        <w:spacing w:line="249" w:lineRule="auto"/>
        <w:ind w:left="-5" w:right="51"/>
      </w:pPr>
      <w:r>
        <w:rPr>
          <w:b/>
        </w:rPr>
        <w:t xml:space="preserve">NON INVESTIGATIONAL MEDICINAL PRODUCTS: </w:t>
      </w:r>
    </w:p>
    <w:p w14:paraId="6FC1A889" w14:textId="77777777" w:rsidR="000B3C5C" w:rsidRDefault="00ED192D">
      <w:pPr>
        <w:ind w:left="-3" w:right="14"/>
      </w:pPr>
      <w:r>
        <w:t>Non investigational medicinal products</w:t>
      </w:r>
      <w:r>
        <w:rPr>
          <w:b/>
        </w:rPr>
        <w:t xml:space="preserve"> </w:t>
      </w:r>
      <w:r>
        <w:t>will be locally sourced and formulation may vary.</w:t>
      </w:r>
      <w:r>
        <w:rPr>
          <w:b/>
        </w:rPr>
        <w:t xml:space="preserve"> </w:t>
      </w:r>
    </w:p>
    <w:p w14:paraId="736B7BE3" w14:textId="77777777" w:rsidR="000B3C5C" w:rsidRDefault="00ED192D">
      <w:pPr>
        <w:spacing w:after="75"/>
        <w:ind w:left="-3" w:right="14"/>
      </w:pPr>
      <w:r>
        <w:t>All participants will receive the following premedications to prevent or reduce incidence or severity of IARs, 30 to 60 minutes prior to the isatuximab infusion (no longer than 60 minutes). The premedication agents will consist of:</w:t>
      </w:r>
      <w:r>
        <w:rPr>
          <w:b/>
        </w:rPr>
        <w:t xml:space="preserve"> </w:t>
      </w:r>
    </w:p>
    <w:p w14:paraId="7D7CB7DC" w14:textId="77777777" w:rsidR="000B3C5C" w:rsidRDefault="00ED192D">
      <w:pPr>
        <w:numPr>
          <w:ilvl w:val="0"/>
          <w:numId w:val="28"/>
        </w:numPr>
        <w:spacing w:after="28"/>
        <w:ind w:right="14" w:hanging="358"/>
      </w:pPr>
      <w:r>
        <w:t xml:space="preserve">Acetaminophen 650 to 1000 mg oral route (PO) (or equivalent). </w:t>
      </w:r>
    </w:p>
    <w:p w14:paraId="34A671A0" w14:textId="77777777" w:rsidR="000B3C5C" w:rsidRDefault="00ED192D">
      <w:pPr>
        <w:numPr>
          <w:ilvl w:val="0"/>
          <w:numId w:val="28"/>
        </w:numPr>
        <w:spacing w:after="30"/>
        <w:ind w:right="14" w:hanging="358"/>
      </w:pPr>
      <w:r>
        <w:t xml:space="preserve">Ranitidine 50 mg IV (or equivalent). </w:t>
      </w:r>
    </w:p>
    <w:p w14:paraId="7061E6F5" w14:textId="77777777" w:rsidR="000B3C5C" w:rsidRDefault="00ED192D">
      <w:pPr>
        <w:numPr>
          <w:ilvl w:val="0"/>
          <w:numId w:val="28"/>
        </w:numPr>
        <w:spacing w:after="28"/>
        <w:ind w:right="14" w:hanging="358"/>
      </w:pPr>
      <w:r>
        <w:t xml:space="preserve">Diphenhydramine 25 to 50 mg IV (or equivalent). </w:t>
      </w:r>
    </w:p>
    <w:p w14:paraId="76E62B0E" w14:textId="77777777" w:rsidR="000B3C5C" w:rsidRDefault="00ED192D">
      <w:pPr>
        <w:numPr>
          <w:ilvl w:val="0"/>
          <w:numId w:val="28"/>
        </w:numPr>
        <w:spacing w:after="28"/>
        <w:ind w:right="14" w:hanging="358"/>
      </w:pPr>
      <w:r>
        <w:t xml:space="preserve">Methylprednisolone 100 mg IV (or equivalent). </w:t>
      </w:r>
    </w:p>
    <w:p w14:paraId="770EA10F" w14:textId="77777777" w:rsidR="000B3C5C" w:rsidRDefault="00ED192D">
      <w:pPr>
        <w:numPr>
          <w:ilvl w:val="0"/>
          <w:numId w:val="28"/>
        </w:numPr>
        <w:spacing w:after="183"/>
        <w:ind w:right="14" w:hanging="358"/>
      </w:pPr>
      <w:r>
        <w:t xml:space="preserve">Montelukast 10 mg oral route (PO) (or equivalent). </w:t>
      </w:r>
    </w:p>
    <w:p w14:paraId="0745A8B9" w14:textId="77777777" w:rsidR="000B3C5C" w:rsidRDefault="00ED192D">
      <w:pPr>
        <w:spacing w:after="121" w:line="259" w:lineRule="auto"/>
        <w:ind w:left="-5"/>
      </w:pPr>
      <w:r>
        <w:rPr>
          <w:u w:val="single" w:color="000000"/>
        </w:rPr>
        <w:t>Criteria for optional premedication for IARs:</w:t>
      </w:r>
      <w:r>
        <w:t xml:space="preserve"> </w:t>
      </w:r>
    </w:p>
    <w:p w14:paraId="166686D1" w14:textId="77777777" w:rsidR="000B3C5C" w:rsidRDefault="00ED192D">
      <w:pPr>
        <w:numPr>
          <w:ilvl w:val="0"/>
          <w:numId w:val="28"/>
        </w:numPr>
        <w:spacing w:after="135"/>
        <w:ind w:right="14" w:hanging="358"/>
      </w:pPr>
      <w:r>
        <w:t xml:space="preserve">For a patient who has no IAR for the first 4 infusions: Premedication for the subsequent infusions is optional at the Investigator’s discretion. However, if during the subsequent infusions without premedication the patient experiences an IAR (any grade), premedication must be restarted for all subsequent infusions. </w:t>
      </w:r>
    </w:p>
    <w:p w14:paraId="764ECFF2" w14:textId="77777777" w:rsidR="000B3C5C" w:rsidRDefault="00ED192D">
      <w:pPr>
        <w:numPr>
          <w:ilvl w:val="0"/>
          <w:numId w:val="28"/>
        </w:numPr>
        <w:spacing w:after="0" w:line="249" w:lineRule="auto"/>
        <w:ind w:right="14" w:hanging="358"/>
      </w:pPr>
      <w:r>
        <w:t xml:space="preserve">If a patient develops an IAR Grade ≤2 during their first infusion only and then experiences no further IARs during their next 3 infusions:  The Investigator should discuss with the </w:t>
      </w:r>
    </w:p>
    <w:p w14:paraId="488C76D1" w14:textId="77777777" w:rsidR="000B3C5C" w:rsidRDefault="00ED192D">
      <w:pPr>
        <w:ind w:left="730" w:right="14"/>
      </w:pPr>
      <w:r>
        <w:t xml:space="preserve">Sponsor Medical Monitor when considering omitting premedication for the next infusion. If no IAR is observed for the next infusion without premedication, premedication is optional for the subsequent infusions at the Investigator’s discretion. However, if during the next infusion without premedication the patient experiences an IAR (any grade), premedication must be restarted for all subsequent infusions. </w:t>
      </w:r>
    </w:p>
    <w:p w14:paraId="4FB70C29" w14:textId="77777777" w:rsidR="000B3C5C" w:rsidRDefault="00ED192D">
      <w:pPr>
        <w:ind w:left="-3" w:right="14"/>
      </w:pPr>
      <w:r>
        <w:t xml:space="preserve">When isatuximab and atezolizumab are to be administrated on the same day, the administration sequence is: atezolizumab, followed by premedications, followed by isatuximab. </w:t>
      </w:r>
    </w:p>
    <w:p w14:paraId="3C5A71BD" w14:textId="77777777" w:rsidR="000B3C5C" w:rsidRDefault="00ED192D">
      <w:pPr>
        <w:ind w:left="-3" w:right="14"/>
      </w:pPr>
      <w:r>
        <w:t xml:space="preserve">When only isatuximab is to be administrated on a day, the administration sequence is: premedications, followed by isatuximab. </w:t>
      </w:r>
    </w:p>
    <w:p w14:paraId="74CA2843" w14:textId="77777777" w:rsidR="000B3C5C" w:rsidRDefault="00ED192D">
      <w:pPr>
        <w:spacing w:line="249" w:lineRule="auto"/>
        <w:ind w:left="-5" w:right="51"/>
      </w:pPr>
      <w:r>
        <w:rPr>
          <w:b/>
        </w:rPr>
        <w:t xml:space="preserve">METHOD OF ASSIGNING PATIENTS TO THE STUDY: </w:t>
      </w:r>
    </w:p>
    <w:p w14:paraId="0A7792EC" w14:textId="77777777" w:rsidR="000B3C5C" w:rsidRDefault="00ED192D">
      <w:pPr>
        <w:ind w:left="-3" w:right="14"/>
      </w:pPr>
      <w:r>
        <w:t xml:space="preserve">All patients who signed the study ICF will be assigned a patient number. Each patient will receive an incremental identification number per site corresponding to their order of enrollment in the study. Those patients, who meet all the inclusion criteria and none of the exclusion criteria, will be eligible for registration in the study.  </w:t>
      </w:r>
    </w:p>
    <w:p w14:paraId="284C0F86" w14:textId="77777777" w:rsidR="000B3C5C" w:rsidRDefault="00ED192D">
      <w:pPr>
        <w:ind w:left="-3" w:right="14"/>
      </w:pPr>
      <w:r>
        <w:t xml:space="preserve">All eligible patients will be enrolled into the Phase 1 (safety run-in) of the study. Any proportion of patients with each tumor type can be enrolled. </w:t>
      </w:r>
    </w:p>
    <w:p w14:paraId="08FC4C78" w14:textId="77777777" w:rsidR="000B3C5C" w:rsidRDefault="00ED192D">
      <w:pPr>
        <w:spacing w:after="11"/>
        <w:ind w:left="-3" w:right="14"/>
      </w:pPr>
      <w:r>
        <w:t xml:space="preserve">Once RP2D has been determined, eligible patients will then enter in parallel the Phase 2 part of </w:t>
      </w:r>
    </w:p>
    <w:p w14:paraId="520E4154" w14:textId="77777777" w:rsidR="000B3C5C" w:rsidRDefault="00ED192D">
      <w:pPr>
        <w:spacing w:after="472"/>
        <w:ind w:left="-3" w:right="14"/>
      </w:pPr>
      <w:r>
        <w:t>Cohorts A, B, C, and D-</w:t>
      </w:r>
      <w:r>
        <w:t xml:space="preserve">1 depending on the type of tumor. If positive benefits observed from GBM Cohort D-1 Phase 2 Stage 2, an isatuximab monotherapy cohort (Cohort D-2) will be initiated for patient with GBM. </w:t>
      </w:r>
    </w:p>
    <w:p w14:paraId="07ED1407" w14:textId="77777777" w:rsidR="000B3C5C" w:rsidRDefault="00ED192D">
      <w:pPr>
        <w:pStyle w:val="Heading2"/>
        <w:tabs>
          <w:tab w:val="center" w:pos="3674"/>
        </w:tabs>
        <w:spacing w:after="139"/>
        <w:ind w:left="-15" w:firstLine="0"/>
      </w:pPr>
      <w:r>
        <w:rPr>
          <w:rFonts w:ascii="Arial" w:eastAsia="Arial" w:hAnsi="Arial" w:cs="Arial"/>
          <w:sz w:val="22"/>
        </w:rPr>
        <w:t xml:space="preserve">6.2 </w:t>
      </w:r>
      <w:r>
        <w:rPr>
          <w:rFonts w:ascii="Arial" w:eastAsia="Arial" w:hAnsi="Arial" w:cs="Arial"/>
          <w:sz w:val="22"/>
        </w:rPr>
        <w:tab/>
        <w:t xml:space="preserve">PREPARATION/HANDLING/STORAGE/ACCOUNTABILITY  </w:t>
      </w:r>
    </w:p>
    <w:p w14:paraId="2D260239" w14:textId="77777777" w:rsidR="000B3C5C" w:rsidRDefault="00ED192D">
      <w:pPr>
        <w:numPr>
          <w:ilvl w:val="0"/>
          <w:numId w:val="29"/>
        </w:numPr>
        <w:spacing w:after="118"/>
        <w:ind w:right="14" w:hanging="358"/>
      </w:pPr>
      <w:r>
        <w:t xml:space="preserve">The Investigator or designee must confirm appropriate temperature conditions have been maintained during transit for all study intervention received and any discrepancies are reported and resolved before use of the study intervention. </w:t>
      </w:r>
    </w:p>
    <w:p w14:paraId="26300898" w14:textId="77777777" w:rsidR="000B3C5C" w:rsidRDefault="00ED192D">
      <w:pPr>
        <w:numPr>
          <w:ilvl w:val="0"/>
          <w:numId w:val="29"/>
        </w:numPr>
        <w:spacing w:after="118"/>
        <w:ind w:right="14" w:hanging="358"/>
      </w:pPr>
      <w:r>
        <w:t xml:space="preserve">Only participants enrolled in the study may receive study intervention and only authorized site staff may supply or administer study intervention. All study intervention must be stored in a secure, environmentally controlled, and monitored (manual or automated) area in accordance with the labeled storage conditions with access limited to the Investigator and authorized site staff. </w:t>
      </w:r>
    </w:p>
    <w:p w14:paraId="1BC6786D" w14:textId="77777777" w:rsidR="000B3C5C" w:rsidRDefault="00ED192D">
      <w:pPr>
        <w:numPr>
          <w:ilvl w:val="0"/>
          <w:numId w:val="29"/>
        </w:numPr>
        <w:spacing w:after="118"/>
        <w:ind w:right="14" w:hanging="358"/>
      </w:pPr>
      <w:r>
        <w:t xml:space="preserve">The Investigator, institution, or the head of the medical institution (where applicable) is responsible for study intervention accountability, reconciliation, and record maintenance (ie, receipt, reconciliation, and final disposition records). </w:t>
      </w:r>
    </w:p>
    <w:p w14:paraId="2806B2D5" w14:textId="77777777" w:rsidR="000B3C5C" w:rsidRDefault="00ED192D">
      <w:pPr>
        <w:numPr>
          <w:ilvl w:val="0"/>
          <w:numId w:val="29"/>
        </w:numPr>
        <w:ind w:right="14" w:hanging="358"/>
      </w:pPr>
      <w:r>
        <w:t xml:space="preserve">Further guidance and information for the final disposition of unused study interventions are provided in the pharmacy manual and/or monitoring plan. </w:t>
      </w:r>
    </w:p>
    <w:p w14:paraId="240768ED" w14:textId="77777777" w:rsidR="000B3C5C" w:rsidRDefault="00ED192D">
      <w:pPr>
        <w:ind w:left="-3" w:right="14"/>
      </w:pPr>
      <w:r>
        <w:t xml:space="preserve">Any quality issue noticed with the receipt or use of an IMP (deficiency in condition, appearance, pertaining documentation, labeling, expiration date, etc) must be promptly notified to the Sponsor. Some deficiencies may be recorded through a complaint procedure. </w:t>
      </w:r>
    </w:p>
    <w:p w14:paraId="4B5113E1" w14:textId="77777777" w:rsidR="000B3C5C" w:rsidRDefault="00ED192D">
      <w:pPr>
        <w:ind w:left="-3" w:right="14"/>
      </w:pPr>
      <w:r>
        <w:t xml:space="preserve">A potential defect in the quality of IMP may be subject to initiation of a recall procedure by the Sponsor. In this case, the Investigator will be responsible for promptly addressing any request made by the Sponsor, in order to recall the IMP and eliminate potential hazards. </w:t>
      </w:r>
    </w:p>
    <w:p w14:paraId="00747908" w14:textId="77777777" w:rsidR="000B3C5C" w:rsidRDefault="00ED192D">
      <w:pPr>
        <w:ind w:left="-3" w:right="14"/>
      </w:pPr>
      <w:r>
        <w:t xml:space="preserve">Under no circumstances will the Investigator supply IMPs to a third party (except for DTP shipment, for which a courier company has been approved by the Sponsor), allow the IMPs to be used other than as directed by this clinical trial protocol, or dispose of IMPs in any other manner. </w:t>
      </w:r>
    </w:p>
    <w:p w14:paraId="0F53D6AA" w14:textId="77777777" w:rsidR="000B3C5C" w:rsidRDefault="00ED192D">
      <w:pPr>
        <w:spacing w:line="249" w:lineRule="auto"/>
        <w:ind w:left="-5" w:right="51"/>
      </w:pPr>
      <w:r>
        <w:rPr>
          <w:b/>
        </w:rPr>
        <w:t xml:space="preserve">Storage conditions: </w:t>
      </w:r>
    </w:p>
    <w:p w14:paraId="1E5EF86D" w14:textId="77777777" w:rsidR="000B3C5C" w:rsidRDefault="00ED192D">
      <w:pPr>
        <w:ind w:left="-3" w:right="533"/>
      </w:pPr>
      <w:r>
        <w:rPr>
          <w:u w:val="single" w:color="000000"/>
        </w:rPr>
        <w:t>Isatuximab</w:t>
      </w:r>
      <w:r>
        <w:t xml:space="preserve">: Control of isatuximab storage conditions, especially control of temperature (eg, refrigerated storage), and information on in-use stability and instructions for handling the Sanofi compound should be managed according to the rules provided by the Sponsor. </w:t>
      </w:r>
    </w:p>
    <w:p w14:paraId="3C6D2336" w14:textId="77777777" w:rsidR="000B3C5C" w:rsidRDefault="00ED192D">
      <w:pPr>
        <w:ind w:left="-3" w:right="14"/>
      </w:pPr>
      <w:r>
        <w:t xml:space="preserve">Isatuximab is to be stored at +2°C to +8°C (36°F to 46°F), protected from light. All vials must be kept in their box until use. No protection from light is required for storage in the infusion bags. </w:t>
      </w:r>
    </w:p>
    <w:p w14:paraId="41EC93E3" w14:textId="77777777" w:rsidR="000B3C5C" w:rsidRDefault="00ED192D">
      <w:pPr>
        <w:ind w:left="-3" w:right="14"/>
      </w:pPr>
      <w:r>
        <w:t xml:space="preserve">Details of the storage conditions for the diluted solution are provided in the Pharmacy Manual. </w:t>
      </w:r>
    </w:p>
    <w:p w14:paraId="2BF255B7" w14:textId="77777777" w:rsidR="000B3C5C" w:rsidRDefault="00ED192D">
      <w:pPr>
        <w:ind w:left="-3" w:right="205"/>
      </w:pPr>
      <w:r>
        <w:rPr>
          <w:u w:val="single" w:color="000000"/>
        </w:rPr>
        <w:t>Atezolizumab</w:t>
      </w:r>
      <w:r>
        <w:t xml:space="preserve">: Control of atezolizumab storage conditions, especially control of temperature (eg, refrigerated storage), and information on in-use stability and instructions for handling the compound should be managed according to the rules provided by the Sponsor. </w:t>
      </w:r>
    </w:p>
    <w:p w14:paraId="0ACF16B0" w14:textId="77777777" w:rsidR="000B3C5C" w:rsidRDefault="00ED192D">
      <w:pPr>
        <w:ind w:left="-3" w:right="14"/>
      </w:pPr>
      <w:r>
        <w:t xml:space="preserve">Atezolizumab is to be stored at +2°C to +8°C (36°F to 46°F), protected from light. All vials must be kept in their box until use. No protection from light is required for storage in the infusion bags. </w:t>
      </w:r>
    </w:p>
    <w:p w14:paraId="45A6232C" w14:textId="77777777" w:rsidR="000B3C5C" w:rsidRDefault="00ED192D">
      <w:pPr>
        <w:spacing w:after="469"/>
        <w:ind w:left="-3" w:right="14"/>
      </w:pPr>
      <w:r>
        <w:t xml:space="preserve">Details of the storage conditions for the diluted solution are provided in the Pharmacy Manual. </w:t>
      </w:r>
    </w:p>
    <w:p w14:paraId="11A02288" w14:textId="77777777" w:rsidR="000B3C5C" w:rsidRDefault="00ED192D">
      <w:pPr>
        <w:tabs>
          <w:tab w:val="center" w:pos="4139"/>
        </w:tabs>
        <w:spacing w:after="249" w:line="249" w:lineRule="auto"/>
        <w:ind w:left="-15" w:firstLine="0"/>
      </w:pPr>
      <w:r>
        <w:rPr>
          <w:rFonts w:ascii="Arial" w:eastAsia="Arial" w:hAnsi="Arial" w:cs="Arial"/>
          <w:b/>
          <w:sz w:val="22"/>
        </w:rPr>
        <w:t xml:space="preserve">6.3 </w:t>
      </w:r>
      <w:r>
        <w:rPr>
          <w:rFonts w:ascii="Arial" w:eastAsia="Arial" w:hAnsi="Arial" w:cs="Arial"/>
          <w:b/>
          <w:sz w:val="22"/>
        </w:rPr>
        <w:tab/>
      </w:r>
      <w:r>
        <w:rPr>
          <w:rFonts w:ascii="Arial" w:eastAsia="Arial" w:hAnsi="Arial" w:cs="Arial"/>
          <w:b/>
          <w:sz w:val="22"/>
        </w:rPr>
        <w:t xml:space="preserve">MEASURES TO MINIMIZE BIAS: RANDOMIZATION AND BLINDING  </w:t>
      </w:r>
    </w:p>
    <w:p w14:paraId="47598330" w14:textId="77777777" w:rsidR="000B3C5C" w:rsidRDefault="00ED192D">
      <w:pPr>
        <w:spacing w:after="469"/>
        <w:ind w:left="-3" w:right="14"/>
      </w:pPr>
      <w:r>
        <w:t xml:space="preserve">This is an open-label, non-randomized study; therefore, blinding is not applicable. </w:t>
      </w:r>
    </w:p>
    <w:p w14:paraId="500AA2BA" w14:textId="77777777" w:rsidR="000B3C5C" w:rsidRDefault="00ED192D">
      <w:pPr>
        <w:pStyle w:val="Heading2"/>
        <w:tabs>
          <w:tab w:val="center" w:pos="2671"/>
        </w:tabs>
        <w:spacing w:after="249"/>
        <w:ind w:left="-15" w:firstLine="0"/>
      </w:pPr>
      <w:r>
        <w:rPr>
          <w:rFonts w:ascii="Arial" w:eastAsia="Arial" w:hAnsi="Arial" w:cs="Arial"/>
          <w:sz w:val="22"/>
        </w:rPr>
        <w:t xml:space="preserve">6.4 </w:t>
      </w:r>
      <w:r>
        <w:rPr>
          <w:rFonts w:ascii="Arial" w:eastAsia="Arial" w:hAnsi="Arial" w:cs="Arial"/>
          <w:sz w:val="22"/>
        </w:rPr>
        <w:tab/>
        <w:t xml:space="preserve">STUDY INTERVENTION COMPLIANCE  </w:t>
      </w:r>
    </w:p>
    <w:p w14:paraId="43118EB0" w14:textId="77777777" w:rsidR="000B3C5C" w:rsidRDefault="00ED192D">
      <w:pPr>
        <w:ind w:left="-3" w:right="14"/>
      </w:pPr>
      <w:r>
        <w:t xml:space="preserve">Administration of the IMP will be supervised by the Investigator or Sub-investigator. </w:t>
      </w:r>
    </w:p>
    <w:p w14:paraId="139BDCF8" w14:textId="77777777" w:rsidR="000B3C5C" w:rsidRDefault="00ED192D">
      <w:pPr>
        <w:spacing w:after="11"/>
        <w:ind w:left="-3" w:right="14"/>
      </w:pPr>
      <w:r>
        <w:t xml:space="preserve">The person responsible for drug dispensing is required to maintain adequate records of the IMPs. </w:t>
      </w:r>
    </w:p>
    <w:p w14:paraId="5D78C034" w14:textId="77777777" w:rsidR="000B3C5C" w:rsidRDefault="00ED192D">
      <w:pPr>
        <w:spacing w:after="333"/>
        <w:ind w:left="-3" w:right="14"/>
      </w:pPr>
      <w:r>
        <w:t xml:space="preserve">These records (eg, drug movement form) include the date the IMPs are received from the Sponsor, dispensed to the participant and destroyed or returned to the Sponsor. The packaging batch number (IP number) and the treatment number on the vial must be recorded on the drug accountability form. The person responsible for drug administration to the participant will record precisely the date and the time of the drug administration to the participant. </w:t>
      </w:r>
    </w:p>
    <w:p w14:paraId="7C7267E0" w14:textId="77777777" w:rsidR="000B3C5C" w:rsidRDefault="00ED192D">
      <w:pPr>
        <w:pStyle w:val="Heading3"/>
        <w:ind w:left="-5"/>
      </w:pPr>
      <w:r>
        <w:t xml:space="preserve">6.4.1 Return and/or destruction of treatments  </w:t>
      </w:r>
    </w:p>
    <w:p w14:paraId="4C07E62C" w14:textId="77777777" w:rsidR="000B3C5C" w:rsidRDefault="00ED192D">
      <w:pPr>
        <w:ind w:left="-3" w:right="14"/>
      </w:pPr>
      <w:r>
        <w:t xml:space="preserve">Partially-used and used study treatments will be destroyed at the study site according to the standard practices of the site after an accurate accountability has been performed and signed by the Investigator (or the pharmacist). A detailed treatment log form of the destroyed study treatment will be established with the Investigator (or the pharmacist) and countersigned by the Investigator and the Monitoring Team. </w:t>
      </w:r>
    </w:p>
    <w:p w14:paraId="6616121B" w14:textId="77777777" w:rsidR="000B3C5C" w:rsidRDefault="00ED192D">
      <w:pPr>
        <w:ind w:left="-3" w:right="14"/>
      </w:pPr>
      <w:r>
        <w:t xml:space="preserve">The Investigator must not destroy the unused IMP unless Sanofi provides written authorization. </w:t>
      </w:r>
    </w:p>
    <w:p w14:paraId="77C173C4" w14:textId="77777777" w:rsidR="000B3C5C" w:rsidRDefault="00ED192D">
      <w:pPr>
        <w:pStyle w:val="Heading2"/>
        <w:tabs>
          <w:tab w:val="center" w:pos="2057"/>
        </w:tabs>
        <w:spacing w:after="249"/>
        <w:ind w:left="-15" w:firstLine="0"/>
      </w:pPr>
      <w:r>
        <w:rPr>
          <w:rFonts w:ascii="Arial" w:eastAsia="Arial" w:hAnsi="Arial" w:cs="Arial"/>
          <w:sz w:val="22"/>
        </w:rPr>
        <w:t xml:space="preserve">6.5 </w:t>
      </w:r>
      <w:r>
        <w:rPr>
          <w:rFonts w:ascii="Arial" w:eastAsia="Arial" w:hAnsi="Arial" w:cs="Arial"/>
          <w:sz w:val="22"/>
        </w:rPr>
        <w:tab/>
        <w:t xml:space="preserve">CONCOMITANT THERAPY  </w:t>
      </w:r>
    </w:p>
    <w:p w14:paraId="53831DDD" w14:textId="77777777" w:rsidR="000B3C5C" w:rsidRDefault="00ED192D">
      <w:pPr>
        <w:spacing w:after="135"/>
        <w:ind w:left="-3" w:right="14"/>
      </w:pPr>
      <w:r>
        <w:t xml:space="preserve">Participants must abstain from taking prescription or nonprescription drugs (including vitamins and dietary or herbal supplements) within 7 days (or 14 days if the drug is a potential enzyme inducer) or 5 half-lives (whichever is longer) before the start of study intervention until completion of the follow-up visit, unless, in the opinion of the Investigator and Sponsor, the medication will not interfere with the study.  </w:t>
      </w:r>
    </w:p>
    <w:p w14:paraId="681D8445" w14:textId="77777777" w:rsidR="000B3C5C" w:rsidRDefault="00ED192D">
      <w:pPr>
        <w:spacing w:after="92"/>
        <w:ind w:left="372" w:right="14"/>
      </w:pPr>
      <w:r>
        <w:rPr>
          <w:rFonts w:ascii="Segoe UI Symbol" w:eastAsia="Segoe UI Symbol" w:hAnsi="Segoe UI Symbol" w:cs="Segoe UI Symbol"/>
        </w:rPr>
        <w:t>•</w:t>
      </w:r>
      <w:r>
        <w:rPr>
          <w:rFonts w:ascii="Arial" w:eastAsia="Arial" w:hAnsi="Arial" w:cs="Arial"/>
        </w:rPr>
        <w:t xml:space="preserve"> </w:t>
      </w:r>
      <w:r>
        <w:t xml:space="preserve">Concomitant medications forbidden for use are described below: </w:t>
      </w:r>
    </w:p>
    <w:p w14:paraId="4F6834DD" w14:textId="77777777" w:rsidR="000B3C5C" w:rsidRDefault="00ED192D">
      <w:pPr>
        <w:numPr>
          <w:ilvl w:val="0"/>
          <w:numId w:val="30"/>
        </w:numPr>
        <w:spacing w:after="139"/>
        <w:ind w:left="1263" w:right="14" w:hanging="362"/>
      </w:pPr>
      <w:r>
        <w:t>Concurrent treatment with any other anti-neoplasm therapy not specified in the protocol, including chemotherapy, immunotherapy, hormonal therapy, targeted therapy, biological therapy, or other investigational drug or curative radiotherapy. However, palliative radiotherapy or procedures may be given to control symptoms. The irradiated area should be as small as possible. In all such cases, the possibility of tumor progression should be ruled out by physical, biochemical, and radiological assessments of the t</w:t>
      </w:r>
      <w:r>
        <w:t xml:space="preserve">umor. The irradiated area cannot be used as a parameter for response assessment, </w:t>
      </w:r>
    </w:p>
    <w:p w14:paraId="6BC0EE68" w14:textId="77777777" w:rsidR="000B3C5C" w:rsidRDefault="00ED192D">
      <w:pPr>
        <w:numPr>
          <w:ilvl w:val="0"/>
          <w:numId w:val="30"/>
        </w:numPr>
        <w:spacing w:after="78" w:line="305" w:lineRule="auto"/>
        <w:ind w:left="1263" w:right="14" w:hanging="362"/>
      </w:pPr>
      <w:r>
        <w:t>Investigational therapy (other than protocol-mandated study treatment) is prohibited within 28 days prior to initiation of study treatment and during study treatment, -</w:t>
      </w:r>
      <w:r>
        <w:rPr>
          <w:rFonts w:ascii="Arial" w:eastAsia="Arial" w:hAnsi="Arial" w:cs="Arial"/>
        </w:rPr>
        <w:t xml:space="preserve"> </w:t>
      </w:r>
      <w:r>
        <w:rPr>
          <w:rFonts w:ascii="Arial" w:eastAsia="Arial" w:hAnsi="Arial" w:cs="Arial"/>
        </w:rPr>
        <w:tab/>
      </w:r>
      <w:r>
        <w:t xml:space="preserve">Concomitant systemic corticosteroids are prohibited, except for: </w:t>
      </w:r>
    </w:p>
    <w:p w14:paraId="6386E9BD" w14:textId="77777777" w:rsidR="000B3C5C" w:rsidRDefault="00ED192D">
      <w:pPr>
        <w:numPr>
          <w:ilvl w:val="0"/>
          <w:numId w:val="30"/>
        </w:numPr>
        <w:spacing w:after="138"/>
        <w:ind w:left="1263" w:right="14" w:hanging="362"/>
      </w:pPr>
      <w:r>
        <w:t xml:space="preserve">The participants with GBM or central nervous system lesions as an urgent treatment, </w:t>
      </w:r>
    </w:p>
    <w:p w14:paraId="49C1EF52" w14:textId="77777777" w:rsidR="000B3C5C" w:rsidRDefault="00ED192D">
      <w:pPr>
        <w:numPr>
          <w:ilvl w:val="0"/>
          <w:numId w:val="30"/>
        </w:numPr>
        <w:spacing w:after="142"/>
        <w:ind w:left="1263" w:right="14" w:hanging="362"/>
      </w:pPr>
      <w:r>
        <w:t xml:space="preserve">Use in the premedication defined in the study protocol, </w:t>
      </w:r>
    </w:p>
    <w:p w14:paraId="3006F9B4" w14:textId="77777777" w:rsidR="000B3C5C" w:rsidRDefault="00ED192D">
      <w:pPr>
        <w:numPr>
          <w:ilvl w:val="0"/>
          <w:numId w:val="30"/>
        </w:numPr>
        <w:spacing w:after="142"/>
        <w:ind w:left="1263" w:right="14" w:hanging="362"/>
      </w:pPr>
      <w:r>
        <w:t xml:space="preserve">Treatment of an irAE, </w:t>
      </w:r>
    </w:p>
    <w:p w14:paraId="16A62ADC" w14:textId="77777777" w:rsidR="000B3C5C" w:rsidRDefault="00ED192D">
      <w:pPr>
        <w:numPr>
          <w:ilvl w:val="0"/>
          <w:numId w:val="30"/>
        </w:numPr>
        <w:spacing w:after="142"/>
        <w:ind w:left="1263" w:right="14" w:hanging="362"/>
      </w:pPr>
      <w:r>
        <w:t xml:space="preserve">Treatment of any life-threatening emergency, </w:t>
      </w:r>
    </w:p>
    <w:p w14:paraId="7FC703CC" w14:textId="77777777" w:rsidR="000B3C5C" w:rsidRDefault="00ED192D">
      <w:pPr>
        <w:numPr>
          <w:ilvl w:val="0"/>
          <w:numId w:val="30"/>
        </w:numPr>
        <w:spacing w:after="138"/>
        <w:ind w:left="1263" w:right="14" w:hanging="362"/>
      </w:pPr>
      <w:r>
        <w:t xml:space="preserve">Physiologic replacement, as long as they are not being administered for immunosuppressive intent, and </w:t>
      </w:r>
    </w:p>
    <w:p w14:paraId="10E9AD10" w14:textId="77777777" w:rsidR="000B3C5C" w:rsidRDefault="00ED192D">
      <w:pPr>
        <w:numPr>
          <w:ilvl w:val="0"/>
          <w:numId w:val="30"/>
        </w:numPr>
        <w:spacing w:after="134"/>
        <w:ind w:left="1263" w:right="14" w:hanging="362"/>
      </w:pPr>
      <w:r>
        <w:t xml:space="preserve">A brief course (≤7 days) of systemic corticosteroid for prophylaxis (eg, contrast dye allergy) or for the treatment of non-autoimmune conditions (eg, delayed-type hypersensitivity reactions caused by contact allergen). </w:t>
      </w:r>
    </w:p>
    <w:p w14:paraId="6FA0ED57" w14:textId="77777777" w:rsidR="000B3C5C" w:rsidRDefault="00ED192D">
      <w:pPr>
        <w:numPr>
          <w:ilvl w:val="0"/>
          <w:numId w:val="30"/>
        </w:numPr>
        <w:spacing w:after="7"/>
        <w:ind w:left="1263" w:right="14" w:hanging="362"/>
      </w:pPr>
      <w:r>
        <w:t>Live attenuated vaccines (eg, FluMist</w:t>
      </w:r>
      <w:r>
        <w:rPr>
          <w:vertAlign w:val="superscript"/>
        </w:rPr>
        <w:t>®</w:t>
      </w:r>
      <w:r>
        <w:t xml:space="preserve">) are prohibited within 4 weeks prior to initiation of study treatment, and for 5 months after the last dose of atezolizumab. </w:t>
      </w:r>
    </w:p>
    <w:p w14:paraId="0BBE1B18" w14:textId="77777777" w:rsidR="000B3C5C" w:rsidRDefault="00ED192D">
      <w:pPr>
        <w:spacing w:after="140"/>
        <w:ind w:left="1092" w:right="14"/>
      </w:pPr>
      <w:r>
        <w:t xml:space="preserve">Prophylactic vaccination that does not contain live virus is recommended for influenza A and B virus, pneumococci, and haemophilus influenza, </w:t>
      </w:r>
    </w:p>
    <w:p w14:paraId="17221E32" w14:textId="77777777" w:rsidR="000B3C5C" w:rsidRDefault="00ED192D">
      <w:pPr>
        <w:numPr>
          <w:ilvl w:val="0"/>
          <w:numId w:val="30"/>
        </w:numPr>
        <w:spacing w:after="139"/>
        <w:ind w:left="1263" w:right="14" w:hanging="362"/>
      </w:pPr>
      <w:r>
        <w:t xml:space="preserve">Prophylactic use of hematopoietic growth factors (eg, granulocyte colony-stimulating factor, granulocyte macrophage colony-stimulating factor, erythropoietin) during the DLT observation period. Curative treatment is allowed, </w:t>
      </w:r>
    </w:p>
    <w:p w14:paraId="12ED19AA" w14:textId="77777777" w:rsidR="000B3C5C" w:rsidRDefault="00ED192D">
      <w:pPr>
        <w:numPr>
          <w:ilvl w:val="0"/>
          <w:numId w:val="30"/>
        </w:numPr>
        <w:ind w:left="1263" w:right="14" w:hanging="362"/>
      </w:pPr>
      <w:r>
        <w:t xml:space="preserve">Systemic immunostimulatory agents (including, but not limited to, interferons and interleukin-2) are prohibited within 4 weeks or 5 half-lives of the drug, whichever is longer, prior to initiation of study treatment and during study treatment because these agents could potentially increase the risk for autoimmune conditions when given in combination with atezolizumab, </w:t>
      </w:r>
    </w:p>
    <w:p w14:paraId="2CFE5CC2" w14:textId="77777777" w:rsidR="000B3C5C" w:rsidRDefault="00ED192D">
      <w:pPr>
        <w:numPr>
          <w:ilvl w:val="0"/>
          <w:numId w:val="30"/>
        </w:numPr>
        <w:ind w:left="1263" w:right="14" w:hanging="362"/>
      </w:pPr>
      <w:r>
        <w:t xml:space="preserve">Systemic immunosuppressive medications (including, but not limited to, cyclophosphamide, azathioprine, methotrexate, and thalidomide) are prohibited during study treatment because these agents could potentially alter the efficacy and safety of atezolizumab. </w:t>
      </w:r>
    </w:p>
    <w:p w14:paraId="35395BB0" w14:textId="77777777" w:rsidR="000B3C5C" w:rsidRDefault="00ED192D">
      <w:pPr>
        <w:spacing w:after="472"/>
        <w:ind w:left="-3" w:right="14"/>
      </w:pPr>
      <w:r>
        <w:t xml:space="preserve">Other concomitant medication may be considered on a case-by-case basis by the Investigator in consultation with the Medical Monitor if required. </w:t>
      </w:r>
    </w:p>
    <w:p w14:paraId="747F4746" w14:textId="77777777" w:rsidR="000B3C5C" w:rsidRDefault="00ED192D">
      <w:pPr>
        <w:pStyle w:val="Heading2"/>
        <w:tabs>
          <w:tab w:val="center" w:pos="1827"/>
        </w:tabs>
        <w:spacing w:after="354"/>
        <w:ind w:left="-15" w:firstLine="0"/>
      </w:pPr>
      <w:r>
        <w:rPr>
          <w:rFonts w:ascii="Arial" w:eastAsia="Arial" w:hAnsi="Arial" w:cs="Arial"/>
          <w:sz w:val="22"/>
        </w:rPr>
        <w:t xml:space="preserve">6.6 </w:t>
      </w:r>
      <w:r>
        <w:rPr>
          <w:rFonts w:ascii="Arial" w:eastAsia="Arial" w:hAnsi="Arial" w:cs="Arial"/>
          <w:sz w:val="22"/>
        </w:rPr>
        <w:tab/>
        <w:t xml:space="preserve">DOSE MODIFICATION  </w:t>
      </w:r>
    </w:p>
    <w:p w14:paraId="51DE4E8D" w14:textId="77777777" w:rsidR="000B3C5C" w:rsidRDefault="00ED192D">
      <w:pPr>
        <w:pStyle w:val="Heading3"/>
        <w:ind w:left="-5"/>
      </w:pPr>
      <w:r>
        <w:t xml:space="preserve">6.6.1 General rules  </w:t>
      </w:r>
    </w:p>
    <w:p w14:paraId="5878564E" w14:textId="77777777" w:rsidR="000B3C5C" w:rsidRDefault="00ED192D">
      <w:pPr>
        <w:ind w:left="-3" w:right="14"/>
      </w:pPr>
      <w:r>
        <w:t xml:space="preserve">Cycle delay (ie, delay of both IMPs for Cycle ≥2), dose delay of isatuximab within Cycle 1 or dose omission (ie, omission of either isatuximab or atezolizumab within a cycle for combination cohorts) are permitted in case of toxicity.  </w:t>
      </w:r>
    </w:p>
    <w:p w14:paraId="1B93DB6F" w14:textId="77777777" w:rsidR="000B3C5C" w:rsidRDefault="00ED192D">
      <w:pPr>
        <w:ind w:left="-3" w:right="14"/>
      </w:pPr>
      <w:r>
        <w:t xml:space="preserve">Administration of the study treatment will be discontinued in the event of a TEAE that persists despite appropriate dose modifications or any other AE that, in the opinion of the Investigator, warrants discontinuation. </w:t>
      </w:r>
    </w:p>
    <w:p w14:paraId="1255F6C9" w14:textId="77777777" w:rsidR="000B3C5C" w:rsidRDefault="00ED192D">
      <w:pPr>
        <w:ind w:left="-3" w:right="14"/>
      </w:pPr>
      <w:r>
        <w:t xml:space="preserve">There will be no dose adjustment for atezolizumab or isatuximab. </w:t>
      </w:r>
    </w:p>
    <w:p w14:paraId="06E93F1C" w14:textId="77777777" w:rsidR="000B3C5C" w:rsidRDefault="00ED192D">
      <w:pPr>
        <w:spacing w:after="333"/>
        <w:ind w:left="-3" w:right="14"/>
      </w:pPr>
      <w:r>
        <w:t xml:space="preserve">If 1 of the 2 drugs (atezolizumab or isatuximab) is prematurely permanently discontinued, the other drug can be continued until disease progression confirmed by imaging no less than 4 weeks after initial evidence of progression, unacceptable AE, participant’s decision to stop the treatment, 2 years of uninterrupted delivery of IMP without documented PD. The end of treatment (EOT) assessment in this case will be 30 days after the date of the last IMP administration. </w:t>
      </w:r>
    </w:p>
    <w:p w14:paraId="3D26D097" w14:textId="77777777" w:rsidR="000B3C5C" w:rsidRDefault="00ED192D">
      <w:pPr>
        <w:pStyle w:val="Heading3"/>
        <w:ind w:left="-5"/>
      </w:pPr>
      <w:r>
        <w:t xml:space="preserve">6.6.2 Dose delay and dose omission  </w:t>
      </w:r>
    </w:p>
    <w:p w14:paraId="151D0C45" w14:textId="77777777" w:rsidR="000B3C5C" w:rsidRDefault="00ED192D">
      <w:pPr>
        <w:ind w:left="-3" w:right="14"/>
      </w:pPr>
      <w:r>
        <w:t xml:space="preserve">Within a cycle, the treatment window is ±1 day for each of the weekly isatuximab administrations and ±2 days for each of the Q3W administrations. Within a cycle, a dose is deemed to have been delayed if the treatment is ≥2 days beyond the theoretical day of treatment for weekly isatuximab dose, and ≥3 days beyond the theoretical day of treatment for Q3W cycle. The participant will receive the next infusion/cycle after recovery from the AE. </w:t>
      </w:r>
    </w:p>
    <w:p w14:paraId="166C7D9F" w14:textId="77777777" w:rsidR="000B3C5C" w:rsidRDefault="00ED192D">
      <w:pPr>
        <w:spacing w:after="135"/>
        <w:ind w:left="-3" w:right="14"/>
      </w:pPr>
      <w:r>
        <w:t xml:space="preserve">Participants may have dose delay, cycle delay, or dose omission if an AE occurs and he/she does not recover according to the following rules: </w:t>
      </w:r>
    </w:p>
    <w:p w14:paraId="5B1C0C56" w14:textId="77777777" w:rsidR="000B3C5C" w:rsidRDefault="00ED192D">
      <w:pPr>
        <w:numPr>
          <w:ilvl w:val="0"/>
          <w:numId w:val="31"/>
        </w:numPr>
        <w:spacing w:after="135"/>
        <w:ind w:right="14" w:hanging="358"/>
      </w:pPr>
      <w:r>
        <w:t xml:space="preserve">In Cycle 1 (for weekly administration of isatuximab) if an AE occurs and the participant does not recover on the day of planned infusion or within the following 3 days, infusion of isatuximab (in D8 or D15) may be omitted. </w:t>
      </w:r>
    </w:p>
    <w:p w14:paraId="5E121555" w14:textId="77777777" w:rsidR="000B3C5C" w:rsidRDefault="00ED192D">
      <w:pPr>
        <w:numPr>
          <w:ilvl w:val="0"/>
          <w:numId w:val="31"/>
        </w:numPr>
        <w:ind w:right="14" w:hanging="358"/>
      </w:pPr>
      <w:r>
        <w:t xml:space="preserve">In Cycle 2 and beyond, if an AE occurs and the participant does not recover on the day of planned infusion, the cycle will be delayed up to a maximum of 2 weeks. </w:t>
      </w:r>
    </w:p>
    <w:p w14:paraId="76C952C4" w14:textId="77777777" w:rsidR="000B3C5C" w:rsidRDefault="00ED192D">
      <w:pPr>
        <w:numPr>
          <w:ilvl w:val="0"/>
          <w:numId w:val="31"/>
        </w:numPr>
        <w:spacing w:after="32"/>
        <w:ind w:right="14" w:hanging="358"/>
      </w:pPr>
      <w:r>
        <w:t xml:space="preserve">If the AE is not recovered within 14 days:  </w:t>
      </w:r>
    </w:p>
    <w:p w14:paraId="247910D5" w14:textId="77777777" w:rsidR="000B3C5C" w:rsidRDefault="00ED192D">
      <w:pPr>
        <w:numPr>
          <w:ilvl w:val="1"/>
          <w:numId w:val="31"/>
        </w:numPr>
        <w:spacing w:after="79"/>
        <w:ind w:right="14" w:hanging="362"/>
      </w:pPr>
      <w:r>
        <w:t xml:space="preserve">Study treatment may resume with one IMP and omission of the other. (Either isatuximab or atezolizumab) providing the participant’s benefit from the study treatment as per Investigator’s judgment, </w:t>
      </w:r>
    </w:p>
    <w:p w14:paraId="538776F2" w14:textId="77777777" w:rsidR="000B3C5C" w:rsidRDefault="00ED192D">
      <w:pPr>
        <w:numPr>
          <w:ilvl w:val="1"/>
          <w:numId w:val="31"/>
        </w:numPr>
        <w:spacing w:after="82"/>
        <w:ind w:right="14" w:hanging="362"/>
      </w:pPr>
      <w:r>
        <w:t xml:space="preserve">Study treatment may be delayed up to 84 days, </w:t>
      </w:r>
    </w:p>
    <w:p w14:paraId="0EEB0B44" w14:textId="77777777" w:rsidR="000B3C5C" w:rsidRDefault="00ED192D">
      <w:pPr>
        <w:numPr>
          <w:ilvl w:val="1"/>
          <w:numId w:val="31"/>
        </w:numPr>
        <w:spacing w:after="79"/>
        <w:ind w:right="14" w:hanging="362"/>
      </w:pPr>
      <w:r>
        <w:t xml:space="preserve">After a cycle delay of &gt;14 days and ≤84 days, or 2 to 4 consecutive dose omissions of one IMP, it is per Investigator’s decision to restart the study treatment or the IMP that is omitted, if a clear benefit from therapy is observed and after consultation with the Sponsor, </w:t>
      </w:r>
    </w:p>
    <w:p w14:paraId="6A1BF203" w14:textId="77777777" w:rsidR="000B3C5C" w:rsidRDefault="00ED192D">
      <w:pPr>
        <w:numPr>
          <w:ilvl w:val="1"/>
          <w:numId w:val="31"/>
        </w:numPr>
        <w:ind w:right="14" w:hanging="362"/>
      </w:pPr>
      <w:r>
        <w:t xml:space="preserve">The study treatment must be definitely permanently discontinued if the cycle delay is longer than 84 days, or if more than 4 consecutive dose omissions of one IMP, the IMP will be prematurely discontinued. </w:t>
      </w:r>
    </w:p>
    <w:p w14:paraId="4D2053C7" w14:textId="77777777" w:rsidR="000B3C5C" w:rsidRDefault="00ED192D">
      <w:pPr>
        <w:pStyle w:val="Heading3"/>
        <w:ind w:left="-5"/>
      </w:pPr>
      <w:r>
        <w:t xml:space="preserve">6.6.3 General Guidelines for Immune-Related Adverse Events (irAEs)  </w:t>
      </w:r>
    </w:p>
    <w:p w14:paraId="6C3AC857" w14:textId="77777777" w:rsidR="000B3C5C" w:rsidRDefault="00ED192D">
      <w:pPr>
        <w:ind w:left="-3" w:right="14"/>
      </w:pPr>
      <w:r>
        <w:t xml:space="preserve">Investigators must be extremely vigilant and be ready to intervene early in the management of immune-mediated AEs (irAEs) </w:t>
      </w:r>
      <w:r>
        <w:t xml:space="preserve">because the onset of symptoms of irAEs (eg, pneumonitis) may be subtle. </w:t>
      </w:r>
    </w:p>
    <w:p w14:paraId="2624A3A6" w14:textId="77777777" w:rsidR="000B3C5C" w:rsidRDefault="00ED192D">
      <w:pPr>
        <w:spacing w:after="75"/>
        <w:ind w:left="-3" w:right="14"/>
      </w:pPr>
      <w:r>
        <w:t>Detailed guidance for the management of specific irAEs (colitis, endocrine AE, pneumonitis, dermatologic AE, hepatitis, ophthalmologic AE [uveitis], myocarditis, IARs, pancreatitis, neurologic, and meningoencephalitis), is provided in Appendix 21 (</w:t>
      </w:r>
      <w:r>
        <w:rPr>
          <w:color w:val="0000FF"/>
        </w:rPr>
        <w:t>Section</w:t>
      </w:r>
      <w:r>
        <w:t xml:space="preserve"> </w:t>
      </w:r>
      <w:r>
        <w:rPr>
          <w:color w:val="0000FF"/>
        </w:rPr>
        <w:t>10.21</w:t>
      </w:r>
      <w:r>
        <w:t>)</w:t>
      </w:r>
      <w:r>
        <w:rPr>
          <w:color w:val="0000FF"/>
        </w:rPr>
        <w:t>.</w:t>
      </w:r>
      <w:r>
        <w:t xml:space="preserve"> </w:t>
      </w:r>
    </w:p>
    <w:p w14:paraId="66A6DC50" w14:textId="77777777" w:rsidR="000B3C5C" w:rsidRDefault="00ED192D">
      <w:pPr>
        <w:numPr>
          <w:ilvl w:val="0"/>
          <w:numId w:val="32"/>
        </w:numPr>
        <w:spacing w:after="30"/>
        <w:ind w:right="14" w:hanging="358"/>
      </w:pPr>
      <w:r>
        <w:t xml:space="preserve">General guidance is provided in </w:t>
      </w:r>
      <w:r>
        <w:rPr>
          <w:color w:val="0000FF"/>
        </w:rPr>
        <w:t>Table 4</w:t>
      </w:r>
      <w:r>
        <w:t xml:space="preserve">. </w:t>
      </w:r>
    </w:p>
    <w:p w14:paraId="2A5ECE11" w14:textId="77777777" w:rsidR="000B3C5C" w:rsidRDefault="00ED192D">
      <w:pPr>
        <w:numPr>
          <w:ilvl w:val="0"/>
          <w:numId w:val="32"/>
        </w:numPr>
        <w:spacing w:after="170"/>
        <w:ind w:right="14" w:hanging="358"/>
      </w:pPr>
      <w:r>
        <w:t xml:space="preserve">If a participant experiences several irAEs which involve different recommendations, the most conservative recommendation should be followed. </w:t>
      </w:r>
    </w:p>
    <w:p w14:paraId="12143653" w14:textId="77777777" w:rsidR="000B3C5C" w:rsidRDefault="00ED192D">
      <w:pPr>
        <w:spacing w:after="254"/>
        <w:ind w:left="-3" w:right="14"/>
      </w:pPr>
      <w:r>
        <w:t>The recommendations provided in Appendix 21 (</w:t>
      </w:r>
      <w:r>
        <w:rPr>
          <w:color w:val="0000FF"/>
        </w:rPr>
        <w:t>Section</w:t>
      </w:r>
      <w:r>
        <w:t xml:space="preserve"> </w:t>
      </w:r>
      <w:r>
        <w:rPr>
          <w:color w:val="0000FF"/>
        </w:rPr>
        <w:t>10.21</w:t>
      </w:r>
      <w:r>
        <w:t xml:space="preserve">) and </w:t>
      </w:r>
      <w:r>
        <w:rPr>
          <w:color w:val="0000FF"/>
        </w:rPr>
        <w:t xml:space="preserve">Table 4 </w:t>
      </w:r>
      <w:r>
        <w:t xml:space="preserve">should be seen as guidelines, and the treating physician should exercise clinical judgment based on the symptoms and condition of the individual participant. </w:t>
      </w:r>
    </w:p>
    <w:p w14:paraId="2C74C0F5" w14:textId="77777777" w:rsidR="000B3C5C" w:rsidRDefault="00ED192D">
      <w:pPr>
        <w:spacing w:after="4" w:line="250" w:lineRule="auto"/>
        <w:ind w:left="15" w:right="71"/>
        <w:jc w:val="center"/>
      </w:pPr>
      <w:r>
        <w:rPr>
          <w:rFonts w:ascii="Arial" w:eastAsia="Arial" w:hAnsi="Arial" w:cs="Arial"/>
          <w:b/>
          <w:sz w:val="20"/>
        </w:rPr>
        <w:t xml:space="preserve">Table 4 - General Guidelines for Immune-Related Adverse Events  </w:t>
      </w:r>
    </w:p>
    <w:tbl>
      <w:tblPr>
        <w:tblStyle w:val="TableGrid"/>
        <w:tblW w:w="9506" w:type="dxa"/>
        <w:tblInd w:w="-24" w:type="dxa"/>
        <w:tblCellMar>
          <w:top w:w="66" w:type="dxa"/>
          <w:left w:w="0" w:type="dxa"/>
          <w:bottom w:w="0" w:type="dxa"/>
          <w:right w:w="69" w:type="dxa"/>
        </w:tblCellMar>
        <w:tblLook w:val="04A0" w:firstRow="1" w:lastRow="0" w:firstColumn="1" w:lastColumn="0" w:noHBand="0" w:noVBand="1"/>
      </w:tblPr>
      <w:tblGrid>
        <w:gridCol w:w="2115"/>
        <w:gridCol w:w="3329"/>
        <w:gridCol w:w="4062"/>
      </w:tblGrid>
      <w:tr w:rsidR="000B3C5C" w14:paraId="468697D1" w14:textId="77777777">
        <w:trPr>
          <w:trHeight w:val="670"/>
        </w:trPr>
        <w:tc>
          <w:tcPr>
            <w:tcW w:w="2115" w:type="dxa"/>
            <w:tcBorders>
              <w:top w:val="single" w:sz="4" w:space="0" w:color="000000"/>
              <w:left w:val="nil"/>
              <w:bottom w:val="single" w:sz="4" w:space="0" w:color="000000"/>
              <w:right w:val="nil"/>
            </w:tcBorders>
          </w:tcPr>
          <w:p w14:paraId="161B3054" w14:textId="77777777" w:rsidR="000B3C5C" w:rsidRDefault="00ED192D">
            <w:pPr>
              <w:spacing w:after="0" w:line="259" w:lineRule="auto"/>
              <w:ind w:left="0" w:right="25" w:firstLine="0"/>
              <w:jc w:val="center"/>
            </w:pPr>
            <w:r>
              <w:rPr>
                <w:rFonts w:ascii="Arial" w:eastAsia="Arial" w:hAnsi="Arial" w:cs="Arial"/>
                <w:b/>
                <w:sz w:val="20"/>
              </w:rPr>
              <w:t xml:space="preserve">Severity </w:t>
            </w:r>
          </w:p>
        </w:tc>
        <w:tc>
          <w:tcPr>
            <w:tcW w:w="3329" w:type="dxa"/>
            <w:tcBorders>
              <w:top w:val="single" w:sz="4" w:space="0" w:color="000000"/>
              <w:left w:val="nil"/>
              <w:bottom w:val="single" w:sz="4" w:space="0" w:color="000000"/>
              <w:right w:val="nil"/>
            </w:tcBorders>
          </w:tcPr>
          <w:p w14:paraId="2C19B845" w14:textId="77777777" w:rsidR="000B3C5C" w:rsidRDefault="00ED192D">
            <w:pPr>
              <w:spacing w:after="0" w:line="259" w:lineRule="auto"/>
              <w:ind w:left="578" w:hanging="506"/>
              <w:jc w:val="both"/>
            </w:pPr>
            <w:r>
              <w:rPr>
                <w:rFonts w:ascii="Arial" w:eastAsia="Arial" w:hAnsi="Arial" w:cs="Arial"/>
                <w:b/>
                <w:sz w:val="20"/>
              </w:rPr>
              <w:t xml:space="preserve">Next administration Isatuximab and/or Atezolizumab </w:t>
            </w:r>
          </w:p>
        </w:tc>
        <w:tc>
          <w:tcPr>
            <w:tcW w:w="4062" w:type="dxa"/>
            <w:tcBorders>
              <w:top w:val="single" w:sz="4" w:space="0" w:color="000000"/>
              <w:left w:val="nil"/>
              <w:bottom w:val="single" w:sz="4" w:space="0" w:color="000000"/>
              <w:right w:val="nil"/>
            </w:tcBorders>
          </w:tcPr>
          <w:p w14:paraId="71BEF9EB" w14:textId="77777777" w:rsidR="000B3C5C" w:rsidRDefault="00ED192D">
            <w:pPr>
              <w:spacing w:after="0" w:line="259" w:lineRule="auto"/>
              <w:ind w:left="0" w:right="45" w:firstLine="0"/>
              <w:jc w:val="center"/>
            </w:pPr>
            <w:r>
              <w:rPr>
                <w:rFonts w:ascii="Arial" w:eastAsia="Arial" w:hAnsi="Arial" w:cs="Arial"/>
                <w:b/>
                <w:sz w:val="20"/>
              </w:rPr>
              <w:t xml:space="preserve">Supportive care </w:t>
            </w:r>
          </w:p>
        </w:tc>
      </w:tr>
      <w:tr w:rsidR="000B3C5C" w14:paraId="5B8D4E92" w14:textId="77777777">
        <w:trPr>
          <w:trHeight w:val="364"/>
        </w:trPr>
        <w:tc>
          <w:tcPr>
            <w:tcW w:w="2115" w:type="dxa"/>
            <w:tcBorders>
              <w:top w:val="single" w:sz="4" w:space="0" w:color="000000"/>
              <w:left w:val="nil"/>
              <w:bottom w:val="nil"/>
              <w:right w:val="nil"/>
            </w:tcBorders>
          </w:tcPr>
          <w:p w14:paraId="347B18E6" w14:textId="77777777" w:rsidR="000B3C5C" w:rsidRDefault="00ED192D">
            <w:pPr>
              <w:spacing w:after="0" w:line="259" w:lineRule="auto"/>
              <w:ind w:left="122" w:firstLine="0"/>
            </w:pPr>
            <w:r>
              <w:rPr>
                <w:rFonts w:ascii="Arial" w:eastAsia="Arial" w:hAnsi="Arial" w:cs="Arial"/>
                <w:sz w:val="20"/>
              </w:rPr>
              <w:t xml:space="preserve">Grade 1 </w:t>
            </w:r>
          </w:p>
        </w:tc>
        <w:tc>
          <w:tcPr>
            <w:tcW w:w="3329" w:type="dxa"/>
            <w:tcBorders>
              <w:top w:val="single" w:sz="4" w:space="0" w:color="000000"/>
              <w:left w:val="nil"/>
              <w:bottom w:val="nil"/>
              <w:right w:val="nil"/>
            </w:tcBorders>
          </w:tcPr>
          <w:p w14:paraId="7176FF93" w14:textId="77777777" w:rsidR="000B3C5C" w:rsidRDefault="00ED192D">
            <w:pPr>
              <w:spacing w:after="0" w:line="259" w:lineRule="auto"/>
              <w:ind w:left="0" w:firstLine="0"/>
            </w:pPr>
            <w:r>
              <w:rPr>
                <w:rFonts w:ascii="Arial" w:eastAsia="Arial" w:hAnsi="Arial" w:cs="Arial"/>
                <w:sz w:val="20"/>
              </w:rPr>
              <w:t xml:space="preserve">No action </w:t>
            </w:r>
          </w:p>
        </w:tc>
        <w:tc>
          <w:tcPr>
            <w:tcW w:w="4062" w:type="dxa"/>
            <w:tcBorders>
              <w:top w:val="single" w:sz="4" w:space="0" w:color="000000"/>
              <w:left w:val="nil"/>
              <w:bottom w:val="nil"/>
              <w:right w:val="nil"/>
            </w:tcBorders>
          </w:tcPr>
          <w:p w14:paraId="7D37AA4D" w14:textId="77777777" w:rsidR="000B3C5C" w:rsidRDefault="00ED192D">
            <w:pPr>
              <w:spacing w:after="0" w:line="259" w:lineRule="auto"/>
              <w:ind w:left="0" w:firstLine="0"/>
            </w:pPr>
            <w:r>
              <w:rPr>
                <w:rFonts w:ascii="Arial" w:eastAsia="Arial" w:hAnsi="Arial" w:cs="Arial"/>
                <w:sz w:val="20"/>
              </w:rPr>
              <w:t xml:space="preserve">Provide symptomatic treatment </w:t>
            </w:r>
          </w:p>
        </w:tc>
      </w:tr>
      <w:tr w:rsidR="000B3C5C" w14:paraId="63DCD672" w14:textId="77777777">
        <w:trPr>
          <w:trHeight w:val="854"/>
        </w:trPr>
        <w:tc>
          <w:tcPr>
            <w:tcW w:w="2115" w:type="dxa"/>
            <w:tcBorders>
              <w:top w:val="nil"/>
              <w:left w:val="nil"/>
              <w:bottom w:val="nil"/>
              <w:right w:val="nil"/>
            </w:tcBorders>
          </w:tcPr>
          <w:p w14:paraId="570C27F4" w14:textId="77777777" w:rsidR="000B3C5C" w:rsidRDefault="00ED192D">
            <w:pPr>
              <w:spacing w:after="0" w:line="259" w:lineRule="auto"/>
              <w:ind w:left="122" w:firstLine="0"/>
            </w:pPr>
            <w:r>
              <w:rPr>
                <w:rFonts w:ascii="Arial" w:eastAsia="Arial" w:hAnsi="Arial" w:cs="Arial"/>
                <w:sz w:val="20"/>
              </w:rPr>
              <w:t xml:space="preserve">Grade 2 </w:t>
            </w:r>
          </w:p>
        </w:tc>
        <w:tc>
          <w:tcPr>
            <w:tcW w:w="3329" w:type="dxa"/>
            <w:tcBorders>
              <w:top w:val="nil"/>
              <w:left w:val="nil"/>
              <w:bottom w:val="nil"/>
              <w:right w:val="nil"/>
            </w:tcBorders>
          </w:tcPr>
          <w:p w14:paraId="0865B195" w14:textId="77777777" w:rsidR="000B3C5C" w:rsidRDefault="00ED192D">
            <w:pPr>
              <w:spacing w:after="0" w:line="259" w:lineRule="auto"/>
              <w:ind w:left="0" w:firstLine="0"/>
            </w:pPr>
            <w:r>
              <w:rPr>
                <w:rFonts w:ascii="Arial" w:eastAsia="Arial" w:hAnsi="Arial" w:cs="Arial"/>
                <w:sz w:val="20"/>
              </w:rPr>
              <w:t xml:space="preserve">May delay cycle </w:t>
            </w:r>
          </w:p>
        </w:tc>
        <w:tc>
          <w:tcPr>
            <w:tcW w:w="4062" w:type="dxa"/>
            <w:tcBorders>
              <w:top w:val="nil"/>
              <w:left w:val="nil"/>
              <w:bottom w:val="nil"/>
              <w:right w:val="nil"/>
            </w:tcBorders>
          </w:tcPr>
          <w:p w14:paraId="405A50DC" w14:textId="77777777" w:rsidR="000B3C5C" w:rsidRDefault="00ED192D">
            <w:pPr>
              <w:spacing w:after="0" w:line="259" w:lineRule="auto"/>
              <w:ind w:left="0" w:firstLine="0"/>
            </w:pPr>
            <w:r>
              <w:rPr>
                <w:rFonts w:ascii="Arial" w:eastAsia="Arial" w:hAnsi="Arial" w:cs="Arial"/>
                <w:sz w:val="20"/>
              </w:rPr>
              <w:t xml:space="preserve">Consider systematic corticosteroids (prednisone 0.5 to 1 mg/Kg/day or equivalent) in addition to appropriate symptomatic treatment. </w:t>
            </w:r>
          </w:p>
        </w:tc>
      </w:tr>
      <w:tr w:rsidR="000B3C5C" w14:paraId="644C0D4E" w14:textId="77777777">
        <w:trPr>
          <w:trHeight w:val="2158"/>
        </w:trPr>
        <w:tc>
          <w:tcPr>
            <w:tcW w:w="2115" w:type="dxa"/>
            <w:tcBorders>
              <w:top w:val="nil"/>
              <w:left w:val="nil"/>
              <w:bottom w:val="single" w:sz="12" w:space="0" w:color="000000"/>
              <w:right w:val="nil"/>
            </w:tcBorders>
          </w:tcPr>
          <w:p w14:paraId="2A1BBB0B" w14:textId="77777777" w:rsidR="000B3C5C" w:rsidRDefault="00ED192D">
            <w:pPr>
              <w:spacing w:after="5" w:line="259" w:lineRule="auto"/>
              <w:ind w:left="122" w:firstLine="0"/>
            </w:pPr>
            <w:r>
              <w:rPr>
                <w:rFonts w:ascii="Arial" w:eastAsia="Arial" w:hAnsi="Arial" w:cs="Arial"/>
                <w:sz w:val="20"/>
              </w:rPr>
              <w:t xml:space="preserve">Grade 3 </w:t>
            </w:r>
          </w:p>
          <w:p w14:paraId="04E3507E" w14:textId="77777777" w:rsidR="000B3C5C" w:rsidRDefault="00ED192D">
            <w:pPr>
              <w:spacing w:after="2" w:line="259" w:lineRule="auto"/>
              <w:ind w:left="122" w:firstLine="0"/>
            </w:pPr>
            <w:r>
              <w:rPr>
                <w:rFonts w:ascii="Arial" w:eastAsia="Arial" w:hAnsi="Arial" w:cs="Arial"/>
                <w:sz w:val="20"/>
              </w:rPr>
              <w:t xml:space="preserve"> </w:t>
            </w:r>
          </w:p>
          <w:p w14:paraId="1F93ADCB" w14:textId="77777777" w:rsidR="000B3C5C" w:rsidRDefault="00ED192D">
            <w:pPr>
              <w:spacing w:after="0" w:line="259" w:lineRule="auto"/>
              <w:ind w:left="122" w:firstLine="0"/>
            </w:pPr>
            <w:r>
              <w:rPr>
                <w:rFonts w:ascii="Arial" w:eastAsia="Arial" w:hAnsi="Arial" w:cs="Arial"/>
                <w:sz w:val="20"/>
              </w:rPr>
              <w:t xml:space="preserve">Grade 4 </w:t>
            </w:r>
          </w:p>
        </w:tc>
        <w:tc>
          <w:tcPr>
            <w:tcW w:w="3329" w:type="dxa"/>
            <w:tcBorders>
              <w:top w:val="nil"/>
              <w:left w:val="nil"/>
              <w:bottom w:val="single" w:sz="12" w:space="0" w:color="000000"/>
              <w:right w:val="nil"/>
            </w:tcBorders>
          </w:tcPr>
          <w:p w14:paraId="7F7F0B2D" w14:textId="77777777" w:rsidR="000B3C5C" w:rsidRDefault="00ED192D">
            <w:pPr>
              <w:spacing w:after="19" w:line="241" w:lineRule="auto"/>
              <w:ind w:left="0" w:right="88" w:firstLine="0"/>
            </w:pPr>
            <w:r>
              <w:rPr>
                <w:rFonts w:ascii="Arial" w:eastAsia="Arial" w:hAnsi="Arial" w:cs="Arial"/>
                <w:sz w:val="20"/>
              </w:rPr>
              <w:t xml:space="preserve">Delay the cycle until the toxicity improves to Grade≤1 or baseline. </w:t>
            </w:r>
          </w:p>
          <w:p w14:paraId="47DCB3A9" w14:textId="77777777" w:rsidR="000B3C5C" w:rsidRDefault="00ED192D">
            <w:pPr>
              <w:spacing w:after="0" w:line="259" w:lineRule="auto"/>
              <w:ind w:left="0" w:right="110" w:firstLine="0"/>
            </w:pPr>
            <w:r>
              <w:rPr>
                <w:rFonts w:ascii="Arial" w:eastAsia="Arial" w:hAnsi="Arial" w:cs="Arial"/>
                <w:sz w:val="20"/>
              </w:rPr>
              <w:t xml:space="preserve">Discontinue </w:t>
            </w:r>
            <w:r>
              <w:rPr>
                <w:rFonts w:ascii="Arial" w:eastAsia="Arial" w:hAnsi="Arial" w:cs="Arial"/>
                <w:sz w:val="20"/>
              </w:rPr>
              <w:t xml:space="preserve">prematurely Atezolizumab if unable to reduce corticosteroid dose to &lt;10 mg per day prednisone equivalent within 12 weeks of toxicity. </w:t>
            </w:r>
          </w:p>
        </w:tc>
        <w:tc>
          <w:tcPr>
            <w:tcW w:w="4062" w:type="dxa"/>
            <w:tcBorders>
              <w:top w:val="nil"/>
              <w:left w:val="nil"/>
              <w:bottom w:val="single" w:sz="12" w:space="0" w:color="000000"/>
              <w:right w:val="nil"/>
            </w:tcBorders>
          </w:tcPr>
          <w:p w14:paraId="78E52D0A" w14:textId="77777777" w:rsidR="000B3C5C" w:rsidRDefault="00ED192D">
            <w:pPr>
              <w:spacing w:after="0" w:line="241" w:lineRule="auto"/>
              <w:ind w:left="0" w:firstLine="0"/>
            </w:pPr>
            <w:r>
              <w:rPr>
                <w:rFonts w:ascii="Arial" w:eastAsia="Arial" w:hAnsi="Arial" w:cs="Arial"/>
                <w:sz w:val="20"/>
              </w:rPr>
              <w:t xml:space="preserve">For any (Grade 3-4) irAE, if symptoms worsen or do not improve on adequate corticosteroids </w:t>
            </w:r>
          </w:p>
          <w:p w14:paraId="0AFDBFE3" w14:textId="77777777" w:rsidR="000B3C5C" w:rsidRDefault="00ED192D">
            <w:pPr>
              <w:spacing w:after="0" w:line="259" w:lineRule="auto"/>
              <w:ind w:left="0" w:firstLine="0"/>
            </w:pPr>
            <w:r>
              <w:rPr>
                <w:rFonts w:ascii="Arial" w:eastAsia="Arial" w:hAnsi="Arial" w:cs="Arial"/>
                <w:sz w:val="20"/>
              </w:rPr>
              <w:t xml:space="preserve">(prednisone </w:t>
            </w:r>
            <w:r>
              <w:rPr>
                <w:rFonts w:ascii="Arial" w:eastAsia="Arial" w:hAnsi="Arial" w:cs="Arial"/>
                <w:sz w:val="20"/>
              </w:rPr>
              <w:t xml:space="preserve">1 to 2 mg/kg/day or equivalent) within </w:t>
            </w:r>
          </w:p>
          <w:p w14:paraId="43B7267B" w14:textId="77777777" w:rsidR="000B3C5C" w:rsidRDefault="00ED192D">
            <w:pPr>
              <w:spacing w:after="0" w:line="259" w:lineRule="auto"/>
              <w:ind w:left="0" w:firstLine="0"/>
            </w:pPr>
            <w:r>
              <w:rPr>
                <w:rFonts w:ascii="Arial" w:eastAsia="Arial" w:hAnsi="Arial" w:cs="Arial"/>
                <w:sz w:val="20"/>
              </w:rPr>
              <w:t xml:space="preserve">48 to 72 hours, consider adding additional immunosuppressive agents (to be selected from agents such as: infliximab, cyclophosphamide, cyclosporine, and mycophenolate mofetil). Referral of the participant to a specialized unit for assessment and treatment should be considered. </w:t>
            </w:r>
          </w:p>
        </w:tc>
      </w:tr>
    </w:tbl>
    <w:p w14:paraId="54A75442" w14:textId="77777777" w:rsidR="000B3C5C" w:rsidRDefault="00ED192D">
      <w:pPr>
        <w:pStyle w:val="Heading3"/>
        <w:ind w:left="-5"/>
      </w:pPr>
      <w:r>
        <w:t xml:space="preserve">6.6.4 General guidelines for the management of infusion-associated reactions  </w:t>
      </w:r>
    </w:p>
    <w:p w14:paraId="32584989" w14:textId="77777777" w:rsidR="000B3C5C" w:rsidRDefault="00ED192D">
      <w:pPr>
        <w:ind w:left="-3" w:right="14"/>
      </w:pPr>
      <w:r>
        <w:t xml:space="preserve">Participants should routinely receive premedications prior to isatuximab infusion as detailed in </w:t>
      </w:r>
      <w:r>
        <w:rPr>
          <w:color w:val="0000FF"/>
        </w:rPr>
        <w:t>Section</w:t>
      </w:r>
      <w:r>
        <w:t xml:space="preserve"> </w:t>
      </w:r>
      <w:r>
        <w:rPr>
          <w:color w:val="0000FF"/>
        </w:rPr>
        <w:t>6.1</w:t>
      </w:r>
      <w:r>
        <w:t xml:space="preserve"> to reduce the risk and severity of IARs commonly observed with mAbs. </w:t>
      </w:r>
    </w:p>
    <w:p w14:paraId="0009D348" w14:textId="77777777" w:rsidR="000B3C5C" w:rsidRDefault="00ED192D">
      <w:pPr>
        <w:ind w:left="-3" w:right="14"/>
      </w:pPr>
      <w:r>
        <w:t xml:space="preserve">Infusion-associated reactions typically occur within 24 hours from the start of the infusion. </w:t>
      </w:r>
    </w:p>
    <w:p w14:paraId="13FB21B6" w14:textId="77777777" w:rsidR="000B3C5C" w:rsidRDefault="00ED192D">
      <w:pPr>
        <w:ind w:left="-3" w:right="14"/>
      </w:pPr>
      <w:r>
        <w:t xml:space="preserve">If an IAR is observed, participants must also be informed of the potential risk of recurrent similar reactions at subsequent infusions. The guidelines for management of IARs, cytokine release syndrome, and anaphylactic reactions are summarized in </w:t>
      </w:r>
      <w:r>
        <w:rPr>
          <w:color w:val="0000FF"/>
        </w:rPr>
        <w:t>Table 5</w:t>
      </w:r>
      <w:r>
        <w:t xml:space="preserve">. </w:t>
      </w:r>
    </w:p>
    <w:p w14:paraId="24491192" w14:textId="77777777" w:rsidR="000B3C5C" w:rsidRDefault="00ED192D">
      <w:pPr>
        <w:ind w:left="-3" w:right="14"/>
      </w:pPr>
      <w:r>
        <w:t xml:space="preserve">Participants who experience Grade 2 IARs may resume isatuximab/atezolizumab infusion after temporary interruption, under close monitoring and with therapy as needed.  </w:t>
      </w:r>
    </w:p>
    <w:p w14:paraId="2233D5FE" w14:textId="77777777" w:rsidR="000B3C5C" w:rsidRDefault="00ED192D">
      <w:pPr>
        <w:spacing w:after="11"/>
        <w:ind w:left="-3" w:right="14"/>
      </w:pPr>
      <w:r>
        <w:t xml:space="preserve">Participants may receive additional medication per the judgment of the Investigator. Additional </w:t>
      </w:r>
    </w:p>
    <w:p w14:paraId="39A52B4E" w14:textId="77777777" w:rsidR="000B3C5C" w:rsidRDefault="00ED192D">
      <w:pPr>
        <w:ind w:left="-3" w:right="14"/>
      </w:pPr>
      <w:r>
        <w:t xml:space="preserve">recommended medications are: diphenhydramine 25 mg IV (or equivalent) and methylprednisolone 100 mg IV (or equivalent).   </w:t>
      </w:r>
    </w:p>
    <w:p w14:paraId="107B301C" w14:textId="77777777" w:rsidR="000B3C5C" w:rsidRDefault="00ED192D">
      <w:pPr>
        <w:spacing w:line="249" w:lineRule="auto"/>
        <w:ind w:left="-5" w:right="51"/>
      </w:pPr>
      <w:r>
        <w:t xml:space="preserve">Once a Grade 2 IAR has improved or resolved according to </w:t>
      </w:r>
      <w:r>
        <w:rPr>
          <w:color w:val="0000FF"/>
        </w:rPr>
        <w:t>Table 5</w:t>
      </w:r>
      <w:r>
        <w:t xml:space="preserve"> and Metamizole</w:t>
      </w:r>
      <w:r>
        <w:rPr>
          <w:b/>
        </w:rPr>
        <w:t xml:space="preserve"> (dipyrone) is prohibited in treating atezolizumab associated infusion-</w:t>
      </w:r>
      <w:r>
        <w:rPr>
          <w:b/>
        </w:rPr>
        <w:t xml:space="preserve">associated reactions, due to its potential for causing agranulocytosis. </w:t>
      </w:r>
    </w:p>
    <w:p w14:paraId="60F15918" w14:textId="77777777" w:rsidR="000B3C5C" w:rsidRDefault="00ED192D">
      <w:pPr>
        <w:ind w:left="-3" w:right="14"/>
      </w:pPr>
      <w:r>
        <w:t xml:space="preserve">Guidelines for medical management of infusion-associated reactions are provided in </w:t>
      </w:r>
      <w:r>
        <w:rPr>
          <w:color w:val="0000FF"/>
        </w:rPr>
        <w:t>Table 23.</w:t>
      </w:r>
      <w:r>
        <w:t xml:space="preserve"> </w:t>
      </w:r>
    </w:p>
    <w:p w14:paraId="25F3CD08" w14:textId="77777777" w:rsidR="000B3C5C" w:rsidRDefault="00ED192D">
      <w:pPr>
        <w:spacing w:after="132"/>
        <w:ind w:left="-3" w:right="14"/>
      </w:pPr>
      <w:r>
        <w:rPr>
          <w:color w:val="0000FF"/>
        </w:rPr>
        <w:t>Table 23</w:t>
      </w:r>
      <w:r>
        <w:t xml:space="preserve">, the infusion may be restarted: </w:t>
      </w:r>
    </w:p>
    <w:p w14:paraId="150D612F" w14:textId="77777777" w:rsidR="000B3C5C" w:rsidRDefault="00ED192D">
      <w:pPr>
        <w:numPr>
          <w:ilvl w:val="0"/>
          <w:numId w:val="33"/>
        </w:numPr>
        <w:spacing w:after="135"/>
        <w:ind w:right="14" w:hanging="358"/>
      </w:pPr>
      <w:r>
        <w:t xml:space="preserve">For atezolizumab, the infusion should be restarted at half the rate being given at the time of event onset. </w:t>
      </w:r>
    </w:p>
    <w:p w14:paraId="3D56012C" w14:textId="77777777" w:rsidR="000B3C5C" w:rsidRDefault="00ED192D">
      <w:pPr>
        <w:numPr>
          <w:ilvl w:val="0"/>
          <w:numId w:val="33"/>
        </w:numPr>
        <w:ind w:right="14" w:hanging="358"/>
      </w:pPr>
      <w:r>
        <w:t xml:space="preserve">For isatuximab, the infusion should be restarted at half (87.5 mg/h) the initial infusion rate. If symptoms do not recur after 30 minutes, the infusion rate may be increased in 50 mg/hour increments every 30 minutes, to a maximum of 400 mg/hour. </w:t>
      </w:r>
    </w:p>
    <w:p w14:paraId="2777B832" w14:textId="77777777" w:rsidR="000B3C5C" w:rsidRDefault="00ED192D">
      <w:pPr>
        <w:spacing w:after="135"/>
        <w:ind w:left="-3" w:right="14"/>
      </w:pPr>
      <w:r>
        <w:t xml:space="preserve">Participants with Grade 3 or 4 IAR must have atezolizumab and/or isatuximab prematurely permanently discontinued and appropriate therapy should be administered: </w:t>
      </w:r>
    </w:p>
    <w:p w14:paraId="36E22D62" w14:textId="77777777" w:rsidR="000B3C5C" w:rsidRDefault="00ED192D">
      <w:pPr>
        <w:numPr>
          <w:ilvl w:val="0"/>
          <w:numId w:val="33"/>
        </w:numPr>
        <w:spacing w:after="135"/>
        <w:ind w:right="14" w:hanging="358"/>
      </w:pPr>
      <w:r>
        <w:t xml:space="preserve">If a Grade 3 or higher IAR occurs during atezolizumab infusion, it should be prematurely permanently discontinued. The participant can continue treatment with isatuximab. </w:t>
      </w:r>
    </w:p>
    <w:p w14:paraId="1DF3CC90" w14:textId="77777777" w:rsidR="000B3C5C" w:rsidRDefault="00ED192D">
      <w:pPr>
        <w:numPr>
          <w:ilvl w:val="0"/>
          <w:numId w:val="33"/>
        </w:numPr>
        <w:ind w:right="14" w:hanging="358"/>
      </w:pPr>
      <w:r>
        <w:t xml:space="preserve">If a Grade 3 or higher IAR occurs after the start of isatuximab infusion, the participant should prematurely permanently discontinue treatment with both atezolizumab and isatuximab. </w:t>
      </w:r>
    </w:p>
    <w:p w14:paraId="2CFB807D" w14:textId="77777777" w:rsidR="000B3C5C" w:rsidRDefault="00ED192D">
      <w:pPr>
        <w:ind w:left="-3" w:right="14"/>
      </w:pPr>
      <w:r>
        <w:t xml:space="preserve">Grade 2 or higher IARs for isatuximab and any grade IARs for atezolizumab must be reported as AESIs (see </w:t>
      </w:r>
      <w:r>
        <w:rPr>
          <w:color w:val="0000FF"/>
        </w:rPr>
        <w:t>Section</w:t>
      </w:r>
      <w:r>
        <w:t xml:space="preserve"> </w:t>
      </w:r>
      <w:r>
        <w:rPr>
          <w:color w:val="0000FF"/>
        </w:rPr>
        <w:t>8.3</w:t>
      </w:r>
      <w:r>
        <w:t xml:space="preserve">). Study personnel should consult the Medical Monitor for further guidance regarding re-treatment of participants with infusion reactions and regarding issues of premedication management (eg, alternative medications for participants allergic or intolerant to premedication agents), or to determine if locally used equivalent medications are acceptable. </w:t>
      </w:r>
    </w:p>
    <w:p w14:paraId="477CFC86" w14:textId="77777777" w:rsidR="000B3C5C" w:rsidRDefault="00ED192D">
      <w:pPr>
        <w:spacing w:after="4" w:line="250" w:lineRule="auto"/>
        <w:ind w:left="15" w:right="71"/>
        <w:jc w:val="center"/>
      </w:pPr>
      <w:r>
        <w:rPr>
          <w:rFonts w:ascii="Arial" w:eastAsia="Arial" w:hAnsi="Arial" w:cs="Arial"/>
          <w:b/>
          <w:sz w:val="20"/>
        </w:rPr>
        <w:t xml:space="preserve">Table 5 - Management Guidelines for Infusion-Associated Reactions  </w:t>
      </w:r>
    </w:p>
    <w:tbl>
      <w:tblPr>
        <w:tblStyle w:val="TableGrid"/>
        <w:tblW w:w="9556" w:type="dxa"/>
        <w:tblInd w:w="-43" w:type="dxa"/>
        <w:tblCellMar>
          <w:top w:w="87" w:type="dxa"/>
          <w:left w:w="0" w:type="dxa"/>
          <w:bottom w:w="0" w:type="dxa"/>
          <w:right w:w="27" w:type="dxa"/>
        </w:tblCellMar>
        <w:tblLook w:val="04A0" w:firstRow="1" w:lastRow="0" w:firstColumn="1" w:lastColumn="0" w:noHBand="0" w:noVBand="1"/>
      </w:tblPr>
      <w:tblGrid>
        <w:gridCol w:w="1935"/>
        <w:gridCol w:w="3814"/>
        <w:gridCol w:w="3807"/>
      </w:tblGrid>
      <w:tr w:rsidR="000B3C5C" w14:paraId="0DA9C82F" w14:textId="77777777">
        <w:trPr>
          <w:trHeight w:val="372"/>
        </w:trPr>
        <w:tc>
          <w:tcPr>
            <w:tcW w:w="1935" w:type="dxa"/>
            <w:tcBorders>
              <w:top w:val="single" w:sz="4" w:space="0" w:color="000000"/>
              <w:left w:val="nil"/>
              <w:bottom w:val="single" w:sz="4" w:space="0" w:color="000000"/>
              <w:right w:val="nil"/>
            </w:tcBorders>
          </w:tcPr>
          <w:p w14:paraId="20F0749A" w14:textId="77777777" w:rsidR="000B3C5C" w:rsidRDefault="00ED192D">
            <w:pPr>
              <w:spacing w:after="0" w:line="259" w:lineRule="auto"/>
              <w:ind w:left="0" w:right="93" w:firstLine="0"/>
              <w:jc w:val="center"/>
            </w:pPr>
            <w:r>
              <w:rPr>
                <w:rFonts w:ascii="Arial" w:eastAsia="Arial" w:hAnsi="Arial" w:cs="Arial"/>
                <w:b/>
                <w:sz w:val="20"/>
              </w:rPr>
              <w:t xml:space="preserve">Event </w:t>
            </w:r>
          </w:p>
        </w:tc>
        <w:tc>
          <w:tcPr>
            <w:tcW w:w="3814" w:type="dxa"/>
            <w:tcBorders>
              <w:top w:val="single" w:sz="4" w:space="0" w:color="000000"/>
              <w:left w:val="nil"/>
              <w:bottom w:val="single" w:sz="4" w:space="0" w:color="000000"/>
              <w:right w:val="nil"/>
            </w:tcBorders>
          </w:tcPr>
          <w:p w14:paraId="43B5FC35" w14:textId="77777777" w:rsidR="000B3C5C" w:rsidRDefault="00ED192D">
            <w:pPr>
              <w:spacing w:after="0" w:line="259" w:lineRule="auto"/>
              <w:ind w:left="497" w:firstLine="0"/>
            </w:pPr>
            <w:r>
              <w:rPr>
                <w:rFonts w:ascii="Arial" w:eastAsia="Arial" w:hAnsi="Arial" w:cs="Arial"/>
                <w:b/>
                <w:sz w:val="20"/>
              </w:rPr>
              <w:t xml:space="preserve">Management Atezolizumab </w:t>
            </w:r>
          </w:p>
        </w:tc>
        <w:tc>
          <w:tcPr>
            <w:tcW w:w="3807" w:type="dxa"/>
            <w:tcBorders>
              <w:top w:val="single" w:sz="4" w:space="0" w:color="000000"/>
              <w:left w:val="nil"/>
              <w:bottom w:val="single" w:sz="4" w:space="0" w:color="000000"/>
              <w:right w:val="nil"/>
            </w:tcBorders>
          </w:tcPr>
          <w:p w14:paraId="379942F0" w14:textId="77777777" w:rsidR="000B3C5C" w:rsidRDefault="00ED192D">
            <w:pPr>
              <w:spacing w:after="0" w:line="259" w:lineRule="auto"/>
              <w:ind w:left="0" w:right="107" w:firstLine="0"/>
              <w:jc w:val="center"/>
            </w:pPr>
            <w:r>
              <w:rPr>
                <w:rFonts w:ascii="Arial" w:eastAsia="Arial" w:hAnsi="Arial" w:cs="Arial"/>
                <w:b/>
                <w:sz w:val="20"/>
              </w:rPr>
              <w:t xml:space="preserve">Management Isatuximab </w:t>
            </w:r>
          </w:p>
        </w:tc>
      </w:tr>
      <w:tr w:rsidR="000B3C5C" w14:paraId="6C201C65" w14:textId="77777777">
        <w:trPr>
          <w:trHeight w:val="2336"/>
        </w:trPr>
        <w:tc>
          <w:tcPr>
            <w:tcW w:w="1935" w:type="dxa"/>
            <w:tcBorders>
              <w:top w:val="single" w:sz="4" w:space="0" w:color="000000"/>
              <w:left w:val="nil"/>
              <w:bottom w:val="nil"/>
              <w:right w:val="nil"/>
            </w:tcBorders>
          </w:tcPr>
          <w:p w14:paraId="45716221" w14:textId="77777777" w:rsidR="000B3C5C" w:rsidRDefault="00ED192D">
            <w:pPr>
              <w:spacing w:after="0" w:line="259" w:lineRule="auto"/>
              <w:ind w:left="0" w:right="95" w:firstLine="0"/>
              <w:jc w:val="center"/>
            </w:pPr>
            <w:r>
              <w:rPr>
                <w:rFonts w:ascii="Arial" w:eastAsia="Arial" w:hAnsi="Arial" w:cs="Arial"/>
                <w:sz w:val="20"/>
              </w:rPr>
              <w:t xml:space="preserve">IAR, Grade 1  </w:t>
            </w:r>
          </w:p>
        </w:tc>
        <w:tc>
          <w:tcPr>
            <w:tcW w:w="3814" w:type="dxa"/>
            <w:tcBorders>
              <w:top w:val="single" w:sz="4" w:space="0" w:color="000000"/>
              <w:left w:val="nil"/>
              <w:bottom w:val="nil"/>
              <w:right w:val="nil"/>
            </w:tcBorders>
          </w:tcPr>
          <w:p w14:paraId="29CE6887" w14:textId="77777777" w:rsidR="000B3C5C" w:rsidRDefault="00ED192D">
            <w:pPr>
              <w:spacing w:after="58" w:line="241" w:lineRule="auto"/>
              <w:ind w:left="835" w:right="87" w:hanging="797"/>
            </w:pPr>
            <w:r>
              <w:rPr>
                <w:rFonts w:ascii="Arial" w:eastAsia="Arial" w:hAnsi="Arial" w:cs="Arial"/>
                <w:sz w:val="20"/>
              </w:rPr>
              <w:t xml:space="preserve">Reduce infusion rate to half the rate being given at the time of event onset. </w:t>
            </w:r>
          </w:p>
          <w:p w14:paraId="6E8CC307" w14:textId="77777777" w:rsidR="000B3C5C" w:rsidRDefault="00ED192D">
            <w:pPr>
              <w:spacing w:after="58" w:line="241" w:lineRule="auto"/>
              <w:ind w:left="108" w:firstLine="50"/>
            </w:pPr>
            <w:r>
              <w:rPr>
                <w:rFonts w:ascii="Arial" w:eastAsia="Arial" w:hAnsi="Arial" w:cs="Arial"/>
                <w:sz w:val="20"/>
              </w:rPr>
              <w:t xml:space="preserve">After the event has resolved, the investigator should wait for 30 minutes while delivering the infusion at the reduced rate. </w:t>
            </w:r>
          </w:p>
          <w:p w14:paraId="2922E864" w14:textId="77777777" w:rsidR="000B3C5C" w:rsidRDefault="00ED192D">
            <w:pPr>
              <w:spacing w:after="0" w:line="259" w:lineRule="auto"/>
              <w:ind w:left="38" w:firstLine="0"/>
            </w:pPr>
            <w:r>
              <w:rPr>
                <w:rFonts w:ascii="Arial" w:eastAsia="Arial" w:hAnsi="Arial" w:cs="Arial"/>
                <w:sz w:val="20"/>
              </w:rPr>
              <w:t xml:space="preserve">If the infusion is tolerated at the reduced rate for </w:t>
            </w:r>
          </w:p>
          <w:p w14:paraId="3B3A201E" w14:textId="77777777" w:rsidR="000B3C5C" w:rsidRDefault="00ED192D">
            <w:pPr>
              <w:spacing w:after="0" w:line="259" w:lineRule="auto"/>
              <w:ind w:left="149" w:right="4" w:hanging="46"/>
            </w:pPr>
            <w:r>
              <w:rPr>
                <w:rFonts w:ascii="Arial" w:eastAsia="Arial" w:hAnsi="Arial" w:cs="Arial"/>
                <w:sz w:val="20"/>
              </w:rPr>
              <w:t xml:space="preserve">30 minutes after symptoms have resolved, the infusion rate may be increased to the original rate. </w:t>
            </w:r>
          </w:p>
        </w:tc>
        <w:tc>
          <w:tcPr>
            <w:tcW w:w="3807" w:type="dxa"/>
            <w:tcBorders>
              <w:top w:val="single" w:sz="4" w:space="0" w:color="000000"/>
              <w:left w:val="nil"/>
              <w:bottom w:val="nil"/>
              <w:right w:val="nil"/>
            </w:tcBorders>
          </w:tcPr>
          <w:p w14:paraId="3FEEE5EE" w14:textId="77777777" w:rsidR="000B3C5C" w:rsidRDefault="00ED192D">
            <w:pPr>
              <w:spacing w:after="58" w:line="241" w:lineRule="auto"/>
              <w:ind w:left="0" w:firstLine="60"/>
            </w:pPr>
            <w:r>
              <w:rPr>
                <w:rFonts w:ascii="Arial" w:eastAsia="Arial" w:hAnsi="Arial" w:cs="Arial"/>
                <w:sz w:val="20"/>
              </w:rPr>
              <w:t xml:space="preserve">Continue isatuximab infusion per the judgment of the Investigator following close direct monitoring of the participant’s clinical status. </w:t>
            </w:r>
          </w:p>
          <w:p w14:paraId="4AF7BCCB" w14:textId="77777777" w:rsidR="000B3C5C" w:rsidRDefault="00ED192D">
            <w:pPr>
              <w:spacing w:after="2" w:line="239" w:lineRule="auto"/>
              <w:ind w:left="308" w:hanging="265"/>
            </w:pPr>
            <w:r>
              <w:rPr>
                <w:rFonts w:ascii="Arial" w:eastAsia="Arial" w:hAnsi="Arial" w:cs="Arial"/>
                <w:sz w:val="20"/>
              </w:rPr>
              <w:t xml:space="preserve">Isatuximab infusion may be stopped at any time if deemed necessary. If stopped, IAR will be </w:t>
            </w:r>
          </w:p>
          <w:p w14:paraId="1D128FB7" w14:textId="77777777" w:rsidR="000B3C5C" w:rsidRDefault="00ED192D">
            <w:pPr>
              <w:spacing w:after="0" w:line="259" w:lineRule="auto"/>
              <w:ind w:left="0" w:right="455" w:firstLine="0"/>
              <w:jc w:val="right"/>
            </w:pPr>
            <w:r>
              <w:rPr>
                <w:rFonts w:ascii="Arial" w:eastAsia="Arial" w:hAnsi="Arial" w:cs="Arial"/>
                <w:sz w:val="20"/>
              </w:rPr>
              <w:t xml:space="preserve">classified as Grade 2 as per NCI-CTCAE          </w:t>
            </w:r>
          </w:p>
        </w:tc>
      </w:tr>
      <w:tr w:rsidR="000B3C5C" w14:paraId="47A272D0" w14:textId="77777777">
        <w:trPr>
          <w:trHeight w:val="2416"/>
        </w:trPr>
        <w:tc>
          <w:tcPr>
            <w:tcW w:w="1935" w:type="dxa"/>
            <w:tcBorders>
              <w:top w:val="nil"/>
              <w:left w:val="nil"/>
              <w:bottom w:val="single" w:sz="4" w:space="0" w:color="000000"/>
              <w:right w:val="nil"/>
            </w:tcBorders>
          </w:tcPr>
          <w:p w14:paraId="26EE4262" w14:textId="77777777" w:rsidR="000B3C5C" w:rsidRDefault="00ED192D">
            <w:pPr>
              <w:spacing w:after="0" w:line="259" w:lineRule="auto"/>
              <w:ind w:left="0" w:right="95" w:firstLine="0"/>
              <w:jc w:val="center"/>
            </w:pPr>
            <w:r>
              <w:rPr>
                <w:rFonts w:ascii="Arial" w:eastAsia="Arial" w:hAnsi="Arial" w:cs="Arial"/>
                <w:sz w:val="20"/>
              </w:rPr>
              <w:t xml:space="preserve">IAR, Grade 2 </w:t>
            </w:r>
          </w:p>
        </w:tc>
        <w:tc>
          <w:tcPr>
            <w:tcW w:w="7621" w:type="dxa"/>
            <w:gridSpan w:val="2"/>
            <w:tcBorders>
              <w:top w:val="nil"/>
              <w:left w:val="nil"/>
              <w:bottom w:val="single" w:sz="4" w:space="0" w:color="000000"/>
              <w:right w:val="nil"/>
            </w:tcBorders>
          </w:tcPr>
          <w:p w14:paraId="1D756E77" w14:textId="77777777" w:rsidR="000B3C5C" w:rsidRDefault="00ED192D">
            <w:pPr>
              <w:spacing w:after="44" w:line="259" w:lineRule="auto"/>
              <w:ind w:left="0" w:right="100" w:firstLine="0"/>
              <w:jc w:val="center"/>
            </w:pPr>
            <w:r>
              <w:rPr>
                <w:rFonts w:ascii="Arial" w:eastAsia="Arial" w:hAnsi="Arial" w:cs="Arial"/>
                <w:sz w:val="20"/>
              </w:rPr>
              <w:t xml:space="preserve">Interrupt atezolizumab/isatuximab infusion. </w:t>
            </w:r>
          </w:p>
          <w:p w14:paraId="3D1B7BEF" w14:textId="77777777" w:rsidR="000B3C5C" w:rsidRDefault="00ED192D">
            <w:pPr>
              <w:spacing w:after="58" w:line="241" w:lineRule="auto"/>
              <w:ind w:left="1764" w:hanging="1589"/>
            </w:pPr>
            <w:r>
              <w:rPr>
                <w:rFonts w:ascii="Arial" w:eastAsia="Arial" w:hAnsi="Arial" w:cs="Arial"/>
                <w:sz w:val="20"/>
              </w:rPr>
              <w:t xml:space="preserve">Administer aggressive symptomatic treatment (eg, oral or IV antihistamine, anti-pyretic medication, glucocorticoids, epinephrine, bronchodilators, oxygen). </w:t>
            </w:r>
          </w:p>
          <w:p w14:paraId="626E5C36" w14:textId="77777777" w:rsidR="000B3C5C" w:rsidRDefault="00ED192D">
            <w:pPr>
              <w:spacing w:after="61" w:line="240" w:lineRule="auto"/>
              <w:ind w:left="0" w:firstLine="170"/>
            </w:pPr>
            <w:r>
              <w:rPr>
                <w:rFonts w:ascii="Arial" w:eastAsia="Arial" w:hAnsi="Arial" w:cs="Arial"/>
                <w:sz w:val="20"/>
              </w:rPr>
              <w:t xml:space="preserve">After symptoms have resolved to Grade ≤1 (for isatuximab) or baseline (for atezolizumab), resume infusion at half the initial infusion rate for isatuximab and at half the rate being given at the time of event onset for atezolizumab. </w:t>
            </w:r>
          </w:p>
          <w:p w14:paraId="3ED45C08" w14:textId="77777777" w:rsidR="000B3C5C" w:rsidRDefault="00ED192D">
            <w:pPr>
              <w:spacing w:after="58" w:line="241" w:lineRule="auto"/>
              <w:ind w:left="1546" w:hanging="1128"/>
            </w:pPr>
            <w:r>
              <w:rPr>
                <w:rFonts w:ascii="Arial" w:eastAsia="Arial" w:hAnsi="Arial" w:cs="Arial"/>
                <w:sz w:val="20"/>
              </w:rPr>
              <w:t xml:space="preserve">For subsequent infusions, consider administration of oral premedication with antihistamines, anti-pyretics, and/or analgesics and monitor closely for IARs. </w:t>
            </w:r>
          </w:p>
          <w:p w14:paraId="73DB85A1" w14:textId="77777777" w:rsidR="000B3C5C" w:rsidRDefault="00ED192D">
            <w:pPr>
              <w:spacing w:after="0" w:line="259" w:lineRule="auto"/>
              <w:ind w:left="0" w:right="103" w:firstLine="0"/>
              <w:jc w:val="center"/>
            </w:pPr>
            <w:r>
              <w:rPr>
                <w:rFonts w:ascii="Arial" w:eastAsia="Arial" w:hAnsi="Arial" w:cs="Arial"/>
                <w:sz w:val="20"/>
              </w:rPr>
              <w:t xml:space="preserve">-Blood samples for additional safety labs will be collected for isatuximab </w:t>
            </w:r>
          </w:p>
        </w:tc>
      </w:tr>
      <w:tr w:rsidR="000B3C5C" w14:paraId="6F891D76" w14:textId="77777777">
        <w:trPr>
          <w:trHeight w:val="1406"/>
        </w:trPr>
        <w:tc>
          <w:tcPr>
            <w:tcW w:w="1935" w:type="dxa"/>
            <w:tcBorders>
              <w:top w:val="single" w:sz="4" w:space="0" w:color="000000"/>
              <w:left w:val="nil"/>
              <w:bottom w:val="single" w:sz="12" w:space="0" w:color="000000"/>
              <w:right w:val="nil"/>
            </w:tcBorders>
          </w:tcPr>
          <w:p w14:paraId="3E1B8308" w14:textId="77777777" w:rsidR="000B3C5C" w:rsidRDefault="00ED192D">
            <w:pPr>
              <w:spacing w:after="0" w:line="259" w:lineRule="auto"/>
              <w:ind w:left="233" w:firstLine="0"/>
            </w:pPr>
            <w:r>
              <w:rPr>
                <w:rFonts w:ascii="Arial" w:eastAsia="Arial" w:hAnsi="Arial" w:cs="Arial"/>
                <w:sz w:val="20"/>
              </w:rPr>
              <w:t xml:space="preserve">IAR*, Grade 3 or 4 </w:t>
            </w:r>
          </w:p>
        </w:tc>
        <w:tc>
          <w:tcPr>
            <w:tcW w:w="7621" w:type="dxa"/>
            <w:gridSpan w:val="2"/>
            <w:tcBorders>
              <w:top w:val="single" w:sz="4" w:space="0" w:color="000000"/>
              <w:left w:val="nil"/>
              <w:bottom w:val="single" w:sz="12" w:space="0" w:color="000000"/>
              <w:right w:val="nil"/>
            </w:tcBorders>
          </w:tcPr>
          <w:p w14:paraId="407EB235" w14:textId="77777777" w:rsidR="000B3C5C" w:rsidRDefault="00ED192D">
            <w:pPr>
              <w:spacing w:after="41" w:line="259" w:lineRule="auto"/>
              <w:ind w:left="0" w:right="100" w:firstLine="0"/>
              <w:jc w:val="center"/>
            </w:pPr>
            <w:r>
              <w:rPr>
                <w:rFonts w:ascii="Arial" w:eastAsia="Arial" w:hAnsi="Arial" w:cs="Arial"/>
                <w:sz w:val="20"/>
              </w:rPr>
              <w:t xml:space="preserve">Stop infusion. </w:t>
            </w:r>
          </w:p>
          <w:p w14:paraId="57876F19" w14:textId="77777777" w:rsidR="000B3C5C" w:rsidRDefault="00ED192D">
            <w:pPr>
              <w:spacing w:after="60" w:line="241" w:lineRule="auto"/>
              <w:ind w:left="2353" w:hanging="2348"/>
            </w:pPr>
            <w:r>
              <w:rPr>
                <w:rFonts w:ascii="Arial" w:eastAsia="Arial" w:hAnsi="Arial" w:cs="Arial"/>
                <w:sz w:val="20"/>
              </w:rPr>
              <w:t xml:space="preserve">Administer aggressive symptomatic treatment (eg, oral or IV antihistamine, anti-pyretic, glucocorticoids, epinephrine, bronchodilators, oxygen). </w:t>
            </w:r>
          </w:p>
          <w:p w14:paraId="01BDF5BE" w14:textId="77777777" w:rsidR="000B3C5C" w:rsidRDefault="00ED192D">
            <w:pPr>
              <w:spacing w:after="0" w:line="259" w:lineRule="auto"/>
              <w:ind w:left="1620" w:hanging="1435"/>
            </w:pPr>
            <w:r>
              <w:rPr>
                <w:rFonts w:ascii="Arial" w:eastAsia="Arial" w:hAnsi="Arial" w:cs="Arial"/>
                <w:sz w:val="20"/>
              </w:rPr>
              <w:t xml:space="preserve">Prematurely permanently discontinue atezolizumab or Isatuximab or permanently discontinue both atezolizumab and isatuximab and contact Medical Monitor.  </w:t>
            </w:r>
          </w:p>
        </w:tc>
      </w:tr>
    </w:tbl>
    <w:p w14:paraId="7A3C34D9" w14:textId="77777777" w:rsidR="000B3C5C" w:rsidRDefault="00ED192D">
      <w:pPr>
        <w:spacing w:after="411"/>
        <w:ind w:left="-5" w:right="1289"/>
      </w:pPr>
      <w:r>
        <w:rPr>
          <w:rFonts w:ascii="Arial" w:eastAsia="Arial" w:hAnsi="Arial" w:cs="Arial"/>
          <w:sz w:val="18"/>
        </w:rPr>
        <w:t xml:space="preserve">IAR = infusion-associated reaction; NCI-CTCAE = National Cancer Institute-common terminology criteria for adverse events * Applicable to Grade 3 or 4 cytokine release syndrome and anaphylactic reactions </w:t>
      </w:r>
    </w:p>
    <w:p w14:paraId="72C458B2" w14:textId="77777777" w:rsidR="000B3C5C" w:rsidRDefault="00ED192D">
      <w:pPr>
        <w:pStyle w:val="Heading3"/>
        <w:ind w:left="-5"/>
      </w:pPr>
      <w:r>
        <w:t xml:space="preserve">6.6.5 Retreatment of participants  </w:t>
      </w:r>
    </w:p>
    <w:p w14:paraId="718BAC35" w14:textId="77777777" w:rsidR="000B3C5C" w:rsidRDefault="00ED192D">
      <w:pPr>
        <w:ind w:left="-3" w:right="14"/>
      </w:pPr>
      <w:r>
        <w:t xml:space="preserve">The participants must have recovered to NCI-CTC AE Grade ≤1 or to his/her baseline status before initiation of the next cycle at the same dose level. In those cases of clear clinical benefit, a participant will continue treatment until disease progression confirmed by imaging 4 weeks after initial evidence of progression as detailed in </w:t>
      </w:r>
      <w:r>
        <w:rPr>
          <w:color w:val="0000FF"/>
        </w:rPr>
        <w:t>Section</w:t>
      </w:r>
      <w:r>
        <w:t xml:space="preserve"> </w:t>
      </w:r>
      <w:r>
        <w:rPr>
          <w:color w:val="0000FF"/>
        </w:rPr>
        <w:t>4.2</w:t>
      </w:r>
      <w:r>
        <w:t xml:space="preserve">, unacceptable AE, participant’s decision to stop the treatment, 2 years of uninterrupted delivery of IMP without documented PD. </w:t>
      </w:r>
    </w:p>
    <w:p w14:paraId="165A5DB9" w14:textId="77777777" w:rsidR="000B3C5C" w:rsidRDefault="00ED192D">
      <w:pPr>
        <w:ind w:left="-3" w:right="14"/>
      </w:pPr>
      <w:r>
        <w:t xml:space="preserve">A cycle is 21 days, and deemed to have been delayed if the treatment is &gt;3 days beyond the theoretical day of treatment. The reason for dose delay will be provided. In the event of an AE causing a delay, including a DLT, in order for participants to be retreated, see </w:t>
      </w:r>
      <w:r>
        <w:rPr>
          <w:color w:val="0000FF"/>
        </w:rPr>
        <w:t>Section</w:t>
      </w:r>
      <w:r>
        <w:t xml:space="preserve"> </w:t>
      </w:r>
      <w:r>
        <w:rPr>
          <w:color w:val="0000FF"/>
        </w:rPr>
        <w:t xml:space="preserve">6.6 </w:t>
      </w:r>
      <w:r>
        <w:t>and Appendix 21 (</w:t>
      </w:r>
      <w:r>
        <w:rPr>
          <w:color w:val="0000FF"/>
        </w:rPr>
        <w:t>Section</w:t>
      </w:r>
      <w:r>
        <w:t xml:space="preserve"> </w:t>
      </w:r>
      <w:r>
        <w:rPr>
          <w:color w:val="0000FF"/>
        </w:rPr>
        <w:t>10.21</w:t>
      </w:r>
      <w:r>
        <w:t>)</w:t>
      </w:r>
      <w:r>
        <w:rPr>
          <w:color w:val="0000FF"/>
        </w:rPr>
        <w:t xml:space="preserve"> </w:t>
      </w:r>
      <w:r>
        <w:t xml:space="preserve">for retreatment recommendations. </w:t>
      </w:r>
    </w:p>
    <w:p w14:paraId="23CA4E69" w14:textId="77777777" w:rsidR="000B3C5C" w:rsidRDefault="00ED192D">
      <w:pPr>
        <w:pStyle w:val="Heading2"/>
        <w:tabs>
          <w:tab w:val="center" w:pos="3247"/>
        </w:tabs>
        <w:spacing w:after="249"/>
        <w:ind w:left="-15" w:firstLine="0"/>
      </w:pPr>
      <w:r>
        <w:rPr>
          <w:rFonts w:ascii="Arial" w:eastAsia="Arial" w:hAnsi="Arial" w:cs="Arial"/>
          <w:sz w:val="22"/>
        </w:rPr>
        <w:t xml:space="preserve">6.7 </w:t>
      </w:r>
      <w:r>
        <w:rPr>
          <w:rFonts w:ascii="Arial" w:eastAsia="Arial" w:hAnsi="Arial" w:cs="Arial"/>
          <w:sz w:val="22"/>
        </w:rPr>
        <w:tab/>
        <w:t xml:space="preserve">INTERVENTION </w:t>
      </w:r>
      <w:r>
        <w:rPr>
          <w:rFonts w:ascii="Arial" w:eastAsia="Arial" w:hAnsi="Arial" w:cs="Arial"/>
          <w:sz w:val="22"/>
        </w:rPr>
        <w:t xml:space="preserve">AFTER THE END OF THE STUDY  </w:t>
      </w:r>
    </w:p>
    <w:p w14:paraId="232EE192" w14:textId="77777777" w:rsidR="000B3C5C" w:rsidRDefault="00ED192D">
      <w:pPr>
        <w:ind w:left="-3" w:right="14"/>
      </w:pPr>
      <w:r>
        <w:t xml:space="preserve">The IMPs will not be provided after the end of the treatment period. </w:t>
      </w:r>
    </w:p>
    <w:p w14:paraId="58906632" w14:textId="77777777" w:rsidR="000B3C5C" w:rsidRDefault="00ED192D">
      <w:pPr>
        <w:ind w:left="-3" w:right="14"/>
      </w:pPr>
      <w:r>
        <w:t xml:space="preserve">The participant’s treatment after discontinuation of last IMP will be at the discretion of the treating physician. </w:t>
      </w:r>
      <w:r>
        <w:br w:type="page"/>
      </w:r>
    </w:p>
    <w:p w14:paraId="36AD62EF" w14:textId="77777777" w:rsidR="000B3C5C" w:rsidRDefault="00ED192D">
      <w:pPr>
        <w:tabs>
          <w:tab w:val="center" w:pos="4157"/>
        </w:tabs>
        <w:spacing w:after="412" w:line="265" w:lineRule="auto"/>
        <w:ind w:left="-13" w:firstLine="0"/>
      </w:pPr>
      <w:r>
        <w:rPr>
          <w:rFonts w:ascii="Arial" w:eastAsia="Arial" w:hAnsi="Arial" w:cs="Arial"/>
          <w:b/>
          <w:sz w:val="28"/>
        </w:rPr>
        <w:t xml:space="preserve">7 </w:t>
      </w:r>
      <w:r>
        <w:rPr>
          <w:rFonts w:ascii="Arial" w:eastAsia="Arial" w:hAnsi="Arial" w:cs="Arial"/>
          <w:b/>
          <w:sz w:val="28"/>
        </w:rPr>
        <w:tab/>
        <w:t xml:space="preserve">DISCONTINUATION OF STUDY INTERVENTION AND </w:t>
      </w:r>
    </w:p>
    <w:p w14:paraId="34B92B57" w14:textId="77777777" w:rsidR="000B3C5C" w:rsidRDefault="00ED192D">
      <w:pPr>
        <w:pStyle w:val="Heading1"/>
        <w:spacing w:after="412"/>
        <w:ind w:left="666" w:hanging="679"/>
      </w:pPr>
      <w:r>
        <w:t xml:space="preserve">PARTICIPANT DISCONTINUATION/WITHDRAWAL  </w:t>
      </w:r>
    </w:p>
    <w:p w14:paraId="3EC06B24" w14:textId="77777777" w:rsidR="000B3C5C" w:rsidRDefault="00ED192D">
      <w:pPr>
        <w:pStyle w:val="Heading2"/>
        <w:tabs>
          <w:tab w:val="center" w:pos="3174"/>
        </w:tabs>
        <w:spacing w:after="249"/>
        <w:ind w:left="-15" w:firstLine="0"/>
      </w:pPr>
      <w:r>
        <w:rPr>
          <w:rFonts w:ascii="Arial" w:eastAsia="Arial" w:hAnsi="Arial" w:cs="Arial"/>
          <w:sz w:val="22"/>
        </w:rPr>
        <w:t xml:space="preserve">7.1 </w:t>
      </w:r>
      <w:r>
        <w:rPr>
          <w:rFonts w:ascii="Arial" w:eastAsia="Arial" w:hAnsi="Arial" w:cs="Arial"/>
          <w:sz w:val="22"/>
        </w:rPr>
        <w:tab/>
        <w:t xml:space="preserve"> DISCONTINUATION OF STUDY INTERVENTION   </w:t>
      </w:r>
    </w:p>
    <w:p w14:paraId="76DB294E" w14:textId="77777777" w:rsidR="000B3C5C" w:rsidRDefault="00ED192D">
      <w:pPr>
        <w:ind w:left="-3" w:right="14"/>
      </w:pPr>
      <w:r>
        <w:t xml:space="preserve">The IMPs should be continued whenever possible.  </w:t>
      </w:r>
    </w:p>
    <w:p w14:paraId="50CC7E62" w14:textId="77777777" w:rsidR="000B3C5C" w:rsidRDefault="00ED192D">
      <w:pPr>
        <w:ind w:left="-3" w:right="14"/>
      </w:pPr>
      <w:r>
        <w:t xml:space="preserve">In case the IMP is stopped, it should be determined whether the stop can be made temporarily; permanent IMP discontinuation before disease progression should be a last resort. Any IMP discontinuation must be fully documented in the electronic case report form (eCRF). In any case, the patient should remain in the study until the documentation of progressive disease. </w:t>
      </w:r>
    </w:p>
    <w:p w14:paraId="501968C4" w14:textId="77777777" w:rsidR="000B3C5C" w:rsidRDefault="00ED192D">
      <w:pPr>
        <w:ind w:left="-3" w:right="14"/>
      </w:pPr>
      <w:r>
        <w:t xml:space="preserve">Pregnancy will lead to definitive treatment discontinuation in all cases. </w:t>
      </w:r>
    </w:p>
    <w:p w14:paraId="79D50802" w14:textId="77777777" w:rsidR="000B3C5C" w:rsidRDefault="00ED192D">
      <w:pPr>
        <w:spacing w:after="132"/>
        <w:ind w:left="-3" w:right="14"/>
      </w:pPr>
      <w:r>
        <w:t xml:space="preserve">Treatment with the IMPs or the last IMP should be discontinued in any of the following cases: </w:t>
      </w:r>
    </w:p>
    <w:p w14:paraId="7CA128A3" w14:textId="77777777" w:rsidR="000B3C5C" w:rsidRDefault="00ED192D">
      <w:pPr>
        <w:ind w:left="720" w:right="14" w:hanging="358"/>
      </w:pPr>
      <w:r>
        <w:rPr>
          <w:rFonts w:ascii="Segoe UI Symbol" w:eastAsia="Segoe UI Symbol" w:hAnsi="Segoe UI Symbol" w:cs="Segoe UI Symbol"/>
        </w:rPr>
        <w:t>•</w:t>
      </w:r>
      <w:r>
        <w:rPr>
          <w:rFonts w:ascii="Arial" w:eastAsia="Arial" w:hAnsi="Arial" w:cs="Arial"/>
        </w:rPr>
        <w:t xml:space="preserve"> </w:t>
      </w:r>
      <w:r>
        <w:t xml:space="preserve">At the participant’s request, at any time and irrespective of the reason (participant’s decision), or at the request of their legally authorized representative without any effect on their care. </w:t>
      </w:r>
    </w:p>
    <w:p w14:paraId="4DA0F56B" w14:textId="77777777" w:rsidR="000B3C5C" w:rsidRDefault="00ED192D">
      <w:pPr>
        <w:ind w:left="-3" w:right="14"/>
      </w:pPr>
      <w:r>
        <w:t xml:space="preserve">“Legally authorized representative” is considered to be an individual or judicial or other body authorized under applicable law to consent on behalf of a prospective patient to the patient’s participation in the procedure(s) involved in the research.  </w:t>
      </w:r>
    </w:p>
    <w:p w14:paraId="32F3DB9E" w14:textId="77777777" w:rsidR="000B3C5C" w:rsidRDefault="00ED192D">
      <w:pPr>
        <w:ind w:left="-3" w:right="14"/>
      </w:pPr>
      <w:r>
        <w:t xml:space="preserve">Participant’s decision for treatment should be distinguished from participant’s decision for follow-up visits and from participant’s decision for non-participant contact follow-up, eg, medical records check. The value of all their study data collected during their continued involvement will be emphasized as important to the public health value of the study.  </w:t>
      </w:r>
    </w:p>
    <w:p w14:paraId="503D1CC1" w14:textId="77777777" w:rsidR="000B3C5C" w:rsidRDefault="00ED192D">
      <w:pPr>
        <w:ind w:left="-3" w:right="14"/>
      </w:pPr>
      <w:r>
        <w:t xml:space="preserve">Participants who withdraw should be explicitly asked about the contribution of possible AEs to their decision to withdraw consent, and any AE information elicited should be documented. </w:t>
      </w:r>
    </w:p>
    <w:p w14:paraId="53850894" w14:textId="77777777" w:rsidR="000B3C5C" w:rsidRDefault="00ED192D">
      <w:pPr>
        <w:spacing w:after="135"/>
        <w:ind w:left="-3" w:right="14"/>
      </w:pPr>
      <w:r>
        <w:t xml:space="preserve">Preferably the participant should withdraw consent in writing and, if the participant or the participant’s representative refuses or is physically unavailable, the site should document any case of participant’s decision. </w:t>
      </w:r>
    </w:p>
    <w:p w14:paraId="31A70842" w14:textId="77777777" w:rsidR="000B3C5C" w:rsidRDefault="00ED192D">
      <w:pPr>
        <w:numPr>
          <w:ilvl w:val="0"/>
          <w:numId w:val="34"/>
        </w:numPr>
        <w:spacing w:after="139"/>
        <w:ind w:right="14" w:hanging="358"/>
      </w:pPr>
      <w:r>
        <w:t xml:space="preserve">If, in the Investigator’s opinion, continuation of the study treatment would be detrimental to the participant’s well-being, such as: </w:t>
      </w:r>
    </w:p>
    <w:p w14:paraId="6FF4946E" w14:textId="77777777" w:rsidR="000B3C5C" w:rsidRDefault="00ED192D">
      <w:pPr>
        <w:numPr>
          <w:ilvl w:val="1"/>
          <w:numId w:val="34"/>
        </w:numPr>
        <w:spacing w:after="142"/>
        <w:ind w:right="14" w:hanging="362"/>
      </w:pPr>
      <w:r>
        <w:t xml:space="preserve">Confirmation of disease progression, </w:t>
      </w:r>
    </w:p>
    <w:p w14:paraId="14EF329B" w14:textId="77777777" w:rsidR="000B3C5C" w:rsidRDefault="00ED192D">
      <w:pPr>
        <w:numPr>
          <w:ilvl w:val="1"/>
          <w:numId w:val="34"/>
        </w:numPr>
        <w:spacing w:after="142"/>
        <w:ind w:right="14" w:hanging="362"/>
      </w:pPr>
      <w:r>
        <w:t xml:space="preserve">Unacceptable AE, </w:t>
      </w:r>
    </w:p>
    <w:p w14:paraId="37751457" w14:textId="77777777" w:rsidR="000B3C5C" w:rsidRDefault="00ED192D">
      <w:pPr>
        <w:numPr>
          <w:ilvl w:val="1"/>
          <w:numId w:val="34"/>
        </w:numPr>
        <w:spacing w:after="142"/>
        <w:ind w:right="14" w:hanging="362"/>
      </w:pPr>
      <w:r>
        <w:t xml:space="preserve">Poor compliance to the study protocol, </w:t>
      </w:r>
    </w:p>
    <w:p w14:paraId="219A11A4" w14:textId="77777777" w:rsidR="000B3C5C" w:rsidRDefault="00ED192D">
      <w:pPr>
        <w:numPr>
          <w:ilvl w:val="1"/>
          <w:numId w:val="34"/>
        </w:numPr>
        <w:ind w:right="14" w:hanging="362"/>
      </w:pPr>
      <w:r>
        <w:t xml:space="preserve">Any other reason such as intercurrent illness that prevents further administration of study treatment (will be specified). </w:t>
      </w:r>
    </w:p>
    <w:p w14:paraId="2EA397B9" w14:textId="77777777" w:rsidR="000B3C5C" w:rsidRDefault="00ED192D">
      <w:pPr>
        <w:numPr>
          <w:ilvl w:val="0"/>
          <w:numId w:val="34"/>
        </w:numPr>
        <w:spacing w:after="88"/>
        <w:ind w:right="14" w:hanging="358"/>
      </w:pPr>
      <w:r>
        <w:t xml:space="preserve">Participant is lost to follow-up. </w:t>
      </w:r>
    </w:p>
    <w:p w14:paraId="55005133" w14:textId="77777777" w:rsidR="000B3C5C" w:rsidRDefault="00ED192D">
      <w:pPr>
        <w:numPr>
          <w:ilvl w:val="0"/>
          <w:numId w:val="34"/>
        </w:numPr>
        <w:spacing w:after="183"/>
        <w:ind w:right="14" w:hanging="358"/>
      </w:pPr>
      <w:r>
        <w:t xml:space="preserve">Completion of the 2 year treatment period. </w:t>
      </w:r>
    </w:p>
    <w:p w14:paraId="0837E5D3" w14:textId="77777777" w:rsidR="000B3C5C" w:rsidRDefault="00ED192D">
      <w:pPr>
        <w:ind w:left="-3" w:right="14"/>
      </w:pPr>
      <w:r>
        <w:t xml:space="preserve">See the SoA for data to be collected at the time of intervention discontinuation and follow-up and for any further evaluations that need to be completed. </w:t>
      </w:r>
    </w:p>
    <w:p w14:paraId="63789063" w14:textId="77777777" w:rsidR="000B3C5C" w:rsidRDefault="00ED192D">
      <w:pPr>
        <w:pStyle w:val="Heading2"/>
        <w:spacing w:after="216" w:line="259" w:lineRule="auto"/>
        <w:ind w:left="-5"/>
      </w:pPr>
      <w:r>
        <w:rPr>
          <w:u w:val="single" w:color="000000"/>
        </w:rPr>
        <w:t>Handling of participants after permanent intervention discontinuation</w:t>
      </w:r>
      <w:r>
        <w:t xml:space="preserve"> </w:t>
      </w:r>
    </w:p>
    <w:p w14:paraId="234823C6" w14:textId="77777777" w:rsidR="000B3C5C" w:rsidRDefault="00ED192D">
      <w:pPr>
        <w:ind w:left="-3" w:right="14"/>
      </w:pPr>
      <w:r>
        <w:t xml:space="preserve">All permanent treatment discontinuation must be recorded by the Investigator in the appropriate screen of eCRF when considered as confirmed. After study treatment is discontinued, participants should complete a visit 30 days after the last administration of the IMP or before administration of further anti-cancer therapy, whichever is earlier as described in the Study reference manual. </w:t>
      </w:r>
    </w:p>
    <w:p w14:paraId="2191156F" w14:textId="77777777" w:rsidR="000B3C5C" w:rsidRDefault="00ED192D">
      <w:pPr>
        <w:spacing w:after="472"/>
        <w:ind w:left="-3" w:right="14"/>
      </w:pPr>
      <w:r>
        <w:t xml:space="preserve">Participants who have been withdrawn from the study treatment cannot be re-entered into the study. Participants will be followed-up according to the study procedures specified in this protocol up to the scheduled date of study completion, or up to recovery or stabilization of any AE to be followed-up as specified in this protocol, whichever comes last. </w:t>
      </w:r>
    </w:p>
    <w:p w14:paraId="55F00722" w14:textId="77777777" w:rsidR="000B3C5C" w:rsidRDefault="00ED192D">
      <w:pPr>
        <w:pStyle w:val="Heading3"/>
        <w:tabs>
          <w:tab w:val="center" w:pos="4285"/>
        </w:tabs>
        <w:ind w:left="-15" w:firstLine="0"/>
      </w:pPr>
      <w:r>
        <w:t xml:space="preserve">7.2 </w:t>
      </w:r>
      <w:r>
        <w:tab/>
        <w:t xml:space="preserve">PARTICIPANT DISCONTINUATION/WITHDRAWAL FROM THE STUDY  </w:t>
      </w:r>
    </w:p>
    <w:p w14:paraId="744E8BF3" w14:textId="77777777" w:rsidR="000B3C5C" w:rsidRDefault="00ED192D">
      <w:pPr>
        <w:ind w:left="-3" w:right="14"/>
      </w:pPr>
      <w:r>
        <w:t xml:space="preserve">A participant may withdraw from the study at any time at his/her own request, or may be withdrawn at any time at the discretion of the Investigator for safety, behavioral, compliance, or administrative reasons. </w:t>
      </w:r>
    </w:p>
    <w:p w14:paraId="045BD900" w14:textId="77777777" w:rsidR="000B3C5C" w:rsidRDefault="00ED192D">
      <w:pPr>
        <w:ind w:left="-3" w:right="14"/>
      </w:pPr>
      <w:r>
        <w:t xml:space="preserve">If the participant withdraws consent for disclosure of future information, the Sponsor may retain and continue to use any data collected before such a withdrawal of consent. </w:t>
      </w:r>
    </w:p>
    <w:p w14:paraId="52A081E2" w14:textId="77777777" w:rsidR="000B3C5C" w:rsidRDefault="00ED192D">
      <w:pPr>
        <w:ind w:left="-3" w:right="14"/>
      </w:pPr>
      <w:r>
        <w:t xml:space="preserve">If a participant withdraws from the study, he/she may request destruction of any samples taken and not tested, and the Investigator must document this in the site study records. </w:t>
      </w:r>
    </w:p>
    <w:p w14:paraId="72A38D5F" w14:textId="77777777" w:rsidR="000B3C5C" w:rsidRDefault="00ED192D">
      <w:pPr>
        <w:ind w:left="-3" w:right="14"/>
      </w:pPr>
      <w:r>
        <w:t xml:space="preserve">See SoA for data to be collected at the time of study discontinuation and follow-up and for any further evaluations that need to be completed. </w:t>
      </w:r>
    </w:p>
    <w:p w14:paraId="0773604A" w14:textId="77777777" w:rsidR="000B3C5C" w:rsidRDefault="00ED192D">
      <w:pPr>
        <w:ind w:left="-3" w:right="14"/>
      </w:pPr>
      <w:r>
        <w:t xml:space="preserve">If participants no longer wish to take the IMP(s), they will be encouraged to remain in the study. </w:t>
      </w:r>
    </w:p>
    <w:p w14:paraId="7041A436" w14:textId="77777777" w:rsidR="000B3C5C" w:rsidRDefault="00ED192D">
      <w:pPr>
        <w:ind w:left="-3" w:right="14"/>
      </w:pPr>
      <w:r>
        <w:t xml:space="preserve">The Investigators should discuss with them key visits to attend. The value of all their study data collected during their continued involvement will be emphasized as important to the public health value of the study. </w:t>
      </w:r>
    </w:p>
    <w:p w14:paraId="2145A7B3" w14:textId="77777777" w:rsidR="000B3C5C" w:rsidRDefault="00ED192D">
      <w:pPr>
        <w:ind w:left="-3" w:right="14"/>
      </w:pPr>
      <w:r>
        <w:t xml:space="preserve">Participants who withdraw from the study intervention should be explicitly asked about the contribution of possible AEs to their decision, and any AE information elicited must be documented. </w:t>
      </w:r>
    </w:p>
    <w:p w14:paraId="083F5014" w14:textId="77777777" w:rsidR="000B3C5C" w:rsidRDefault="00ED192D">
      <w:pPr>
        <w:ind w:left="-3" w:right="14"/>
      </w:pPr>
      <w:r>
        <w:t xml:space="preserve">All study withdrawals should be recorded by the Investigator in the appropriate screens of the eCRF and in the participant’s medical records. In the medical record, at least the date of the withdrawal and the reason should be documented. </w:t>
      </w:r>
    </w:p>
    <w:p w14:paraId="7FEFBEC4" w14:textId="77777777" w:rsidR="000B3C5C" w:rsidRDefault="00ED192D">
      <w:pPr>
        <w:ind w:left="-3" w:right="14"/>
      </w:pPr>
      <w:r>
        <w:t xml:space="preserve">In addition, a participant may withdraw his/her consent to stop participating in the study. Withdrawal of consent for intervention should be distinguished from withdrawal of consent for follow-up visits and from withdrawal of consent for non-participant contact follow-up, eg, medical record checks. The site should document any case of withdrawal of consent. </w:t>
      </w:r>
    </w:p>
    <w:p w14:paraId="2B766B8D" w14:textId="77777777" w:rsidR="000B3C5C" w:rsidRDefault="00ED192D">
      <w:pPr>
        <w:spacing w:after="472"/>
        <w:ind w:left="-3" w:right="14"/>
      </w:pPr>
      <w:r>
        <w:t xml:space="preserve">Participants who have withdrawn from the study cannot be treated in the study. Their inclusion and intervention numbers must not be reused.  </w:t>
      </w:r>
    </w:p>
    <w:p w14:paraId="7908CDEC" w14:textId="77777777" w:rsidR="000B3C5C" w:rsidRDefault="00ED192D">
      <w:pPr>
        <w:pStyle w:val="Heading3"/>
        <w:tabs>
          <w:tab w:val="center" w:pos="1847"/>
        </w:tabs>
        <w:ind w:left="-15" w:firstLine="0"/>
      </w:pPr>
      <w:r>
        <w:t xml:space="preserve">7.3 </w:t>
      </w:r>
      <w:r>
        <w:tab/>
        <w:t xml:space="preserve">LOST TO FOLLOW UP  </w:t>
      </w:r>
    </w:p>
    <w:p w14:paraId="61D0BE6F" w14:textId="77777777" w:rsidR="000B3C5C" w:rsidRDefault="00ED192D">
      <w:pPr>
        <w:ind w:left="-3" w:right="14"/>
      </w:pPr>
      <w:r>
        <w:t xml:space="preserve">A participant will be considered lost to follow-up if he or she repeatedly fails to return for scheduled visits and is unable to be contacted by the study site.  </w:t>
      </w:r>
    </w:p>
    <w:p w14:paraId="20269127" w14:textId="77777777" w:rsidR="000B3C5C" w:rsidRDefault="00ED192D">
      <w:pPr>
        <w:spacing w:after="135"/>
        <w:ind w:left="-3" w:right="14"/>
      </w:pPr>
      <w:r>
        <w:t xml:space="preserve">The following actions must be taken if a participant fails to return to the clinic for a required study visit: </w:t>
      </w:r>
    </w:p>
    <w:p w14:paraId="029B3D12" w14:textId="77777777" w:rsidR="000B3C5C" w:rsidRDefault="00ED192D">
      <w:pPr>
        <w:numPr>
          <w:ilvl w:val="0"/>
          <w:numId w:val="35"/>
        </w:numPr>
        <w:spacing w:after="135"/>
        <w:ind w:right="14" w:hanging="358"/>
      </w:pPr>
      <w:r>
        <w:t xml:space="preserve">The site must attempt to contact the participant and reschedule the missed visit as soon as possible and counsel the participant on the importance of maintaining the assigned visit schedule and ascertain whether or not the participant wishes to and/or should continue in the study. </w:t>
      </w:r>
    </w:p>
    <w:p w14:paraId="18827BFC" w14:textId="77777777" w:rsidR="000B3C5C" w:rsidRDefault="00ED192D">
      <w:pPr>
        <w:numPr>
          <w:ilvl w:val="0"/>
          <w:numId w:val="35"/>
        </w:numPr>
        <w:spacing w:after="135"/>
        <w:ind w:right="14" w:hanging="358"/>
      </w:pPr>
      <w:r>
        <w:t xml:space="preserve">Before a participant is deemed lost to follow-up, the Investigator or designee must make every effort to regain contact with the participant (where possible, 3 telephone calls and, if necessary, a certified letter to the participant’s last known mailing address or local equivalent methods). These contact attempts should be documented in the participant’s medical record. </w:t>
      </w:r>
    </w:p>
    <w:p w14:paraId="60DB3EF9" w14:textId="77777777" w:rsidR="000B3C5C" w:rsidRDefault="00ED192D">
      <w:pPr>
        <w:numPr>
          <w:ilvl w:val="0"/>
          <w:numId w:val="35"/>
        </w:numPr>
        <w:spacing w:after="472"/>
        <w:ind w:right="14" w:hanging="358"/>
      </w:pPr>
      <w:r>
        <w:t xml:space="preserve">Should the participant continue to be unreachable, he/she will be considered to have withdrawn from the study.  </w:t>
      </w:r>
    </w:p>
    <w:p w14:paraId="560BD1CA" w14:textId="77777777" w:rsidR="000B3C5C" w:rsidRDefault="00ED192D">
      <w:pPr>
        <w:pStyle w:val="Heading3"/>
        <w:tabs>
          <w:tab w:val="center" w:pos="2542"/>
        </w:tabs>
        <w:ind w:left="-15" w:firstLine="0"/>
      </w:pPr>
      <w:r>
        <w:t xml:space="preserve">7.4 </w:t>
      </w:r>
      <w:r>
        <w:tab/>
        <w:t xml:space="preserve">REPLACEMENT OF PARTICIPANTS  </w:t>
      </w:r>
    </w:p>
    <w:p w14:paraId="1E7C0B7A" w14:textId="77777777" w:rsidR="000B3C5C" w:rsidRDefault="00ED192D">
      <w:pPr>
        <w:ind w:left="-3" w:right="14"/>
      </w:pPr>
      <w:r>
        <w:t xml:space="preserve">During the Phase 1 part of the study, a participant may be considered not evaluable for DLT and may be replaced at the same dose level as described in </w:t>
      </w:r>
      <w:r>
        <w:rPr>
          <w:color w:val="0000FF"/>
        </w:rPr>
        <w:t>Section</w:t>
      </w:r>
      <w:r>
        <w:t xml:space="preserve"> </w:t>
      </w:r>
      <w:r>
        <w:rPr>
          <w:color w:val="0000FF"/>
        </w:rPr>
        <w:t>4.1.1</w:t>
      </w:r>
      <w:r>
        <w:t xml:space="preserve">. </w:t>
      </w:r>
    </w:p>
    <w:p w14:paraId="17D0F9AD" w14:textId="77777777" w:rsidR="000B3C5C" w:rsidRDefault="00ED192D">
      <w:pPr>
        <w:ind w:left="-3" w:right="14"/>
      </w:pPr>
      <w:r>
        <w:t xml:space="preserve">Participants treated in the Phase 2 part of the study who are withdrawn from study treatment will not be replaced. </w:t>
      </w:r>
    </w:p>
    <w:p w14:paraId="470717B9" w14:textId="77777777" w:rsidR="000B3C5C" w:rsidRDefault="00ED192D">
      <w:pPr>
        <w:pStyle w:val="Heading1"/>
        <w:tabs>
          <w:tab w:val="center" w:pos="3620"/>
        </w:tabs>
        <w:ind w:left="-13" w:firstLine="0"/>
      </w:pPr>
      <w:r>
        <w:t xml:space="preserve">8 </w:t>
      </w:r>
      <w:r>
        <w:tab/>
        <w:t xml:space="preserve">STUDY ASSESSMENTS AND PROCEDURES  </w:t>
      </w:r>
    </w:p>
    <w:p w14:paraId="7625DEAF" w14:textId="77777777" w:rsidR="000B3C5C" w:rsidRDefault="00ED192D">
      <w:pPr>
        <w:spacing w:after="135"/>
        <w:ind w:left="-3" w:right="14"/>
      </w:pPr>
      <w:r>
        <w:t xml:space="preserve">Study procedures and their timing are summarized in the SoA. Protocol waivers or exemptions are not allowed. </w:t>
      </w:r>
    </w:p>
    <w:p w14:paraId="25DCCE8C" w14:textId="77777777" w:rsidR="000B3C5C" w:rsidRDefault="00ED192D">
      <w:pPr>
        <w:numPr>
          <w:ilvl w:val="0"/>
          <w:numId w:val="36"/>
        </w:numPr>
        <w:spacing w:after="146" w:line="239" w:lineRule="auto"/>
        <w:ind w:right="14" w:hanging="358"/>
      </w:pPr>
      <w:r>
        <w:t xml:space="preserve">Immediate safety concerns should be discussed with the Sponsor immediately upon occurrence or awareness to determine if the participant should continue or discontinue study intervention. </w:t>
      </w:r>
    </w:p>
    <w:p w14:paraId="22EC84C9" w14:textId="77777777" w:rsidR="000B3C5C" w:rsidRDefault="00ED192D">
      <w:pPr>
        <w:numPr>
          <w:ilvl w:val="0"/>
          <w:numId w:val="36"/>
        </w:numPr>
        <w:spacing w:after="135"/>
        <w:ind w:right="14" w:hanging="358"/>
      </w:pPr>
      <w:r>
        <w:t xml:space="preserve">Adherence to the study design requirements, including those specified in the SoA, is essential and required for study conduct. </w:t>
      </w:r>
    </w:p>
    <w:p w14:paraId="66AEE823" w14:textId="77777777" w:rsidR="000B3C5C" w:rsidRDefault="00ED192D">
      <w:pPr>
        <w:numPr>
          <w:ilvl w:val="0"/>
          <w:numId w:val="36"/>
        </w:numPr>
        <w:spacing w:after="135"/>
        <w:ind w:right="14" w:hanging="358"/>
      </w:pPr>
      <w:r>
        <w:t xml:space="preserve">All screening evaluations must be completed and reviewed to confirm that potential participants meet all eligibility criteria. The Investigator will maintain a screening log to record details of all participants screened and to confirm eligibility or record reasons for screening failure, as applicable.  </w:t>
      </w:r>
    </w:p>
    <w:p w14:paraId="5F0C6DBD" w14:textId="77777777" w:rsidR="000B3C5C" w:rsidRDefault="00ED192D">
      <w:pPr>
        <w:numPr>
          <w:ilvl w:val="0"/>
          <w:numId w:val="36"/>
        </w:numPr>
        <w:spacing w:after="472"/>
        <w:ind w:right="14" w:hanging="358"/>
      </w:pPr>
      <w:r>
        <w:t xml:space="preserve">Procedures conducted as part of the participant’s routine clinical management (eg, blood count) and obtained before signing of the ICF may be utilized for screening or baseline purposes provided the procedures met the protocol-specified criteria and were performed within the time frame defined in the SoA. </w:t>
      </w:r>
    </w:p>
    <w:p w14:paraId="7ADAE27E" w14:textId="77777777" w:rsidR="000B3C5C" w:rsidRDefault="00ED192D">
      <w:pPr>
        <w:pStyle w:val="Heading2"/>
        <w:tabs>
          <w:tab w:val="center" w:pos="2089"/>
        </w:tabs>
        <w:spacing w:after="249"/>
        <w:ind w:left="-15" w:firstLine="0"/>
      </w:pPr>
      <w:r>
        <w:rPr>
          <w:rFonts w:ascii="Arial" w:eastAsia="Arial" w:hAnsi="Arial" w:cs="Arial"/>
          <w:sz w:val="22"/>
        </w:rPr>
        <w:t xml:space="preserve">8.1 </w:t>
      </w:r>
      <w:r>
        <w:rPr>
          <w:rFonts w:ascii="Arial" w:eastAsia="Arial" w:hAnsi="Arial" w:cs="Arial"/>
          <w:sz w:val="22"/>
        </w:rPr>
        <w:tab/>
        <w:t xml:space="preserve">EFFICACY ASSESSMENTS  </w:t>
      </w:r>
    </w:p>
    <w:p w14:paraId="3A2FFF20" w14:textId="77777777" w:rsidR="000B3C5C" w:rsidRDefault="00ED192D">
      <w:pPr>
        <w:spacing w:after="151"/>
        <w:ind w:left="-3" w:right="213"/>
      </w:pPr>
      <w:r>
        <w:t xml:space="preserve">The primary and secondary efficacy endpoint will be assessed by RECIST 1.1  (Appendix 11: </w:t>
      </w:r>
      <w:r>
        <w:rPr>
          <w:color w:val="0000FF"/>
        </w:rPr>
        <w:t>Section</w:t>
      </w:r>
      <w:r>
        <w:t xml:space="preserve"> </w:t>
      </w:r>
      <w:r>
        <w:rPr>
          <w:color w:val="0000FF"/>
        </w:rPr>
        <w:t>10.11</w:t>
      </w:r>
      <w:r>
        <w:t xml:space="preserve">) criteria for participants with HCC, SCCHN and EOC. All participants treated must have at least one measurable intact lesion for inclusion (see </w:t>
      </w:r>
      <w:r>
        <w:rPr>
          <w:color w:val="0000FF"/>
        </w:rPr>
        <w:t>Section</w:t>
      </w:r>
      <w:r>
        <w:t xml:space="preserve"> </w:t>
      </w:r>
      <w:r>
        <w:rPr>
          <w:color w:val="0000FF"/>
        </w:rPr>
        <w:t>5.1</w:t>
      </w:r>
      <w:r>
        <w:t xml:space="preserve">, inclusion criterion </w:t>
      </w:r>
      <w:r>
        <w:rPr>
          <w:color w:val="0000FF"/>
        </w:rPr>
        <w:t>I 04</w:t>
      </w:r>
      <w:r>
        <w:t xml:space="preserve">).  </w:t>
      </w:r>
    </w:p>
    <w:p w14:paraId="5E5B3222" w14:textId="77777777" w:rsidR="000B3C5C" w:rsidRDefault="00ED192D">
      <w:pPr>
        <w:spacing w:after="148"/>
        <w:ind w:left="-3" w:right="1515"/>
      </w:pPr>
      <w:r>
        <w:t xml:space="preserve">For participants with GBM, efficacy will be assessed by RANO criteria  (Appendix 15: </w:t>
      </w:r>
      <w:r>
        <w:rPr>
          <w:color w:val="0000FF"/>
        </w:rPr>
        <w:t>Section</w:t>
      </w:r>
      <w:r>
        <w:t xml:space="preserve"> </w:t>
      </w:r>
      <w:r>
        <w:rPr>
          <w:color w:val="0000FF"/>
        </w:rPr>
        <w:t>10.15</w:t>
      </w:r>
      <w:r>
        <w:t xml:space="preserve">). </w:t>
      </w:r>
    </w:p>
    <w:p w14:paraId="6B9F3570" w14:textId="77777777" w:rsidR="000B3C5C" w:rsidRDefault="00ED192D">
      <w:pPr>
        <w:spacing w:after="151"/>
        <w:ind w:left="-3" w:right="14"/>
      </w:pPr>
      <w:r>
        <w:t xml:space="preserve">Tumor assessment will be performed at fixed intervals as described in SoA, and the assessment window is not impacted by dose delay or dose omission. </w:t>
      </w:r>
    </w:p>
    <w:p w14:paraId="55D209E4" w14:textId="77777777" w:rsidR="000B3C5C" w:rsidRDefault="00ED192D">
      <w:pPr>
        <w:spacing w:after="151"/>
        <w:ind w:left="-3" w:right="14"/>
      </w:pPr>
      <w:r>
        <w:t>All tumor assessment data should be recorded to related eCRF pages based on RECIST 1.1 criteria (Appendix 11;</w:t>
      </w:r>
      <w:r>
        <w:rPr>
          <w:color w:val="0000FF"/>
        </w:rPr>
        <w:t>Section</w:t>
      </w:r>
      <w:r>
        <w:t xml:space="preserve"> </w:t>
      </w:r>
      <w:r>
        <w:rPr>
          <w:color w:val="0000FF"/>
        </w:rPr>
        <w:t>10.11</w:t>
      </w:r>
      <w:r>
        <w:t xml:space="preserve">). As a requirement of RECIST 1.1 criteria, a partial or complete response must be confirmed on a second examination done at least 4 weeks apart, in order to be documented as a confirmed response to therapy. Based on RECIST for immunotherapies (iRECIST [Appendix 16: Appendix 16: </w:t>
      </w:r>
      <w:r>
        <w:rPr>
          <w:color w:val="0000FF"/>
        </w:rPr>
        <w:t>Section</w:t>
      </w:r>
      <w:r>
        <w:t xml:space="preserve"> </w:t>
      </w:r>
      <w:r>
        <w:rPr>
          <w:color w:val="0000FF"/>
        </w:rPr>
        <w:t>10.16</w:t>
      </w:r>
      <w:r>
        <w:t xml:space="preserve">]), progressive disease should also be confirmed on a second examination done at least 4 weeks apart to exclude pseudo progression.  </w:t>
      </w:r>
    </w:p>
    <w:p w14:paraId="75D24192" w14:textId="77777777" w:rsidR="000B3C5C" w:rsidRDefault="00ED192D">
      <w:pPr>
        <w:spacing w:after="148"/>
        <w:ind w:left="-3" w:right="14"/>
      </w:pPr>
      <w:r>
        <w:t xml:space="preserve">Exploratory efficacy endpoints will be assessed by iRECIST (Appendix 16: </w:t>
      </w:r>
      <w:r>
        <w:rPr>
          <w:color w:val="0000FF"/>
        </w:rPr>
        <w:t>Section</w:t>
      </w:r>
      <w:r>
        <w:t xml:space="preserve"> </w:t>
      </w:r>
      <w:r>
        <w:rPr>
          <w:color w:val="0000FF"/>
        </w:rPr>
        <w:t>10.16</w:t>
      </w:r>
      <w:r>
        <w:t xml:space="preserve">), for participants with HCC, SCCHN or EOC or iRANO (Appendix 18: </w:t>
      </w:r>
      <w:r>
        <w:rPr>
          <w:color w:val="0000FF"/>
        </w:rPr>
        <w:t>Section</w:t>
      </w:r>
      <w:r>
        <w:t xml:space="preserve"> </w:t>
      </w:r>
      <w:r>
        <w:rPr>
          <w:color w:val="0000FF"/>
        </w:rPr>
        <w:t>10.18</w:t>
      </w:r>
      <w:r>
        <w:t xml:space="preserve">), for participants with GBM and some biomarkers.  </w:t>
      </w:r>
    </w:p>
    <w:p w14:paraId="1E2A84C3" w14:textId="77777777" w:rsidR="000B3C5C" w:rsidRDefault="00ED192D">
      <w:pPr>
        <w:ind w:left="-3" w:right="14"/>
      </w:pPr>
      <w:r>
        <w:t xml:space="preserve">Imaging should be available for a central review upon Sponsor’s request. </w:t>
      </w:r>
    </w:p>
    <w:p w14:paraId="6033F6F1" w14:textId="77777777" w:rsidR="000B3C5C" w:rsidRDefault="00ED192D">
      <w:pPr>
        <w:pStyle w:val="Heading2"/>
        <w:tabs>
          <w:tab w:val="center" w:pos="1975"/>
        </w:tabs>
        <w:spacing w:after="249"/>
        <w:ind w:left="-15" w:firstLine="0"/>
      </w:pPr>
      <w:r>
        <w:rPr>
          <w:rFonts w:ascii="Arial" w:eastAsia="Arial" w:hAnsi="Arial" w:cs="Arial"/>
          <w:sz w:val="22"/>
        </w:rPr>
        <w:t xml:space="preserve">8.2 </w:t>
      </w:r>
      <w:r>
        <w:rPr>
          <w:rFonts w:ascii="Arial" w:eastAsia="Arial" w:hAnsi="Arial" w:cs="Arial"/>
          <w:sz w:val="22"/>
        </w:rPr>
        <w:tab/>
        <w:t xml:space="preserve">SAFETY ASSESSMENTS  </w:t>
      </w:r>
    </w:p>
    <w:p w14:paraId="44956E0B" w14:textId="77777777" w:rsidR="000B3C5C" w:rsidRDefault="00ED192D">
      <w:pPr>
        <w:spacing w:after="330"/>
        <w:ind w:left="-3" w:right="14"/>
      </w:pPr>
      <w:r>
        <w:t xml:space="preserve">Planned time points for all safety assessments are provided in the SoA. </w:t>
      </w:r>
    </w:p>
    <w:p w14:paraId="33AB6474" w14:textId="77777777" w:rsidR="000B3C5C" w:rsidRDefault="00ED192D">
      <w:pPr>
        <w:pStyle w:val="Heading3"/>
        <w:spacing w:after="152"/>
        <w:ind w:left="-5"/>
      </w:pPr>
      <w:r>
        <w:t xml:space="preserve">8.2.1 Physical examinations  </w:t>
      </w:r>
    </w:p>
    <w:p w14:paraId="5139826B" w14:textId="77777777" w:rsidR="000B3C5C" w:rsidRDefault="00ED192D">
      <w:pPr>
        <w:numPr>
          <w:ilvl w:val="0"/>
          <w:numId w:val="37"/>
        </w:numPr>
        <w:spacing w:after="135"/>
        <w:ind w:right="14" w:hanging="358"/>
      </w:pPr>
      <w:r>
        <w:t xml:space="preserve">A complete physical examination will include, at a minimum, assessments of the major body systems. Height only at baseline and weight will also be measured and recorded. </w:t>
      </w:r>
    </w:p>
    <w:p w14:paraId="264D1944" w14:textId="77777777" w:rsidR="000B3C5C" w:rsidRDefault="00ED192D">
      <w:pPr>
        <w:numPr>
          <w:ilvl w:val="0"/>
          <w:numId w:val="37"/>
        </w:numPr>
        <w:spacing w:after="135"/>
        <w:ind w:right="14" w:hanging="358"/>
      </w:pPr>
      <w:r>
        <w:t xml:space="preserve">Performance status as measured by the ECOG (for HCC, SCCHN, and EOC) or Karnofsky scale (for GBM). </w:t>
      </w:r>
    </w:p>
    <w:p w14:paraId="76CF09BC" w14:textId="77777777" w:rsidR="000B3C5C" w:rsidRDefault="00ED192D">
      <w:pPr>
        <w:numPr>
          <w:ilvl w:val="0"/>
          <w:numId w:val="37"/>
        </w:numPr>
        <w:spacing w:after="89"/>
        <w:ind w:right="14" w:hanging="358"/>
      </w:pPr>
      <w:r>
        <w:t xml:space="preserve">Investigators should pay special attention to clinical signs related to previous illnesses. </w:t>
      </w:r>
    </w:p>
    <w:p w14:paraId="7FB56ECC" w14:textId="77777777" w:rsidR="000B3C5C" w:rsidRDefault="00ED192D">
      <w:pPr>
        <w:numPr>
          <w:ilvl w:val="0"/>
          <w:numId w:val="37"/>
        </w:numPr>
        <w:spacing w:after="333"/>
        <w:ind w:right="14" w:hanging="358"/>
      </w:pPr>
      <w:r>
        <w:t xml:space="preserve">Any new finding or worsening of previous finding during treatment period should be reported as a new AE. </w:t>
      </w:r>
    </w:p>
    <w:p w14:paraId="6E6891E6" w14:textId="77777777" w:rsidR="000B3C5C" w:rsidRDefault="00ED192D">
      <w:pPr>
        <w:pStyle w:val="Heading3"/>
        <w:ind w:left="-5"/>
      </w:pPr>
      <w:r>
        <w:t xml:space="preserve">8.2.2 Vital signs  </w:t>
      </w:r>
    </w:p>
    <w:p w14:paraId="3CB22642" w14:textId="77777777" w:rsidR="000B3C5C" w:rsidRDefault="00ED192D">
      <w:pPr>
        <w:spacing w:after="135"/>
        <w:ind w:left="-3" w:right="14"/>
      </w:pPr>
      <w:r>
        <w:t xml:space="preserve">During treatment phase, vital signs are to be monitored just before starting infusion of the IMPs, every hour during the infusion, and at the end of infusion. Also to be performed as clinically indicated. </w:t>
      </w:r>
    </w:p>
    <w:p w14:paraId="197275A4" w14:textId="77777777" w:rsidR="000B3C5C" w:rsidRDefault="00ED192D">
      <w:pPr>
        <w:numPr>
          <w:ilvl w:val="0"/>
          <w:numId w:val="38"/>
        </w:numPr>
        <w:spacing w:after="88"/>
        <w:ind w:right="14" w:hanging="358"/>
      </w:pPr>
      <w:r>
        <w:t xml:space="preserve">Temperature, pulse rate, respiratory rate, and blood pressure will be assessed. </w:t>
      </w:r>
    </w:p>
    <w:p w14:paraId="5717C8E1" w14:textId="77777777" w:rsidR="000B3C5C" w:rsidRDefault="00ED192D">
      <w:pPr>
        <w:numPr>
          <w:ilvl w:val="0"/>
          <w:numId w:val="38"/>
        </w:numPr>
        <w:spacing w:after="135"/>
        <w:ind w:right="14" w:hanging="358"/>
      </w:pPr>
      <w:r>
        <w:t xml:space="preserve">Blood pressure and pulse measurements will be assessed with a completely automated device. Manual techniques will be used only if an automated device is not available. </w:t>
      </w:r>
    </w:p>
    <w:p w14:paraId="46823156" w14:textId="77777777" w:rsidR="000B3C5C" w:rsidRDefault="00ED192D">
      <w:pPr>
        <w:numPr>
          <w:ilvl w:val="0"/>
          <w:numId w:val="38"/>
        </w:numPr>
        <w:spacing w:after="134" w:line="249" w:lineRule="auto"/>
        <w:ind w:right="14" w:hanging="358"/>
      </w:pPr>
      <w:r>
        <w:t xml:space="preserve">Blood pressure and pulse measurements should be preceded by at least 5 minutes of rest for the participant in a quiet setting without distractions (eg, television, cell phones). </w:t>
      </w:r>
    </w:p>
    <w:p w14:paraId="0BAB82AB" w14:textId="77777777" w:rsidR="000B3C5C" w:rsidRDefault="00ED192D">
      <w:pPr>
        <w:numPr>
          <w:ilvl w:val="0"/>
          <w:numId w:val="38"/>
        </w:numPr>
        <w:spacing w:after="286"/>
        <w:ind w:right="14" w:hanging="358"/>
      </w:pPr>
      <w:r>
        <w:t xml:space="preserve">Oxygen saturation (SCCHN only). </w:t>
      </w:r>
    </w:p>
    <w:p w14:paraId="4DC0861A" w14:textId="77777777" w:rsidR="000B3C5C" w:rsidRDefault="00ED192D">
      <w:pPr>
        <w:pStyle w:val="Heading3"/>
        <w:spacing w:after="152"/>
        <w:ind w:left="-5"/>
      </w:pPr>
      <w:r>
        <w:t xml:space="preserve">8.2.3 Electrocardiograms  </w:t>
      </w:r>
    </w:p>
    <w:p w14:paraId="6DE5852F" w14:textId="77777777" w:rsidR="000B3C5C" w:rsidRDefault="00ED192D">
      <w:pPr>
        <w:spacing w:after="183"/>
        <w:ind w:left="370" w:right="14"/>
      </w:pPr>
      <w:r>
        <w:rPr>
          <w:rFonts w:ascii="Segoe UI Symbol" w:eastAsia="Segoe UI Symbol" w:hAnsi="Segoe UI Symbol" w:cs="Segoe UI Symbol"/>
        </w:rPr>
        <w:t>•</w:t>
      </w:r>
      <w:r>
        <w:rPr>
          <w:rFonts w:ascii="Arial" w:eastAsia="Arial" w:hAnsi="Arial" w:cs="Arial"/>
        </w:rPr>
        <w:t xml:space="preserve"> </w:t>
      </w:r>
      <w:r>
        <w:t xml:space="preserve">12-lead ECG will be obtained as outlined in the SoA (see </w:t>
      </w:r>
      <w:r>
        <w:rPr>
          <w:color w:val="0000FF"/>
        </w:rPr>
        <w:t>Section</w:t>
      </w:r>
      <w:r>
        <w:t xml:space="preserve"> </w:t>
      </w:r>
      <w:r>
        <w:rPr>
          <w:color w:val="0000FF"/>
        </w:rPr>
        <w:t>1.3</w:t>
      </w:r>
      <w:r>
        <w:t xml:space="preserve">). </w:t>
      </w:r>
    </w:p>
    <w:p w14:paraId="193351F0" w14:textId="77777777" w:rsidR="000B3C5C" w:rsidRDefault="00ED192D">
      <w:pPr>
        <w:spacing w:after="334"/>
        <w:ind w:left="-3" w:right="14"/>
      </w:pPr>
      <w:r>
        <w:t xml:space="preserve">Single 12-lead ECG will be obtained as outlined in the SoA (see </w:t>
      </w:r>
      <w:r>
        <w:rPr>
          <w:color w:val="0000FF"/>
        </w:rPr>
        <w:t>Section</w:t>
      </w:r>
      <w:r>
        <w:t xml:space="preserve"> </w:t>
      </w:r>
      <w:r>
        <w:rPr>
          <w:color w:val="0000FF"/>
        </w:rPr>
        <w:t>1.3</w:t>
      </w:r>
      <w:r>
        <w:t xml:space="preserve">) using an ECG machine that automatically calculates the heart rate and measures PR, QRS, QT, and QTc intervals. Clinically significant abnormalities should be reported as AE, except for at the screening assessment if the detected finding is linked to a preexisting condition. In that case, the diagnosis should be recorded in the patient’s medical history.  </w:t>
      </w:r>
    </w:p>
    <w:p w14:paraId="60DB3363" w14:textId="77777777" w:rsidR="000B3C5C" w:rsidRDefault="00ED192D">
      <w:pPr>
        <w:pStyle w:val="Heading3"/>
        <w:ind w:left="-5"/>
      </w:pPr>
      <w:r>
        <w:t xml:space="preserve">8.2.4 Clinical safety laboratory assessments  </w:t>
      </w:r>
    </w:p>
    <w:p w14:paraId="544F3694" w14:textId="77777777" w:rsidR="000B3C5C" w:rsidRDefault="00ED192D">
      <w:pPr>
        <w:spacing w:after="135"/>
        <w:ind w:left="-3" w:right="14"/>
      </w:pPr>
      <w:r>
        <w:t>See Appendix 2 (</w:t>
      </w:r>
      <w:r>
        <w:rPr>
          <w:color w:val="0000FF"/>
        </w:rPr>
        <w:t>Section</w:t>
      </w:r>
      <w:r>
        <w:t xml:space="preserve"> </w:t>
      </w:r>
      <w:r>
        <w:rPr>
          <w:color w:val="0000FF"/>
        </w:rPr>
        <w:t>10.3</w:t>
      </w:r>
      <w:r>
        <w:t xml:space="preserve">) for the list of clinical laboratory tests to be performed and to the SoA for the timing and frequency.  </w:t>
      </w:r>
    </w:p>
    <w:p w14:paraId="7DEDAEE4" w14:textId="77777777" w:rsidR="000B3C5C" w:rsidRDefault="00ED192D">
      <w:pPr>
        <w:numPr>
          <w:ilvl w:val="0"/>
          <w:numId w:val="39"/>
        </w:numPr>
        <w:ind w:right="14" w:hanging="358"/>
      </w:pPr>
      <w:r>
        <w:t xml:space="preserve">The Investigator must review the laboratory report, document this review, and record any clinically relevant changes occurring during the study in the AE section of the eCRF. The laboratory reports must be filed with the source documents. Clinically significant </w:t>
      </w:r>
    </w:p>
    <w:p w14:paraId="225B6CF2" w14:textId="77777777" w:rsidR="000B3C5C" w:rsidRDefault="00ED192D">
      <w:pPr>
        <w:spacing w:after="135"/>
        <w:ind w:left="730" w:right="14"/>
      </w:pPr>
      <w:r>
        <w:t xml:space="preserve">abnormal laboratory findings are those which are not associated with the underlying disease, unless judged by the Investigator to be more severe than expected for the participant's condition and that either lead to IMP(s) discontinuation or dose modification or fulfill a serious or AESI definition (note: remaining laboratory tests are reported in eCRF pages for Hematology, Biochemistry). </w:t>
      </w:r>
    </w:p>
    <w:p w14:paraId="286F4D04" w14:textId="77777777" w:rsidR="000B3C5C" w:rsidRDefault="00ED192D">
      <w:pPr>
        <w:numPr>
          <w:ilvl w:val="0"/>
          <w:numId w:val="39"/>
        </w:numPr>
        <w:spacing w:after="139"/>
        <w:ind w:right="14" w:hanging="358"/>
      </w:pPr>
      <w:r>
        <w:t xml:space="preserve">All laboratory tests with values considered clinically significantly abnormal during participation in the study or after the last dose of study intervention should be repeated until the values return to normal or baseline or are no longer considered clinically significant by the Investigator or Medical Monitor. </w:t>
      </w:r>
    </w:p>
    <w:p w14:paraId="50EA68C5" w14:textId="77777777" w:rsidR="000B3C5C" w:rsidRDefault="00ED192D">
      <w:pPr>
        <w:numPr>
          <w:ilvl w:val="1"/>
          <w:numId w:val="39"/>
        </w:numPr>
        <w:spacing w:after="139"/>
        <w:ind w:right="14" w:hanging="362"/>
      </w:pPr>
      <w:r>
        <w:t xml:space="preserve">If such values do not return to normal/baseline within a period of time judged reasonable by the Investigator, the etiology should be identified and the Sponsor notified. </w:t>
      </w:r>
    </w:p>
    <w:p w14:paraId="4BC230FF" w14:textId="77777777" w:rsidR="000B3C5C" w:rsidRDefault="00ED192D">
      <w:pPr>
        <w:numPr>
          <w:ilvl w:val="1"/>
          <w:numId w:val="39"/>
        </w:numPr>
        <w:spacing w:after="138"/>
        <w:ind w:right="14" w:hanging="362"/>
      </w:pPr>
      <w:r>
        <w:t>All protocol-required laboratory assessments, as defined in Appendix 2 (</w:t>
      </w:r>
      <w:r>
        <w:rPr>
          <w:color w:val="0000FF"/>
        </w:rPr>
        <w:t>Section</w:t>
      </w:r>
      <w:r>
        <w:t xml:space="preserve"> </w:t>
      </w:r>
      <w:r>
        <w:rPr>
          <w:color w:val="0000FF"/>
        </w:rPr>
        <w:t>10.2</w:t>
      </w:r>
      <w:r>
        <w:t xml:space="preserve">), must be conducted in accordance with the laboratory manual and the SoA.  </w:t>
      </w:r>
    </w:p>
    <w:p w14:paraId="73DE81E6" w14:textId="77777777" w:rsidR="000B3C5C" w:rsidRDefault="00ED192D">
      <w:pPr>
        <w:numPr>
          <w:ilvl w:val="1"/>
          <w:numId w:val="39"/>
        </w:numPr>
        <w:spacing w:after="472"/>
        <w:ind w:right="14" w:hanging="362"/>
      </w:pPr>
      <w:r>
        <w:t xml:space="preserve">If laboratory values from non-protocol specified laboratory assessments performed at the institution’s local laboratory require a change in participant management or are considered clinically significant by the Investigator (eg, SAE or AE or dose modification), then the results must be recorded in the eCRF.  </w:t>
      </w:r>
    </w:p>
    <w:p w14:paraId="3A2A3789" w14:textId="77777777" w:rsidR="000B3C5C" w:rsidRDefault="00ED192D">
      <w:pPr>
        <w:pStyle w:val="Heading2"/>
        <w:tabs>
          <w:tab w:val="center" w:pos="3508"/>
        </w:tabs>
        <w:spacing w:after="131"/>
        <w:ind w:left="-15" w:firstLine="0"/>
      </w:pPr>
      <w:r>
        <w:rPr>
          <w:rFonts w:ascii="Arial" w:eastAsia="Arial" w:hAnsi="Arial" w:cs="Arial"/>
          <w:sz w:val="22"/>
        </w:rPr>
        <w:t xml:space="preserve">8.3 </w:t>
      </w:r>
      <w:r>
        <w:rPr>
          <w:rFonts w:ascii="Arial" w:eastAsia="Arial" w:hAnsi="Arial" w:cs="Arial"/>
          <w:sz w:val="22"/>
        </w:rPr>
        <w:tab/>
        <w:t xml:space="preserve">ADVERSE EVENTS AND SERIOUS ADVERSE EVENTS  </w:t>
      </w:r>
    </w:p>
    <w:p w14:paraId="00A15AAA" w14:textId="77777777" w:rsidR="000B3C5C" w:rsidRDefault="00ED192D">
      <w:pPr>
        <w:spacing w:after="110"/>
        <w:ind w:left="-3" w:right="14"/>
      </w:pPr>
      <w:r>
        <w:t xml:space="preserve">The safety of the participants in this clinical trial is primarily dependent on the clinical Investigator’s monitoring and assessment of their participants. </w:t>
      </w:r>
    </w:p>
    <w:p w14:paraId="491FE1B5" w14:textId="77777777" w:rsidR="000B3C5C" w:rsidRDefault="00ED192D">
      <w:pPr>
        <w:ind w:left="-3" w:right="14"/>
      </w:pPr>
      <w:r>
        <w:t xml:space="preserve">After the occurrence of two patients with Grade ≥3 or one patient with Grade ≥4 reports of cytokine release syndrome or anaphylactic reactions, unless they result </w:t>
      </w:r>
      <w:r>
        <w:t xml:space="preserve">from an obviously unrelated cause, further enrollment will be halted until a thorough safety review is conducted and submitted to FDA for review. </w:t>
      </w:r>
    </w:p>
    <w:p w14:paraId="6722AE33" w14:textId="77777777" w:rsidR="000B3C5C" w:rsidRDefault="00ED192D">
      <w:pPr>
        <w:pStyle w:val="Heading2"/>
        <w:ind w:left="-5" w:right="51"/>
      </w:pPr>
      <w:r>
        <w:t xml:space="preserve">Adverse event of special interest </w:t>
      </w:r>
    </w:p>
    <w:p w14:paraId="3881D0D7" w14:textId="77777777" w:rsidR="000B3C5C" w:rsidRDefault="00ED192D">
      <w:pPr>
        <w:ind w:left="-3" w:right="14"/>
      </w:pPr>
      <w:r>
        <w:t xml:space="preserve">An AESI is an AE (serious or non-serious) of scientific and medical concern specific to the isatuximab or atezolizumab programs, for which ongoing monitoring and immediate notification by the Investigator to the Sponsor is required. Such AEs may require further investigation in order to characterize and understand them. Adverse events of special interest may be added, modified or removed during a study by protocol amendment. </w:t>
      </w:r>
    </w:p>
    <w:p w14:paraId="67359AAD" w14:textId="77777777" w:rsidR="000B3C5C" w:rsidRDefault="00ED192D">
      <w:pPr>
        <w:ind w:left="-3" w:right="227"/>
      </w:pPr>
      <w:r>
        <w:t xml:space="preserve">Dose limiting toxicities (as defined in </w:t>
      </w:r>
      <w:r>
        <w:rPr>
          <w:color w:val="0000FF"/>
        </w:rPr>
        <w:t>Section</w:t>
      </w:r>
      <w:r>
        <w:t xml:space="preserve"> </w:t>
      </w:r>
      <w:r>
        <w:rPr>
          <w:color w:val="0000FF"/>
        </w:rPr>
        <w:t>4.1</w:t>
      </w:r>
      <w:r>
        <w:t xml:space="preserve">) are considered as AESIs in the Phase 1 of this study, and as such, the Investigators will be required to report them to the Sponsor within 24 hours of the Investigator becoming aware of the AE. The Investigator will attach the DLT-specific eCRF page to the DLT/AESI form. </w:t>
      </w:r>
    </w:p>
    <w:p w14:paraId="0E7BBF22" w14:textId="77777777" w:rsidR="000B3C5C" w:rsidRDefault="00ED192D">
      <w:pPr>
        <w:spacing w:after="138"/>
        <w:ind w:left="-3" w:right="14"/>
      </w:pPr>
      <w:r>
        <w:t xml:space="preserve">The following conditions are also considered AESIs and as such, the Investigators will be required to report them to the Sponsor within 24 hours of the Investigator becoming aware of the AE: </w:t>
      </w:r>
    </w:p>
    <w:p w14:paraId="3C603E7D" w14:textId="77777777" w:rsidR="000B3C5C" w:rsidRDefault="00ED192D">
      <w:pPr>
        <w:numPr>
          <w:ilvl w:val="0"/>
          <w:numId w:val="40"/>
        </w:numPr>
        <w:spacing w:after="91" w:line="249" w:lineRule="auto"/>
        <w:ind w:right="32" w:hanging="358"/>
      </w:pPr>
      <w:r>
        <w:rPr>
          <w:b/>
        </w:rPr>
        <w:t>Grade ≥2 acute IARs</w:t>
      </w:r>
      <w:r>
        <w:t xml:space="preserve"> </w:t>
      </w:r>
      <w:r>
        <w:rPr>
          <w:b/>
        </w:rPr>
        <w:t>with isatuximab.</w:t>
      </w:r>
      <w:r>
        <w:t xml:space="preserve"> </w:t>
      </w:r>
    </w:p>
    <w:p w14:paraId="534A11A8" w14:textId="77777777" w:rsidR="000B3C5C" w:rsidRDefault="00ED192D">
      <w:pPr>
        <w:numPr>
          <w:ilvl w:val="0"/>
          <w:numId w:val="40"/>
        </w:numPr>
        <w:spacing w:after="91" w:line="249" w:lineRule="auto"/>
        <w:ind w:right="32" w:hanging="358"/>
      </w:pPr>
      <w:r>
        <w:rPr>
          <w:b/>
        </w:rPr>
        <w:t>Any grade IARs with atezolizumab.</w:t>
      </w:r>
      <w:r>
        <w:t xml:space="preserve"> </w:t>
      </w:r>
    </w:p>
    <w:p w14:paraId="5B944879" w14:textId="77777777" w:rsidR="000B3C5C" w:rsidRDefault="00ED192D">
      <w:pPr>
        <w:numPr>
          <w:ilvl w:val="0"/>
          <w:numId w:val="40"/>
        </w:numPr>
        <w:spacing w:after="90" w:line="249" w:lineRule="auto"/>
        <w:ind w:right="32" w:hanging="358"/>
      </w:pPr>
      <w:r>
        <w:rPr>
          <w:b/>
        </w:rPr>
        <w:t xml:space="preserve">Grade ≥3 immune-related TEAEs. </w:t>
      </w:r>
    </w:p>
    <w:p w14:paraId="62AD401E" w14:textId="77777777" w:rsidR="000B3C5C" w:rsidRDefault="00ED192D">
      <w:pPr>
        <w:numPr>
          <w:ilvl w:val="0"/>
          <w:numId w:val="40"/>
        </w:numPr>
        <w:spacing w:after="138"/>
        <w:ind w:right="32" w:hanging="358"/>
      </w:pPr>
      <w:r>
        <w:rPr>
          <w:b/>
        </w:rPr>
        <w:t>Any grade of the following TEAEs with atezolizumab:</w:t>
      </w:r>
      <w:r>
        <w:t xml:space="preserve"> pneumonitis, colitis, endocrinopathies (diabetes mellitus, pancreatitis, adrenal insufficiency, hyperthyroidism, and hypophysitis), systemic lupus erythematosus, neurologic disorders (Guillain-Barré syndrome, myasthenic syndrome, myasthenia gravis, and meningoencephalitis), nephritis, ocular toxicities, myositis, myopathies, vasculitis, and autoimmune hemolytic anemia.</w:t>
      </w:r>
      <w:r>
        <w:rPr>
          <w:b/>
        </w:rPr>
        <w:t xml:space="preserve"> </w:t>
      </w:r>
    </w:p>
    <w:p w14:paraId="2B81A9E6" w14:textId="77777777" w:rsidR="000B3C5C" w:rsidRDefault="00ED192D">
      <w:pPr>
        <w:numPr>
          <w:ilvl w:val="0"/>
          <w:numId w:val="40"/>
        </w:numPr>
        <w:spacing w:after="88" w:line="249" w:lineRule="auto"/>
        <w:ind w:right="32" w:hanging="358"/>
      </w:pPr>
      <w:r>
        <w:rPr>
          <w:b/>
        </w:rPr>
        <w:t xml:space="preserve">Grade ≥2 cardiac disorders with atezolizumab. </w:t>
      </w:r>
    </w:p>
    <w:p w14:paraId="285F9EB8" w14:textId="77777777" w:rsidR="000B3C5C" w:rsidRDefault="00ED192D">
      <w:pPr>
        <w:numPr>
          <w:ilvl w:val="0"/>
          <w:numId w:val="40"/>
        </w:numPr>
        <w:spacing w:after="110"/>
        <w:ind w:right="32" w:hanging="358"/>
      </w:pPr>
      <w:r>
        <w:rPr>
          <w:b/>
        </w:rPr>
        <w:t xml:space="preserve">Pregnancy </w:t>
      </w:r>
      <w:r>
        <w:t xml:space="preserve">of a female subject entered in a study as well as pregnancy occurring in a female partner of a male subject entered in a study with IMP/noninvestigational medicinal product (NIMP).  </w:t>
      </w:r>
    </w:p>
    <w:p w14:paraId="7758BB3A" w14:textId="77777777" w:rsidR="000B3C5C" w:rsidRDefault="00ED192D">
      <w:pPr>
        <w:spacing w:after="139"/>
        <w:ind w:left="372" w:right="14"/>
      </w:pPr>
      <w:r>
        <w:t>Pregnancy occurring in a female participant entered in the clinical trial or in a female partner of a male participant entered in the clinical trial. It will be qualified as an SAE only if it fulfills one of the seriousness criteria (see Appendix 3 [</w:t>
      </w:r>
      <w:r>
        <w:rPr>
          <w:color w:val="0000FF"/>
        </w:rPr>
        <w:t>Section</w:t>
      </w:r>
      <w:r>
        <w:t xml:space="preserve"> </w:t>
      </w:r>
      <w:r>
        <w:rPr>
          <w:color w:val="0000FF"/>
        </w:rPr>
        <w:t>10.3</w:t>
      </w:r>
      <w:r>
        <w:t xml:space="preserve">]). </w:t>
      </w:r>
    </w:p>
    <w:p w14:paraId="22139DBA" w14:textId="77777777" w:rsidR="000B3C5C" w:rsidRDefault="00ED192D">
      <w:pPr>
        <w:numPr>
          <w:ilvl w:val="1"/>
          <w:numId w:val="40"/>
        </w:numPr>
        <w:spacing w:after="262"/>
        <w:ind w:right="14" w:hanging="362"/>
      </w:pPr>
      <w:r>
        <w:t xml:space="preserve">In the event of pregnancy in a female participant, IMP should be discontinued.  </w:t>
      </w:r>
    </w:p>
    <w:p w14:paraId="6596B392" w14:textId="77777777" w:rsidR="000B3C5C" w:rsidRDefault="00ED192D">
      <w:pPr>
        <w:numPr>
          <w:ilvl w:val="1"/>
          <w:numId w:val="40"/>
        </w:numPr>
        <w:spacing w:after="0"/>
        <w:ind w:right="14" w:hanging="362"/>
      </w:pPr>
      <w:r>
        <w:t xml:space="preserve">Follow-up of the pregnancy in a female participant or in a female partner of a male participant is mandatory until the outcome has been determined  </w:t>
      </w:r>
    </w:p>
    <w:p w14:paraId="6173E16C" w14:textId="77777777" w:rsidR="000B3C5C" w:rsidRDefault="00ED192D">
      <w:pPr>
        <w:spacing w:after="133"/>
        <w:ind w:left="1092" w:right="14"/>
      </w:pPr>
      <w:r>
        <w:t>(See Appendix 4 [</w:t>
      </w:r>
      <w:r>
        <w:rPr>
          <w:color w:val="0000FF"/>
        </w:rPr>
        <w:t>Section</w:t>
      </w:r>
      <w:r>
        <w:t xml:space="preserve"> </w:t>
      </w:r>
      <w:r>
        <w:rPr>
          <w:color w:val="0000FF"/>
        </w:rPr>
        <w:t>10.4</w:t>
      </w:r>
      <w:r>
        <w:t xml:space="preserve">]) </w:t>
      </w:r>
    </w:p>
    <w:p w14:paraId="359BCFF7" w14:textId="77777777" w:rsidR="000B3C5C" w:rsidRDefault="00ED192D">
      <w:pPr>
        <w:numPr>
          <w:ilvl w:val="0"/>
          <w:numId w:val="40"/>
        </w:numPr>
        <w:spacing w:after="92"/>
        <w:ind w:right="32" w:hanging="358"/>
      </w:pPr>
      <w:r>
        <w:rPr>
          <w:b/>
        </w:rPr>
        <w:t>Symptomatic overdose</w:t>
      </w:r>
      <w:r>
        <w:t xml:space="preserve"> (serious or non-serious) with isatuximab/NIMP: </w:t>
      </w:r>
    </w:p>
    <w:p w14:paraId="35860781" w14:textId="77777777" w:rsidR="000B3C5C" w:rsidRDefault="00ED192D">
      <w:pPr>
        <w:numPr>
          <w:ilvl w:val="1"/>
          <w:numId w:val="40"/>
        </w:numPr>
        <w:spacing w:after="118"/>
        <w:ind w:right="14" w:hanging="362"/>
      </w:pPr>
      <w:r>
        <w:t xml:space="preserve">An overdose (accidental or intentional) with isatuximab is defined as an increase of at least 30% of the intended administered dose at each infusion (expressed in unit per body weight) to be administered in the specified duration or if the dose is administered in less than half the recommended duration of administration. </w:t>
      </w:r>
    </w:p>
    <w:p w14:paraId="71DAB25B" w14:textId="77777777" w:rsidR="000B3C5C" w:rsidRDefault="00ED192D">
      <w:pPr>
        <w:numPr>
          <w:ilvl w:val="1"/>
          <w:numId w:val="40"/>
        </w:numPr>
        <w:spacing w:after="146" w:line="239" w:lineRule="auto"/>
        <w:ind w:right="14" w:hanging="362"/>
      </w:pPr>
      <w:r>
        <w:t xml:space="preserve">An overdose (accidental or intentional) with the NIMP is defined as increase of at least 30% of the intended administered dose at each administration expressed in unit per body weight. </w:t>
      </w:r>
    </w:p>
    <w:p w14:paraId="6DF94CBC" w14:textId="77777777" w:rsidR="000B3C5C" w:rsidRDefault="00ED192D">
      <w:pPr>
        <w:numPr>
          <w:ilvl w:val="1"/>
          <w:numId w:val="40"/>
        </w:numPr>
        <w:spacing w:after="135"/>
        <w:ind w:right="14" w:hanging="362"/>
      </w:pPr>
      <w:r>
        <w:t xml:space="preserve">In case of accidental or intentional overdose with the IMP/NIMP, even not fulfilling a seriousness criterion, is to be reported to the Sponsor immediately (within 24 hours) using the AE form together with the SAE complementary form to be entered in the eCRF. </w:t>
      </w:r>
    </w:p>
    <w:p w14:paraId="1001B5EC" w14:textId="77777777" w:rsidR="000B3C5C" w:rsidRDefault="00ED192D">
      <w:pPr>
        <w:numPr>
          <w:ilvl w:val="0"/>
          <w:numId w:val="40"/>
        </w:numPr>
        <w:spacing w:after="183"/>
        <w:ind w:right="32" w:hanging="358"/>
      </w:pPr>
      <w:r>
        <w:t xml:space="preserve">Of note, asymptomatic overdose has to be reported as a standard AE. </w:t>
      </w:r>
    </w:p>
    <w:p w14:paraId="2CACC852" w14:textId="77777777" w:rsidR="000B3C5C" w:rsidRDefault="00ED192D">
      <w:pPr>
        <w:ind w:left="-3" w:right="14"/>
      </w:pPr>
      <w:r>
        <w:t>The definitions of an AE or SAE can be found in Appendix 3 (</w:t>
      </w:r>
      <w:r>
        <w:rPr>
          <w:color w:val="0000FF"/>
        </w:rPr>
        <w:t>Section</w:t>
      </w:r>
      <w:r>
        <w:t xml:space="preserve"> </w:t>
      </w:r>
      <w:r>
        <w:rPr>
          <w:color w:val="0000FF"/>
        </w:rPr>
        <w:t>10.3</w:t>
      </w:r>
      <w:r>
        <w:t xml:space="preserve">). </w:t>
      </w:r>
    </w:p>
    <w:p w14:paraId="7B8DC45B" w14:textId="77777777" w:rsidR="000B3C5C" w:rsidRDefault="00ED192D">
      <w:pPr>
        <w:ind w:left="-3" w:right="14"/>
      </w:pPr>
      <w:r>
        <w:t xml:space="preserve">An AE will be reported by the patient (or, when appropriate, by a caregiver, surrogate, or the patient's legally authorized representative).  </w:t>
      </w:r>
    </w:p>
    <w:p w14:paraId="08B2DDB5" w14:textId="77777777" w:rsidR="000B3C5C" w:rsidRDefault="00ED192D">
      <w:pPr>
        <w:spacing w:after="333"/>
        <w:ind w:left="-3" w:right="14"/>
      </w:pPr>
      <w:r>
        <w:t xml:space="preserve">The Investigator and any qualified designees are responsible for detecting, documenting, and recording events that meet the definition of an AE or SAE and remain responsible for following up AEs that are serious, considered related to the study intervention or study procedures, or that caused the participant to discontinue the study treatments (see </w:t>
      </w:r>
      <w:r>
        <w:rPr>
          <w:color w:val="0000FF"/>
        </w:rPr>
        <w:t>Section</w:t>
      </w:r>
      <w:r>
        <w:t xml:space="preserve"> </w:t>
      </w:r>
      <w:r>
        <w:rPr>
          <w:color w:val="0000FF"/>
        </w:rPr>
        <w:t>7</w:t>
      </w:r>
      <w:r>
        <w:t xml:space="preserve">).  </w:t>
      </w:r>
    </w:p>
    <w:p w14:paraId="50F02BF7" w14:textId="77777777" w:rsidR="000B3C5C" w:rsidRDefault="00ED192D">
      <w:pPr>
        <w:pStyle w:val="Heading3"/>
        <w:ind w:left="-5"/>
      </w:pPr>
      <w:r>
        <w:t xml:space="preserve">8.3.1 Time period and frequency for collecting AE and SAE information  </w:t>
      </w:r>
    </w:p>
    <w:p w14:paraId="28D379F3" w14:textId="77777777" w:rsidR="000B3C5C" w:rsidRDefault="00ED192D">
      <w:pPr>
        <w:ind w:left="-3" w:right="14"/>
      </w:pPr>
      <w:r>
        <w:t>All the SAEs and AEs will be collected from the signing of the ICF until the last follow-up visit at the time points specified in the SoA (</w:t>
      </w:r>
      <w:r>
        <w:rPr>
          <w:color w:val="0000FF"/>
        </w:rPr>
        <w:t>Section</w:t>
      </w:r>
      <w:r>
        <w:t xml:space="preserve"> </w:t>
      </w:r>
      <w:r>
        <w:rPr>
          <w:color w:val="0000FF"/>
        </w:rPr>
        <w:t>1.3</w:t>
      </w:r>
      <w:r>
        <w:t xml:space="preserve">). </w:t>
      </w:r>
    </w:p>
    <w:p w14:paraId="53FA233D" w14:textId="77777777" w:rsidR="000B3C5C" w:rsidRDefault="00ED192D">
      <w:pPr>
        <w:ind w:left="-3" w:right="514"/>
      </w:pPr>
      <w:r>
        <w:t xml:space="preserve">All the SAEs and AESIs </w:t>
      </w:r>
      <w:r>
        <w:t>will be recorded and reported to the Sponsor or designee within 24 hours, as indicated in Appendix 3 (</w:t>
      </w:r>
      <w:r>
        <w:rPr>
          <w:color w:val="0000FF"/>
        </w:rPr>
        <w:t>Section</w:t>
      </w:r>
      <w:r>
        <w:t xml:space="preserve"> </w:t>
      </w:r>
      <w:r>
        <w:rPr>
          <w:color w:val="0000FF"/>
        </w:rPr>
        <w:t>10.2</w:t>
      </w:r>
      <w:r>
        <w:t xml:space="preserve">). The Investigator will submit any updated SAE data to the Sponsor within 24 hours of them being available. </w:t>
      </w:r>
    </w:p>
    <w:p w14:paraId="3E26AB55" w14:textId="77777777" w:rsidR="000B3C5C" w:rsidRDefault="00ED192D">
      <w:pPr>
        <w:ind w:left="-3" w:right="14"/>
      </w:pPr>
      <w:r>
        <w:t>Investigators are not obligated to actively seek AE or SAE after conclusion of the study participation. However, if the Investigator learns of any SAE, or of a death,</w:t>
      </w:r>
      <w:r>
        <w:rPr>
          <w:sz w:val="20"/>
        </w:rPr>
        <w:t xml:space="preserve"> </w:t>
      </w:r>
      <w:r>
        <w:t xml:space="preserve">that occurs after the last dose of the IMP administration, and he/she considers the AE or outcome to be reasonably related to the study intervention or study participation, the Investigator must promptly notify the Sponsor. </w:t>
      </w:r>
    </w:p>
    <w:p w14:paraId="6C87C35A" w14:textId="77777777" w:rsidR="000B3C5C" w:rsidRDefault="00ED192D">
      <w:pPr>
        <w:spacing w:after="333"/>
        <w:ind w:left="-3" w:right="222"/>
      </w:pPr>
      <w:r>
        <w:t>The method of recording, evaluating, and assessing the causal relationship of AEs and SAEs and the procedures for completing and transmitting SAE reports are provided in Appendix 3 (</w:t>
      </w:r>
      <w:r>
        <w:rPr>
          <w:color w:val="0000FF"/>
        </w:rPr>
        <w:t>Section</w:t>
      </w:r>
      <w:r>
        <w:t xml:space="preserve"> </w:t>
      </w:r>
      <w:r>
        <w:rPr>
          <w:color w:val="0000FF"/>
        </w:rPr>
        <w:t>10.2</w:t>
      </w:r>
      <w:r>
        <w:t xml:space="preserve">). </w:t>
      </w:r>
    </w:p>
    <w:p w14:paraId="2F5E4DFB" w14:textId="77777777" w:rsidR="000B3C5C" w:rsidRDefault="00ED192D">
      <w:pPr>
        <w:pStyle w:val="Heading3"/>
        <w:ind w:left="-5"/>
      </w:pPr>
      <w:r>
        <w:t xml:space="preserve">8.3.2 Method of detecting AEs and SAEs  </w:t>
      </w:r>
    </w:p>
    <w:p w14:paraId="4FE25A71" w14:textId="77777777" w:rsidR="000B3C5C" w:rsidRDefault="00ED192D">
      <w:pPr>
        <w:spacing w:after="333"/>
        <w:ind w:left="-3" w:right="599"/>
      </w:pPr>
      <w:r>
        <w:t xml:space="preserve">Care will be taken not to introduce bias when detecting AEs and/or SAEs. Open-ended and non-leading verbal questioning of the participant is the preferred method to inquire about AE occurrences.  </w:t>
      </w:r>
    </w:p>
    <w:p w14:paraId="39B48D19" w14:textId="77777777" w:rsidR="000B3C5C" w:rsidRDefault="00ED192D">
      <w:pPr>
        <w:pStyle w:val="Heading3"/>
        <w:ind w:left="-5"/>
      </w:pPr>
      <w:r>
        <w:t xml:space="preserve">8.3.3 Follow-up of AEs and SAEs  </w:t>
      </w:r>
    </w:p>
    <w:p w14:paraId="5E95CF12" w14:textId="77777777" w:rsidR="000B3C5C" w:rsidRDefault="00ED192D">
      <w:pPr>
        <w:spacing w:after="0"/>
        <w:ind w:left="-3" w:right="14"/>
      </w:pPr>
      <w:r>
        <w:t xml:space="preserve">After the initial AE/SAE report, the Investigator is required to proactively follow each participant at subsequent visits.  All SAEs and AESIs and related as defined in </w:t>
      </w:r>
      <w:r>
        <w:rPr>
          <w:color w:val="0000FF"/>
        </w:rPr>
        <w:t>Section</w:t>
      </w:r>
      <w:r>
        <w:t xml:space="preserve"> </w:t>
      </w:r>
      <w:r>
        <w:rPr>
          <w:color w:val="0000FF"/>
        </w:rPr>
        <w:t>8.3</w:t>
      </w:r>
      <w:r>
        <w:t xml:space="preserve">, will be followed until resolution, stabilization, or up to when the participant is lost to follow-up (as defined in </w:t>
      </w:r>
    </w:p>
    <w:p w14:paraId="3435E152" w14:textId="77777777" w:rsidR="000B3C5C" w:rsidRDefault="00ED192D">
      <w:pPr>
        <w:spacing w:after="330"/>
        <w:ind w:left="-3" w:right="14"/>
      </w:pPr>
      <w:r>
        <w:rPr>
          <w:color w:val="0000FF"/>
        </w:rPr>
        <w:t>Section</w:t>
      </w:r>
      <w:r>
        <w:t xml:space="preserve"> </w:t>
      </w:r>
      <w:r>
        <w:rPr>
          <w:color w:val="0000FF"/>
        </w:rPr>
        <w:t>7.3</w:t>
      </w:r>
      <w:r>
        <w:t>). Further information on follow-up procedures is given in Appendix 3 (</w:t>
      </w:r>
      <w:r>
        <w:rPr>
          <w:color w:val="0000FF"/>
        </w:rPr>
        <w:t>Section</w:t>
      </w:r>
      <w:r>
        <w:t xml:space="preserve"> </w:t>
      </w:r>
      <w:r>
        <w:rPr>
          <w:color w:val="0000FF"/>
        </w:rPr>
        <w:t>10.2</w:t>
      </w:r>
      <w:r>
        <w:t xml:space="preserve">). </w:t>
      </w:r>
    </w:p>
    <w:p w14:paraId="1211E354" w14:textId="77777777" w:rsidR="000B3C5C" w:rsidRDefault="00ED192D">
      <w:pPr>
        <w:pStyle w:val="Heading3"/>
        <w:spacing w:after="149"/>
        <w:ind w:left="-5"/>
      </w:pPr>
      <w:r>
        <w:t xml:space="preserve">8.3.4 </w:t>
      </w:r>
      <w:r>
        <w:t xml:space="preserve">Regulatory reporting requirements for SAEs  </w:t>
      </w:r>
    </w:p>
    <w:p w14:paraId="534ACD81" w14:textId="77777777" w:rsidR="000B3C5C" w:rsidRDefault="00ED192D">
      <w:pPr>
        <w:numPr>
          <w:ilvl w:val="0"/>
          <w:numId w:val="41"/>
        </w:numPr>
        <w:ind w:right="14" w:hanging="358"/>
      </w:pPr>
      <w:r>
        <w:t xml:space="preserve">Prompt notification by the Investigator to the Sponsor of a SAE is essential so that legal obligations and ethical responsibilities towards the safety of participants and the safety of a study intervention under clinical investigation are met.  </w:t>
      </w:r>
    </w:p>
    <w:p w14:paraId="77BAAC58" w14:textId="77777777" w:rsidR="000B3C5C" w:rsidRDefault="00ED192D">
      <w:pPr>
        <w:numPr>
          <w:ilvl w:val="0"/>
          <w:numId w:val="41"/>
        </w:numPr>
        <w:spacing w:after="135"/>
        <w:ind w:right="14" w:hanging="358"/>
      </w:pPr>
      <w:r>
        <w:t xml:space="preserve">The Sponsor has a legal responsibility to notify both the local regulatory authority and other regulatory agencies about the safety of a study intervention under clinical investigation. The Sponsor will comply with country-specific regulatory requirements relating to safety reporting to the regulatory authority, Institutional Review Boards (IRBs)/Independent Ethics Committees (IECs), and Investigators. </w:t>
      </w:r>
    </w:p>
    <w:p w14:paraId="4F72AE0B" w14:textId="77777777" w:rsidR="000B3C5C" w:rsidRDefault="00ED192D">
      <w:pPr>
        <w:numPr>
          <w:ilvl w:val="0"/>
          <w:numId w:val="41"/>
        </w:numPr>
        <w:spacing w:after="135"/>
        <w:ind w:right="14" w:hanging="358"/>
      </w:pPr>
      <w:r>
        <w:t xml:space="preserve">Investigator safety reports must be prepared for suspected unexpected serious adverse reactions (SUSAR) according to local regulatory requirements and Sponsor policy and forwarded to Investigators as necessary. The respective IBs of isatuximab and atezolizumab contain the Reference Safety Information (RSI) to be used in the determination of whether an ADR is to be considered expected.  </w:t>
      </w:r>
    </w:p>
    <w:p w14:paraId="7D8BC26B" w14:textId="77777777" w:rsidR="000B3C5C" w:rsidRDefault="00ED192D">
      <w:pPr>
        <w:numPr>
          <w:ilvl w:val="0"/>
          <w:numId w:val="41"/>
        </w:numPr>
        <w:spacing w:after="333"/>
        <w:ind w:right="14" w:hanging="358"/>
      </w:pPr>
      <w:r>
        <w:t xml:space="preserve">An Investigator who receives an Investigator safety report describing a SAE or other specific safety information (eg, summary or listing of SAEs) from the Sponsor will review and then file it along with the Investigator’s Brochure and will notify the IRB/IEC, if appropriate according to local requirements. </w:t>
      </w:r>
    </w:p>
    <w:p w14:paraId="75AE8EAF" w14:textId="77777777" w:rsidR="000B3C5C" w:rsidRDefault="00ED192D">
      <w:pPr>
        <w:pStyle w:val="Heading3"/>
        <w:spacing w:after="152"/>
        <w:ind w:left="-5"/>
      </w:pPr>
      <w:r>
        <w:t xml:space="preserve">8.3.5 Pregnancy  </w:t>
      </w:r>
    </w:p>
    <w:p w14:paraId="44A4CD87" w14:textId="77777777" w:rsidR="000B3C5C" w:rsidRDefault="00ED192D">
      <w:pPr>
        <w:numPr>
          <w:ilvl w:val="0"/>
          <w:numId w:val="42"/>
        </w:numPr>
        <w:spacing w:after="135"/>
        <w:ind w:right="14" w:hanging="358"/>
      </w:pPr>
      <w:r>
        <w:t xml:space="preserve">Details of all pregnancies in female participants and, if indicated, female partners of male participants will be collected after the start of study intervention and until 5 months after the last dose of isatuximab (male and female participants) or atezolizumab (female participants only), whichever comes last. </w:t>
      </w:r>
    </w:p>
    <w:p w14:paraId="016D9AEC" w14:textId="77777777" w:rsidR="000B3C5C" w:rsidRDefault="00ED192D">
      <w:pPr>
        <w:numPr>
          <w:ilvl w:val="0"/>
          <w:numId w:val="42"/>
        </w:numPr>
        <w:spacing w:after="110"/>
        <w:ind w:right="14" w:hanging="358"/>
      </w:pPr>
      <w:r>
        <w:t>If a pregnancy is reported, the Investigator should inform the Sponsor within 24 hours of learning of the pregnancy and should follow the procedures outlined in Appendix 4 (</w:t>
      </w:r>
      <w:r>
        <w:rPr>
          <w:color w:val="0000FF"/>
        </w:rPr>
        <w:t>Section</w:t>
      </w:r>
      <w:r>
        <w:t xml:space="preserve"> </w:t>
      </w:r>
      <w:r>
        <w:rPr>
          <w:color w:val="0000FF"/>
        </w:rPr>
        <w:t>10.4</w:t>
      </w:r>
      <w:r>
        <w:t xml:space="preserve">). </w:t>
      </w:r>
    </w:p>
    <w:p w14:paraId="64DD1245" w14:textId="77777777" w:rsidR="000B3C5C" w:rsidRDefault="00ED192D">
      <w:pPr>
        <w:spacing w:after="333"/>
        <w:ind w:left="-3" w:right="14"/>
      </w:pPr>
      <w:r>
        <w:t xml:space="preserve">Abnormal pregnancy outcomes (eg, spontaneous abortion, fetal death, stillbirth, congenital anomalies, and ectopic pregnancy) are considered SAEs. </w:t>
      </w:r>
    </w:p>
    <w:p w14:paraId="1012C64D" w14:textId="77777777" w:rsidR="000B3C5C" w:rsidRDefault="00ED192D">
      <w:pPr>
        <w:pStyle w:val="Heading3"/>
        <w:ind w:left="664" w:hanging="679"/>
      </w:pPr>
      <w:r>
        <w:t xml:space="preserve">8.3.6 Disease related events and/ or disease related outcomes not qualifying as AEs or SAEs  </w:t>
      </w:r>
    </w:p>
    <w:p w14:paraId="3B4E1FC3" w14:textId="77777777" w:rsidR="000B3C5C" w:rsidRDefault="00ED192D">
      <w:pPr>
        <w:spacing w:after="135"/>
        <w:ind w:left="-3" w:right="14"/>
      </w:pPr>
      <w:r>
        <w:t>The following disease related events (DREs) are common in patients with cancer</w:t>
      </w:r>
      <w:r>
        <w:rPr>
          <w:color w:val="FF00FF"/>
        </w:rPr>
        <w:t xml:space="preserve"> </w:t>
      </w:r>
      <w:r>
        <w:t xml:space="preserve">and can be serious/life threatening: </w:t>
      </w:r>
    </w:p>
    <w:p w14:paraId="3F2540A0" w14:textId="77777777" w:rsidR="000B3C5C" w:rsidRDefault="00ED192D">
      <w:pPr>
        <w:numPr>
          <w:ilvl w:val="0"/>
          <w:numId w:val="43"/>
        </w:numPr>
        <w:spacing w:after="88"/>
        <w:ind w:right="186" w:hanging="358"/>
      </w:pPr>
      <w:r>
        <w:t xml:space="preserve">Progression of underlying disease, as it is the study endpoint. </w:t>
      </w:r>
    </w:p>
    <w:p w14:paraId="132D0A3A" w14:textId="77777777" w:rsidR="000B3C5C" w:rsidRDefault="00ED192D">
      <w:pPr>
        <w:numPr>
          <w:ilvl w:val="0"/>
          <w:numId w:val="43"/>
        </w:numPr>
        <w:spacing w:after="189"/>
        <w:ind w:right="186" w:hanging="358"/>
      </w:pPr>
      <w:r>
        <w:t xml:space="preserve">Death due to progression of underlying disease, if it occurs after 30 days of the last IMP administration. All other deaths that occur within the 30 days of last study intervention should be reported as a SAE. </w:t>
      </w:r>
    </w:p>
    <w:p w14:paraId="41EE0D37" w14:textId="77777777" w:rsidR="000B3C5C" w:rsidRDefault="00ED192D">
      <w:pPr>
        <w:ind w:left="-3" w:right="14"/>
      </w:pPr>
      <w:r>
        <w:t xml:space="preserve">Because these events are typically associated with the disease under study, they will not be reported according to the standard process for expedited reporting of SAEs even though the event may meet the definition of a SAE. These events will be recorded on the corresponding page in the patient’s eCRF within the appropriate time frame. </w:t>
      </w:r>
    </w:p>
    <w:p w14:paraId="647DCF05" w14:textId="77777777" w:rsidR="000B3C5C" w:rsidRDefault="00ED192D">
      <w:pPr>
        <w:pStyle w:val="Heading3"/>
        <w:ind w:left="-5"/>
      </w:pPr>
      <w:r>
        <w:t xml:space="preserve">8.3.7 Guidelines for reporting product complaints incidents (including malfunctions)  </w:t>
      </w:r>
    </w:p>
    <w:p w14:paraId="497BDD11" w14:textId="77777777" w:rsidR="000B3C5C" w:rsidRDefault="00ED192D">
      <w:pPr>
        <w:ind w:left="-3" w:right="14"/>
      </w:pPr>
      <w:r>
        <w:t xml:space="preserve">Any defect in the IMP(s) must be reported as soon as possible by the Investigator to the monitoring team that will complete a product complaint form within required timelines. </w:t>
      </w:r>
    </w:p>
    <w:p w14:paraId="2FDC9E62" w14:textId="77777777" w:rsidR="000B3C5C" w:rsidRDefault="00ED192D">
      <w:pPr>
        <w:spacing w:after="472"/>
        <w:ind w:left="-3" w:right="14"/>
      </w:pPr>
      <w:r>
        <w:t xml:space="preserve">Appropriate information (eg, samples, labels or documents like pictures or photocopies) related to product identification and to the potential deficiencies may need to be gathered. The Investigator will assess whether or not the quality issue has to be reported together with an AE or SAE. </w:t>
      </w:r>
    </w:p>
    <w:p w14:paraId="3DB4DAD6" w14:textId="77777777" w:rsidR="000B3C5C" w:rsidRDefault="00ED192D">
      <w:pPr>
        <w:pStyle w:val="Heading3"/>
        <w:tabs>
          <w:tab w:val="center" w:pos="2195"/>
        </w:tabs>
        <w:ind w:left="-15" w:firstLine="0"/>
      </w:pPr>
      <w:r>
        <w:t xml:space="preserve">8.4 </w:t>
      </w:r>
      <w:r>
        <w:tab/>
      </w:r>
      <w:r>
        <w:t xml:space="preserve">TREATMENT OF OVERDOSE  </w:t>
      </w:r>
    </w:p>
    <w:p w14:paraId="5E3C1749" w14:textId="77777777" w:rsidR="000B3C5C" w:rsidRDefault="00ED192D">
      <w:pPr>
        <w:ind w:left="-3" w:right="14"/>
      </w:pPr>
      <w:r>
        <w:t xml:space="preserve">There is no information on specific recommendations regarding overdose with isatuximab or atezolizumab. In case of overdose, patients should be closely monitored for signs or symptoms of adverse reactions, and appropriate symptomatic treatment should be instituted. </w:t>
      </w:r>
    </w:p>
    <w:p w14:paraId="425639AA" w14:textId="77777777" w:rsidR="000B3C5C" w:rsidRDefault="00ED192D">
      <w:pPr>
        <w:spacing w:after="115"/>
        <w:ind w:left="-3" w:right="14"/>
      </w:pPr>
      <w:r>
        <w:t xml:space="preserve">In the event of an overdose, the Investigator should: </w:t>
      </w:r>
    </w:p>
    <w:p w14:paraId="00EF090D" w14:textId="77777777" w:rsidR="000B3C5C" w:rsidRDefault="00ED192D">
      <w:pPr>
        <w:numPr>
          <w:ilvl w:val="0"/>
          <w:numId w:val="44"/>
        </w:numPr>
        <w:spacing w:after="115"/>
        <w:ind w:left="783" w:right="14" w:hanging="358"/>
      </w:pPr>
      <w:r>
        <w:t xml:space="preserve">Contact the Medical Monitor immediately. </w:t>
      </w:r>
    </w:p>
    <w:p w14:paraId="6D3AE67A" w14:textId="77777777" w:rsidR="000B3C5C" w:rsidRDefault="00ED192D">
      <w:pPr>
        <w:numPr>
          <w:ilvl w:val="0"/>
          <w:numId w:val="44"/>
        </w:numPr>
        <w:spacing w:after="115"/>
        <w:ind w:left="783" w:right="14" w:hanging="358"/>
      </w:pPr>
      <w:r>
        <w:t xml:space="preserve">Closely monitor the participant for any AE/SAE and laboratory abnormalities. </w:t>
      </w:r>
    </w:p>
    <w:p w14:paraId="07A8BD5A" w14:textId="77777777" w:rsidR="000B3C5C" w:rsidRDefault="00ED192D">
      <w:pPr>
        <w:numPr>
          <w:ilvl w:val="0"/>
          <w:numId w:val="44"/>
        </w:numPr>
        <w:ind w:left="783" w:right="14" w:hanging="358"/>
      </w:pPr>
      <w:r>
        <w:t xml:space="preserve">Document the quantity of the excess dose as well as the duration of the overdose in the eCRF. </w:t>
      </w:r>
    </w:p>
    <w:p w14:paraId="6F74DB44" w14:textId="77777777" w:rsidR="000B3C5C" w:rsidRDefault="00ED192D">
      <w:pPr>
        <w:spacing w:after="473"/>
        <w:ind w:left="-3" w:right="14"/>
      </w:pPr>
      <w:r>
        <w:t>Decisions regarding dose interruptions or modifications will be made by the Investigator in consultation with</w:t>
      </w:r>
      <w:r>
        <w:rPr>
          <w:u w:val="single" w:color="000000"/>
        </w:rPr>
        <w:t xml:space="preserve"> </w:t>
      </w:r>
      <w:r>
        <w:t xml:space="preserve">the Medical Monitor based on the clinical evaluation of the participant. </w:t>
      </w:r>
    </w:p>
    <w:p w14:paraId="710CBB08" w14:textId="77777777" w:rsidR="000B3C5C" w:rsidRDefault="00ED192D">
      <w:pPr>
        <w:pStyle w:val="Heading3"/>
        <w:tabs>
          <w:tab w:val="center" w:pos="1839"/>
        </w:tabs>
        <w:spacing w:after="354"/>
        <w:ind w:left="-15" w:firstLine="0"/>
      </w:pPr>
      <w:r>
        <w:t xml:space="preserve">8.5 </w:t>
      </w:r>
      <w:r>
        <w:tab/>
        <w:t xml:space="preserve">PHARMACOKINETICS  </w:t>
      </w:r>
    </w:p>
    <w:p w14:paraId="1070215D" w14:textId="77777777" w:rsidR="000B3C5C" w:rsidRDefault="00ED192D">
      <w:pPr>
        <w:pStyle w:val="Heading4"/>
        <w:spacing w:after="124"/>
        <w:ind w:left="-5"/>
      </w:pPr>
      <w:r>
        <w:t xml:space="preserve">8.5.1 Sampling time  </w:t>
      </w:r>
    </w:p>
    <w:p w14:paraId="38BC9F36" w14:textId="77777777" w:rsidR="000B3C5C" w:rsidRDefault="00ED192D">
      <w:pPr>
        <w:ind w:left="-3" w:right="14"/>
      </w:pPr>
      <w:r>
        <w:t>The sampling times for blood collection can be found in the PK and immunogenicity flow chart (</w:t>
      </w:r>
      <w:r>
        <w:rPr>
          <w:color w:val="0000FF"/>
        </w:rPr>
        <w:t>Section</w:t>
      </w:r>
      <w:r>
        <w:t xml:space="preserve"> </w:t>
      </w:r>
      <w:r>
        <w:rPr>
          <w:color w:val="0000FF"/>
        </w:rPr>
        <w:t>1.3</w:t>
      </w:r>
      <w:r>
        <w:t xml:space="preserve">). </w:t>
      </w:r>
    </w:p>
    <w:p w14:paraId="3734BDD3" w14:textId="77777777" w:rsidR="000B3C5C" w:rsidRDefault="00ED192D">
      <w:pPr>
        <w:spacing w:after="110"/>
        <w:ind w:left="-3" w:right="14"/>
      </w:pPr>
      <w:r>
        <w:t xml:space="preserve">It is of utmost importance to collect all blood samples at the specified times and according to the specifications for collection, storage, and shipment as defined in a separate laboratory manual. </w:t>
      </w:r>
    </w:p>
    <w:p w14:paraId="7D630E02" w14:textId="77777777" w:rsidR="000B3C5C" w:rsidRDefault="00ED192D">
      <w:pPr>
        <w:spacing w:after="334"/>
        <w:ind w:left="-3" w:right="14"/>
      </w:pPr>
      <w:r>
        <w:t xml:space="preserve">Samples missed or lost, for any reason, should be recorded. Actual dates and times of blood collection should be recorded in the eCRF.  The dates and times of drug administration should also be precisely recorded. </w:t>
      </w:r>
    </w:p>
    <w:p w14:paraId="5C1D5212" w14:textId="77777777" w:rsidR="000B3C5C" w:rsidRDefault="00ED192D">
      <w:pPr>
        <w:pStyle w:val="Heading4"/>
        <w:spacing w:after="165"/>
        <w:ind w:left="-5"/>
      </w:pPr>
      <w:r>
        <w:t xml:space="preserve">8.5.2 Pharmacokinetic sample handling procedure  </w:t>
      </w:r>
    </w:p>
    <w:p w14:paraId="6BE2533B" w14:textId="77777777" w:rsidR="000B3C5C" w:rsidRDefault="00ED192D">
      <w:pPr>
        <w:ind w:left="-3" w:right="444"/>
      </w:pPr>
      <w:r>
        <w:t xml:space="preserve">Detailed instructions for sample preparation and shipping for atezolizumab and isatuximab PK will be provided to the study sites in a </w:t>
      </w:r>
      <w:r>
        <w:t xml:space="preserve">separate Laboratory Manual. </w:t>
      </w:r>
    </w:p>
    <w:p w14:paraId="649FDE57" w14:textId="77777777" w:rsidR="000B3C5C" w:rsidRDefault="00ED192D">
      <w:pPr>
        <w:pStyle w:val="Heading4"/>
        <w:spacing w:after="165"/>
        <w:ind w:left="-5"/>
      </w:pPr>
      <w:r>
        <w:t xml:space="preserve">8.5.3 Bioanalytical Methods  </w:t>
      </w:r>
    </w:p>
    <w:p w14:paraId="64219CA0" w14:textId="77777777" w:rsidR="000B3C5C" w:rsidRDefault="00ED192D">
      <w:pPr>
        <w:spacing w:after="333"/>
        <w:ind w:left="-3" w:right="14"/>
      </w:pPr>
      <w:r>
        <w:t xml:space="preserve">Isatuximab in plasma and atezolizumab in serum will be analyzed by immunoassay.  Details will be provided in a separate Laboratory Manual.  </w:t>
      </w:r>
    </w:p>
    <w:p w14:paraId="78828AFA" w14:textId="77777777" w:rsidR="000B3C5C" w:rsidRDefault="00ED192D">
      <w:pPr>
        <w:pStyle w:val="Heading4"/>
        <w:spacing w:after="347"/>
        <w:ind w:left="-5"/>
      </w:pPr>
      <w:r>
        <w:t xml:space="preserve">8.5.4 Pharmacokinetic parameters  </w:t>
      </w:r>
    </w:p>
    <w:p w14:paraId="431A8564" w14:textId="77777777" w:rsidR="000B3C5C" w:rsidRDefault="00ED192D">
      <w:pPr>
        <w:pStyle w:val="Heading5"/>
        <w:spacing w:after="158"/>
        <w:ind w:left="-5"/>
      </w:pPr>
      <w:r>
        <w:t xml:space="preserve">8.5.4.1 Non-compartmental analysis - isatuximab  </w:t>
      </w:r>
    </w:p>
    <w:p w14:paraId="6B7C2ECF" w14:textId="77777777" w:rsidR="000B3C5C" w:rsidRDefault="00ED192D">
      <w:pPr>
        <w:spacing w:after="315"/>
        <w:ind w:left="-3" w:right="14"/>
      </w:pPr>
      <w:r>
        <w:t xml:space="preserve">Pharmacokinetic parameters will be calculated with PKDMS software (Pharsight), using non-compartmental methods, from isatuximab plasma concentrations. The parameters will include, but may not be limited to, the following: </w:t>
      </w:r>
    </w:p>
    <w:p w14:paraId="161CA11B" w14:textId="77777777" w:rsidR="000B3C5C" w:rsidRDefault="00ED192D">
      <w:pPr>
        <w:spacing w:after="4" w:line="250" w:lineRule="auto"/>
        <w:ind w:left="15" w:right="74"/>
        <w:jc w:val="center"/>
      </w:pPr>
      <w:r>
        <w:rPr>
          <w:rFonts w:ascii="Arial" w:eastAsia="Arial" w:hAnsi="Arial" w:cs="Arial"/>
          <w:b/>
          <w:sz w:val="20"/>
        </w:rPr>
        <w:t xml:space="preserve">Table 6 - List of pharmacokinetic parameters and definitions for isatuximab  </w:t>
      </w:r>
    </w:p>
    <w:tbl>
      <w:tblPr>
        <w:tblStyle w:val="TableGrid"/>
        <w:tblW w:w="9700" w:type="dxa"/>
        <w:tblInd w:w="-122" w:type="dxa"/>
        <w:tblCellMar>
          <w:top w:w="81" w:type="dxa"/>
          <w:left w:w="0" w:type="dxa"/>
          <w:bottom w:w="0" w:type="dxa"/>
          <w:right w:w="109" w:type="dxa"/>
        </w:tblCellMar>
        <w:tblLook w:val="04A0" w:firstRow="1" w:lastRow="0" w:firstColumn="1" w:lastColumn="0" w:noHBand="0" w:noVBand="1"/>
      </w:tblPr>
      <w:tblGrid>
        <w:gridCol w:w="1954"/>
        <w:gridCol w:w="7746"/>
      </w:tblGrid>
      <w:tr w:rsidR="000B3C5C" w14:paraId="7B686570" w14:textId="77777777">
        <w:trPr>
          <w:trHeight w:val="360"/>
        </w:trPr>
        <w:tc>
          <w:tcPr>
            <w:tcW w:w="1954" w:type="dxa"/>
            <w:tcBorders>
              <w:top w:val="single" w:sz="4" w:space="0" w:color="000000"/>
              <w:left w:val="nil"/>
              <w:bottom w:val="single" w:sz="4" w:space="0" w:color="000000"/>
              <w:right w:val="nil"/>
            </w:tcBorders>
          </w:tcPr>
          <w:p w14:paraId="635D3D7B" w14:textId="77777777" w:rsidR="000B3C5C" w:rsidRDefault="00ED192D">
            <w:pPr>
              <w:spacing w:after="0" w:line="259" w:lineRule="auto"/>
              <w:ind w:left="10" w:firstLine="0"/>
              <w:jc w:val="center"/>
            </w:pPr>
            <w:r>
              <w:rPr>
                <w:rFonts w:ascii="Arial" w:eastAsia="Arial" w:hAnsi="Arial" w:cs="Arial"/>
                <w:b/>
                <w:sz w:val="20"/>
              </w:rPr>
              <w:t xml:space="preserve">Parameters </w:t>
            </w:r>
          </w:p>
        </w:tc>
        <w:tc>
          <w:tcPr>
            <w:tcW w:w="7746" w:type="dxa"/>
            <w:tcBorders>
              <w:top w:val="single" w:sz="4" w:space="0" w:color="000000"/>
              <w:left w:val="nil"/>
              <w:bottom w:val="single" w:sz="4" w:space="0" w:color="000000"/>
              <w:right w:val="nil"/>
            </w:tcBorders>
          </w:tcPr>
          <w:p w14:paraId="0B0C8C20" w14:textId="77777777" w:rsidR="000B3C5C" w:rsidRDefault="00ED192D">
            <w:pPr>
              <w:spacing w:after="0" w:line="259" w:lineRule="auto"/>
              <w:ind w:left="0" w:firstLine="0"/>
            </w:pPr>
            <w:r>
              <w:rPr>
                <w:rFonts w:ascii="Arial" w:eastAsia="Arial" w:hAnsi="Arial" w:cs="Arial"/>
                <w:b/>
                <w:sz w:val="20"/>
              </w:rPr>
              <w:t xml:space="preserve">                Definition </w:t>
            </w:r>
          </w:p>
        </w:tc>
      </w:tr>
      <w:tr w:rsidR="000B3C5C" w14:paraId="5BF48F2A" w14:textId="77777777">
        <w:trPr>
          <w:trHeight w:val="376"/>
        </w:trPr>
        <w:tc>
          <w:tcPr>
            <w:tcW w:w="1954" w:type="dxa"/>
            <w:tcBorders>
              <w:top w:val="single" w:sz="4" w:space="0" w:color="000000"/>
              <w:left w:val="nil"/>
              <w:bottom w:val="nil"/>
              <w:right w:val="nil"/>
            </w:tcBorders>
          </w:tcPr>
          <w:p w14:paraId="6F087445" w14:textId="77777777" w:rsidR="000B3C5C" w:rsidRDefault="00ED192D">
            <w:pPr>
              <w:spacing w:after="0" w:line="259" w:lineRule="auto"/>
              <w:ind w:left="122" w:firstLine="0"/>
            </w:pPr>
            <w:r>
              <w:rPr>
                <w:rFonts w:ascii="Arial" w:eastAsia="Arial" w:hAnsi="Arial" w:cs="Arial"/>
                <w:sz w:val="20"/>
              </w:rPr>
              <w:t>C</w:t>
            </w:r>
            <w:r>
              <w:rPr>
                <w:rFonts w:ascii="Arial" w:eastAsia="Arial" w:hAnsi="Arial" w:cs="Arial"/>
                <w:sz w:val="13"/>
              </w:rPr>
              <w:t>eoi</w:t>
            </w:r>
            <w:r>
              <w:rPr>
                <w:rFonts w:ascii="Arial" w:eastAsia="Arial" w:hAnsi="Arial" w:cs="Arial"/>
                <w:sz w:val="20"/>
              </w:rPr>
              <w:t xml:space="preserve"> </w:t>
            </w:r>
          </w:p>
        </w:tc>
        <w:tc>
          <w:tcPr>
            <w:tcW w:w="7746" w:type="dxa"/>
            <w:tcBorders>
              <w:top w:val="single" w:sz="4" w:space="0" w:color="000000"/>
              <w:left w:val="nil"/>
              <w:bottom w:val="nil"/>
              <w:right w:val="nil"/>
            </w:tcBorders>
          </w:tcPr>
          <w:p w14:paraId="32615B33" w14:textId="77777777" w:rsidR="000B3C5C" w:rsidRDefault="00ED192D">
            <w:pPr>
              <w:spacing w:after="0" w:line="259" w:lineRule="auto"/>
              <w:ind w:left="0" w:firstLine="0"/>
            </w:pPr>
            <w:r>
              <w:rPr>
                <w:rFonts w:ascii="Arial" w:eastAsia="Arial" w:hAnsi="Arial" w:cs="Arial"/>
                <w:sz w:val="20"/>
              </w:rPr>
              <w:t xml:space="preserve">Concentration observed at the end of intravenous infusion </w:t>
            </w:r>
          </w:p>
        </w:tc>
      </w:tr>
      <w:tr w:rsidR="000B3C5C" w14:paraId="6C06F34D" w14:textId="77777777">
        <w:trPr>
          <w:trHeight w:val="350"/>
        </w:trPr>
        <w:tc>
          <w:tcPr>
            <w:tcW w:w="1954" w:type="dxa"/>
            <w:tcBorders>
              <w:top w:val="nil"/>
              <w:left w:val="nil"/>
              <w:bottom w:val="nil"/>
              <w:right w:val="nil"/>
            </w:tcBorders>
          </w:tcPr>
          <w:p w14:paraId="50251DB7" w14:textId="77777777" w:rsidR="000B3C5C" w:rsidRDefault="00ED192D">
            <w:pPr>
              <w:spacing w:after="0" w:line="259" w:lineRule="auto"/>
              <w:ind w:left="122" w:firstLine="0"/>
            </w:pPr>
            <w:r>
              <w:rPr>
                <w:rFonts w:ascii="Arial" w:eastAsia="Arial" w:hAnsi="Arial" w:cs="Arial"/>
                <w:sz w:val="20"/>
              </w:rPr>
              <w:t>C</w:t>
            </w:r>
            <w:r>
              <w:rPr>
                <w:rFonts w:ascii="Arial" w:eastAsia="Arial" w:hAnsi="Arial" w:cs="Arial"/>
                <w:sz w:val="13"/>
              </w:rPr>
              <w:t>max</w:t>
            </w:r>
            <w:r>
              <w:rPr>
                <w:rFonts w:ascii="Arial" w:eastAsia="Arial" w:hAnsi="Arial" w:cs="Arial"/>
                <w:sz w:val="20"/>
              </w:rPr>
              <w:t xml:space="preserve"> </w:t>
            </w:r>
          </w:p>
        </w:tc>
        <w:tc>
          <w:tcPr>
            <w:tcW w:w="7746" w:type="dxa"/>
            <w:tcBorders>
              <w:top w:val="nil"/>
              <w:left w:val="nil"/>
              <w:bottom w:val="nil"/>
              <w:right w:val="nil"/>
            </w:tcBorders>
          </w:tcPr>
          <w:p w14:paraId="3AF1DF0E" w14:textId="77777777" w:rsidR="000B3C5C" w:rsidRDefault="00ED192D">
            <w:pPr>
              <w:spacing w:after="0" w:line="259" w:lineRule="auto"/>
              <w:ind w:left="0" w:firstLine="0"/>
            </w:pPr>
            <w:r>
              <w:rPr>
                <w:rFonts w:ascii="Arial" w:eastAsia="Arial" w:hAnsi="Arial" w:cs="Arial"/>
                <w:sz w:val="20"/>
              </w:rPr>
              <w:t xml:space="preserve">Maximum concentration observed after the first infusion </w:t>
            </w:r>
          </w:p>
        </w:tc>
      </w:tr>
      <w:tr w:rsidR="000B3C5C" w14:paraId="3D5C1A01" w14:textId="77777777">
        <w:trPr>
          <w:trHeight w:val="349"/>
        </w:trPr>
        <w:tc>
          <w:tcPr>
            <w:tcW w:w="1954" w:type="dxa"/>
            <w:tcBorders>
              <w:top w:val="nil"/>
              <w:left w:val="nil"/>
              <w:bottom w:val="nil"/>
              <w:right w:val="nil"/>
            </w:tcBorders>
          </w:tcPr>
          <w:p w14:paraId="61B0BB4B" w14:textId="77777777" w:rsidR="000B3C5C" w:rsidRDefault="00ED192D">
            <w:pPr>
              <w:spacing w:after="0" w:line="259" w:lineRule="auto"/>
              <w:ind w:left="122" w:firstLine="0"/>
            </w:pPr>
            <w:r>
              <w:rPr>
                <w:rFonts w:ascii="Arial" w:eastAsia="Arial" w:hAnsi="Arial" w:cs="Arial"/>
                <w:sz w:val="20"/>
              </w:rPr>
              <w:t>t</w:t>
            </w:r>
            <w:r>
              <w:rPr>
                <w:rFonts w:ascii="Arial" w:eastAsia="Arial" w:hAnsi="Arial" w:cs="Arial"/>
                <w:sz w:val="13"/>
              </w:rPr>
              <w:t>max</w:t>
            </w:r>
            <w:r>
              <w:rPr>
                <w:rFonts w:ascii="Arial" w:eastAsia="Arial" w:hAnsi="Arial" w:cs="Arial"/>
                <w:sz w:val="20"/>
              </w:rPr>
              <w:t xml:space="preserve"> </w:t>
            </w:r>
          </w:p>
        </w:tc>
        <w:tc>
          <w:tcPr>
            <w:tcW w:w="7746" w:type="dxa"/>
            <w:tcBorders>
              <w:top w:val="nil"/>
              <w:left w:val="nil"/>
              <w:bottom w:val="nil"/>
              <w:right w:val="nil"/>
            </w:tcBorders>
          </w:tcPr>
          <w:p w14:paraId="540E22DB" w14:textId="77777777" w:rsidR="000B3C5C" w:rsidRDefault="00ED192D">
            <w:pPr>
              <w:spacing w:after="0" w:line="259" w:lineRule="auto"/>
              <w:ind w:left="0" w:firstLine="0"/>
            </w:pPr>
            <w:r>
              <w:rPr>
                <w:rFonts w:ascii="Arial" w:eastAsia="Arial" w:hAnsi="Arial" w:cs="Arial"/>
                <w:sz w:val="20"/>
              </w:rPr>
              <w:t>Time to reach C</w:t>
            </w:r>
            <w:r>
              <w:rPr>
                <w:rFonts w:ascii="Arial" w:eastAsia="Arial" w:hAnsi="Arial" w:cs="Arial"/>
                <w:sz w:val="20"/>
                <w:vertAlign w:val="subscript"/>
              </w:rPr>
              <w:t>max</w:t>
            </w:r>
            <w:r>
              <w:rPr>
                <w:rFonts w:ascii="Arial" w:eastAsia="Arial" w:hAnsi="Arial" w:cs="Arial"/>
                <w:sz w:val="20"/>
              </w:rPr>
              <w:t xml:space="preserve"> </w:t>
            </w:r>
          </w:p>
        </w:tc>
      </w:tr>
      <w:tr w:rsidR="000B3C5C" w14:paraId="333D2E5B" w14:textId="77777777">
        <w:trPr>
          <w:trHeight w:val="349"/>
        </w:trPr>
        <w:tc>
          <w:tcPr>
            <w:tcW w:w="1954" w:type="dxa"/>
            <w:tcBorders>
              <w:top w:val="nil"/>
              <w:left w:val="nil"/>
              <w:bottom w:val="nil"/>
              <w:right w:val="nil"/>
            </w:tcBorders>
          </w:tcPr>
          <w:p w14:paraId="115E682A" w14:textId="77777777" w:rsidR="000B3C5C" w:rsidRDefault="00ED192D">
            <w:pPr>
              <w:spacing w:after="0" w:line="259" w:lineRule="auto"/>
              <w:ind w:left="122" w:firstLine="0"/>
            </w:pPr>
            <w:r>
              <w:rPr>
                <w:rFonts w:ascii="Arial" w:eastAsia="Arial" w:hAnsi="Arial" w:cs="Arial"/>
                <w:sz w:val="20"/>
              </w:rPr>
              <w:t>C</w:t>
            </w:r>
            <w:r>
              <w:rPr>
                <w:rFonts w:ascii="Arial" w:eastAsia="Arial" w:hAnsi="Arial" w:cs="Arial"/>
                <w:sz w:val="13"/>
              </w:rPr>
              <w:t>last</w:t>
            </w:r>
            <w:r>
              <w:rPr>
                <w:rFonts w:ascii="Arial" w:eastAsia="Arial" w:hAnsi="Arial" w:cs="Arial"/>
                <w:sz w:val="20"/>
              </w:rPr>
              <w:t xml:space="preserve"> </w:t>
            </w:r>
          </w:p>
        </w:tc>
        <w:tc>
          <w:tcPr>
            <w:tcW w:w="7746" w:type="dxa"/>
            <w:tcBorders>
              <w:top w:val="nil"/>
              <w:left w:val="nil"/>
              <w:bottom w:val="nil"/>
              <w:right w:val="nil"/>
            </w:tcBorders>
          </w:tcPr>
          <w:p w14:paraId="6DCED7E4" w14:textId="77777777" w:rsidR="000B3C5C" w:rsidRDefault="00ED192D">
            <w:pPr>
              <w:spacing w:after="0" w:line="259" w:lineRule="auto"/>
              <w:ind w:left="0" w:firstLine="0"/>
            </w:pPr>
            <w:r>
              <w:rPr>
                <w:rFonts w:ascii="Arial" w:eastAsia="Arial" w:hAnsi="Arial" w:cs="Arial"/>
                <w:sz w:val="20"/>
              </w:rPr>
              <w:t xml:space="preserve">Last concentration observed above the lower limit of quantification after the first infusion </w:t>
            </w:r>
          </w:p>
        </w:tc>
      </w:tr>
      <w:tr w:rsidR="000B3C5C" w14:paraId="29C14393" w14:textId="77777777">
        <w:trPr>
          <w:trHeight w:val="350"/>
        </w:trPr>
        <w:tc>
          <w:tcPr>
            <w:tcW w:w="1954" w:type="dxa"/>
            <w:tcBorders>
              <w:top w:val="nil"/>
              <w:left w:val="nil"/>
              <w:bottom w:val="nil"/>
              <w:right w:val="nil"/>
            </w:tcBorders>
          </w:tcPr>
          <w:p w14:paraId="4D281B85" w14:textId="77777777" w:rsidR="000B3C5C" w:rsidRDefault="00ED192D">
            <w:pPr>
              <w:spacing w:after="0" w:line="259" w:lineRule="auto"/>
              <w:ind w:left="122" w:firstLine="0"/>
            </w:pPr>
            <w:r>
              <w:rPr>
                <w:rFonts w:ascii="Arial" w:eastAsia="Arial" w:hAnsi="Arial" w:cs="Arial"/>
                <w:sz w:val="20"/>
              </w:rPr>
              <w:t>t</w:t>
            </w:r>
            <w:r>
              <w:rPr>
                <w:rFonts w:ascii="Arial" w:eastAsia="Arial" w:hAnsi="Arial" w:cs="Arial"/>
                <w:sz w:val="13"/>
              </w:rPr>
              <w:t>last</w:t>
            </w:r>
            <w:r>
              <w:rPr>
                <w:rFonts w:ascii="Arial" w:eastAsia="Arial" w:hAnsi="Arial" w:cs="Arial"/>
                <w:sz w:val="20"/>
              </w:rPr>
              <w:t xml:space="preserve"> </w:t>
            </w:r>
          </w:p>
        </w:tc>
        <w:tc>
          <w:tcPr>
            <w:tcW w:w="7746" w:type="dxa"/>
            <w:tcBorders>
              <w:top w:val="nil"/>
              <w:left w:val="nil"/>
              <w:bottom w:val="nil"/>
              <w:right w:val="nil"/>
            </w:tcBorders>
          </w:tcPr>
          <w:p w14:paraId="16B49B94" w14:textId="77777777" w:rsidR="000B3C5C" w:rsidRDefault="00ED192D">
            <w:pPr>
              <w:spacing w:after="0" w:line="259" w:lineRule="auto"/>
              <w:ind w:left="0" w:firstLine="0"/>
            </w:pPr>
            <w:r>
              <w:rPr>
                <w:rFonts w:ascii="Arial" w:eastAsia="Arial" w:hAnsi="Arial" w:cs="Arial"/>
                <w:sz w:val="20"/>
              </w:rPr>
              <w:t>Time of C</w:t>
            </w:r>
            <w:r>
              <w:rPr>
                <w:rFonts w:ascii="Arial" w:eastAsia="Arial" w:hAnsi="Arial" w:cs="Arial"/>
                <w:sz w:val="20"/>
                <w:vertAlign w:val="subscript"/>
              </w:rPr>
              <w:t>last</w:t>
            </w:r>
            <w:r>
              <w:rPr>
                <w:rFonts w:ascii="Arial" w:eastAsia="Arial" w:hAnsi="Arial" w:cs="Arial"/>
                <w:sz w:val="20"/>
              </w:rPr>
              <w:t xml:space="preserve"> </w:t>
            </w:r>
          </w:p>
        </w:tc>
      </w:tr>
      <w:tr w:rsidR="000B3C5C" w14:paraId="12A67134" w14:textId="77777777">
        <w:trPr>
          <w:trHeight w:val="349"/>
        </w:trPr>
        <w:tc>
          <w:tcPr>
            <w:tcW w:w="1954" w:type="dxa"/>
            <w:tcBorders>
              <w:top w:val="nil"/>
              <w:left w:val="nil"/>
              <w:bottom w:val="nil"/>
              <w:right w:val="nil"/>
            </w:tcBorders>
          </w:tcPr>
          <w:p w14:paraId="764A2AD4" w14:textId="77777777" w:rsidR="000B3C5C" w:rsidRDefault="00ED192D">
            <w:pPr>
              <w:spacing w:after="0" w:line="259" w:lineRule="auto"/>
              <w:ind w:left="122" w:firstLine="0"/>
            </w:pPr>
            <w:r>
              <w:rPr>
                <w:rFonts w:ascii="Arial" w:eastAsia="Arial" w:hAnsi="Arial" w:cs="Arial"/>
                <w:sz w:val="20"/>
              </w:rPr>
              <w:t>C</w:t>
            </w:r>
            <w:r>
              <w:rPr>
                <w:rFonts w:ascii="Arial" w:eastAsia="Arial" w:hAnsi="Arial" w:cs="Arial"/>
                <w:sz w:val="13"/>
              </w:rPr>
              <w:t>trough</w:t>
            </w:r>
            <w:r>
              <w:rPr>
                <w:rFonts w:ascii="Arial" w:eastAsia="Arial" w:hAnsi="Arial" w:cs="Arial"/>
                <w:sz w:val="20"/>
              </w:rPr>
              <w:t xml:space="preserve"> </w:t>
            </w:r>
          </w:p>
        </w:tc>
        <w:tc>
          <w:tcPr>
            <w:tcW w:w="7746" w:type="dxa"/>
            <w:tcBorders>
              <w:top w:val="nil"/>
              <w:left w:val="nil"/>
              <w:bottom w:val="nil"/>
              <w:right w:val="nil"/>
            </w:tcBorders>
          </w:tcPr>
          <w:p w14:paraId="1659EB59" w14:textId="77777777" w:rsidR="000B3C5C" w:rsidRDefault="00ED192D">
            <w:pPr>
              <w:spacing w:after="0" w:line="259" w:lineRule="auto"/>
              <w:ind w:left="0" w:firstLine="0"/>
            </w:pPr>
            <w:r>
              <w:rPr>
                <w:rFonts w:ascii="Arial" w:eastAsia="Arial" w:hAnsi="Arial" w:cs="Arial"/>
                <w:sz w:val="20"/>
              </w:rPr>
              <w:t xml:space="preserve">Concentration observed just before treatment administration during repeated dosing </w:t>
            </w:r>
          </w:p>
        </w:tc>
      </w:tr>
      <w:tr w:rsidR="000B3C5C" w14:paraId="3D4F165A" w14:textId="77777777">
        <w:trPr>
          <w:trHeight w:val="564"/>
        </w:trPr>
        <w:tc>
          <w:tcPr>
            <w:tcW w:w="1954" w:type="dxa"/>
            <w:tcBorders>
              <w:top w:val="nil"/>
              <w:left w:val="nil"/>
              <w:bottom w:val="single" w:sz="4" w:space="0" w:color="000000"/>
              <w:right w:val="nil"/>
            </w:tcBorders>
            <w:vAlign w:val="center"/>
          </w:tcPr>
          <w:p w14:paraId="16519064" w14:textId="77777777" w:rsidR="000B3C5C" w:rsidRDefault="00ED192D">
            <w:pPr>
              <w:spacing w:after="0" w:line="259" w:lineRule="auto"/>
              <w:ind w:left="122" w:firstLine="0"/>
            </w:pPr>
            <w:r>
              <w:rPr>
                <w:rFonts w:ascii="Arial" w:eastAsia="Arial" w:hAnsi="Arial" w:cs="Arial"/>
                <w:sz w:val="20"/>
              </w:rPr>
              <w:t>AUC</w:t>
            </w:r>
            <w:r>
              <w:rPr>
                <w:rFonts w:ascii="Arial" w:eastAsia="Arial" w:hAnsi="Arial" w:cs="Arial"/>
                <w:sz w:val="13"/>
              </w:rPr>
              <w:t>0-T</w:t>
            </w:r>
            <w:r>
              <w:rPr>
                <w:rFonts w:ascii="Arial" w:eastAsia="Arial" w:hAnsi="Arial" w:cs="Arial"/>
                <w:sz w:val="20"/>
              </w:rPr>
              <w:t xml:space="preserve"> </w:t>
            </w:r>
          </w:p>
        </w:tc>
        <w:tc>
          <w:tcPr>
            <w:tcW w:w="7746" w:type="dxa"/>
            <w:tcBorders>
              <w:top w:val="nil"/>
              <w:left w:val="nil"/>
              <w:bottom w:val="single" w:sz="4" w:space="0" w:color="000000"/>
              <w:right w:val="nil"/>
            </w:tcBorders>
          </w:tcPr>
          <w:p w14:paraId="521CFE28" w14:textId="77777777" w:rsidR="000B3C5C" w:rsidRDefault="00ED192D">
            <w:pPr>
              <w:spacing w:after="0" w:line="259" w:lineRule="auto"/>
              <w:ind w:left="0" w:firstLine="0"/>
            </w:pPr>
            <w:r>
              <w:rPr>
                <w:rFonts w:ascii="Arial" w:eastAsia="Arial" w:hAnsi="Arial" w:cs="Arial"/>
                <w:sz w:val="20"/>
              </w:rPr>
              <w:t>Area under the plasma concentration versus time curve calculated using the trapezoidal method over the dosing interval (</w:t>
            </w:r>
            <w:r>
              <w:rPr>
                <w:rFonts w:ascii="Arial" w:eastAsia="Arial" w:hAnsi="Arial" w:cs="Arial"/>
                <w:sz w:val="20"/>
                <w:vertAlign w:val="subscript"/>
              </w:rPr>
              <w:t>T</w:t>
            </w:r>
            <w:r>
              <w:rPr>
                <w:rFonts w:ascii="Arial" w:eastAsia="Arial" w:hAnsi="Arial" w:cs="Arial"/>
                <w:sz w:val="20"/>
              </w:rPr>
              <w:t xml:space="preserve">; ie, 7 days for isatuximab) after the first infusion </w:t>
            </w:r>
          </w:p>
        </w:tc>
      </w:tr>
    </w:tbl>
    <w:p w14:paraId="1E196206" w14:textId="77777777" w:rsidR="000B3C5C" w:rsidRDefault="00ED192D">
      <w:pPr>
        <w:pStyle w:val="Heading5"/>
        <w:ind w:left="-5"/>
      </w:pPr>
      <w:r>
        <w:t xml:space="preserve">8.5.4.2 Population approach – isatuximab and atezolizumab  </w:t>
      </w:r>
    </w:p>
    <w:p w14:paraId="4ED2462A" w14:textId="77777777" w:rsidR="000B3C5C" w:rsidRDefault="00ED192D">
      <w:pPr>
        <w:spacing w:after="472"/>
        <w:ind w:left="-3" w:right="14"/>
      </w:pPr>
      <w:r>
        <w:t xml:space="preserve">In addition to atezolizumab, population PK approaches may be used for </w:t>
      </w:r>
      <w:r>
        <w:t>isatuximab. If done, the data generated will be reported in a separate stand-alone report(s).</w:t>
      </w:r>
      <w:r>
        <w:rPr>
          <w:rFonts w:ascii="Arial" w:eastAsia="Arial" w:hAnsi="Arial" w:cs="Arial"/>
          <w:b/>
          <w:i/>
          <w:sz w:val="22"/>
        </w:rPr>
        <w:t xml:space="preserve"> </w:t>
      </w:r>
    </w:p>
    <w:p w14:paraId="73DA85C2" w14:textId="77777777" w:rsidR="000B3C5C" w:rsidRDefault="00ED192D">
      <w:pPr>
        <w:pStyle w:val="Heading3"/>
        <w:tabs>
          <w:tab w:val="center" w:pos="1914"/>
        </w:tabs>
        <w:ind w:left="-15" w:firstLine="0"/>
      </w:pPr>
      <w:r>
        <w:t xml:space="preserve">8.6 </w:t>
      </w:r>
      <w:r>
        <w:tab/>
        <w:t xml:space="preserve">PHARMACODYNAMICS  </w:t>
      </w:r>
    </w:p>
    <w:p w14:paraId="214A4EC7" w14:textId="77777777" w:rsidR="000B3C5C" w:rsidRDefault="00ED192D">
      <w:pPr>
        <w:spacing w:after="135"/>
        <w:ind w:left="-3" w:right="14"/>
      </w:pPr>
      <w:r>
        <w:t xml:space="preserve">Tumor biopsies* will be collected at baseline** and during treatment**, for the following pharmacodynamic biomarker analyses: </w:t>
      </w:r>
    </w:p>
    <w:p w14:paraId="3ABCDFF7" w14:textId="77777777" w:rsidR="000B3C5C" w:rsidRDefault="00ED192D">
      <w:pPr>
        <w:numPr>
          <w:ilvl w:val="0"/>
          <w:numId w:val="45"/>
        </w:numPr>
        <w:spacing w:after="135"/>
        <w:ind w:right="72" w:hanging="358"/>
      </w:pPr>
      <w:r>
        <w:t xml:space="preserve">CD38 positive cells, PD-L1 positive cells and immune-contexture (such as T cells, B cells, activating or inhibitory receptors) by immunohistochemistry (IHC) or Fluorescent Multiplex IHC in formalin-fixed paraffin-embedded (FFPE) tumors. </w:t>
      </w:r>
    </w:p>
    <w:p w14:paraId="7AE8DEFE" w14:textId="77777777" w:rsidR="000B3C5C" w:rsidRDefault="00ED192D">
      <w:pPr>
        <w:numPr>
          <w:ilvl w:val="0"/>
          <w:numId w:val="45"/>
        </w:numPr>
        <w:ind w:right="72" w:hanging="358"/>
      </w:pPr>
      <w:r>
        <w:t xml:space="preserve">Transcriptomic immune profiling by techniques such as NGS (RNAseq) on RNAlater preserved tumor if enough tumor material is available or by Nanostring on available FFPE tumor sample. </w:t>
      </w:r>
    </w:p>
    <w:p w14:paraId="52BFB56D" w14:textId="77777777" w:rsidR="000B3C5C" w:rsidRDefault="00ED192D">
      <w:pPr>
        <w:ind w:left="-3" w:right="14"/>
      </w:pPr>
      <w:r>
        <w:t>*Fine needle aspirates are not acceptable. Needle or excisional biopsies, or resected tissue are required. Provision of adequate archival tumor tissue sample obtained at the time of or after progression of immediate previous line of anti-cancer treatment is allowed to replace mandatory baseline biopsy. For GBM, it is mandatory to provide archival tumor tissue sample. The biopsy taken at baseline and potentially Cycle 2 Day 1 should be from a lesion not previously irradiated (preferred), or the new growth ar</w:t>
      </w:r>
      <w:r>
        <w:t xml:space="preserve">ea of a lesion that grows after irradiation. </w:t>
      </w:r>
    </w:p>
    <w:p w14:paraId="1F9FF9E1" w14:textId="77777777" w:rsidR="000B3C5C" w:rsidRDefault="00ED192D">
      <w:pPr>
        <w:ind w:left="-3" w:right="14"/>
      </w:pPr>
      <w:r>
        <w:t xml:space="preserve">** Tumor biopsy at baseline is mandatory (unless clinically unfeasible and after discussion with Sanofi Medical Monitor in Phase 1 and Phase 2 Stage 1, mandatory in Phase 2 Stage 2). During treatment, tumor biopsies will be taken at Cycle 2 Day 1, unless clinically unfeasible and after discussion with Sanofi Medical Monitor. Peripheral blood samples will be collected at baseline and during treatment, for the following pharmacodynamics biomarker analyses: </w:t>
      </w:r>
    </w:p>
    <w:p w14:paraId="5741FA10" w14:textId="77777777" w:rsidR="000B3C5C" w:rsidRDefault="00ED192D">
      <w:pPr>
        <w:spacing w:after="288"/>
        <w:ind w:left="-3" w:right="14"/>
      </w:pPr>
      <w:r>
        <w:t xml:space="preserve">Immunophenotyping to assess the immunomodulatory effects of isatuximab and atezolizumab. More particularly, immune cell subsets (such as B cells, T cells, NK cells, neutrophils, and regulatory cells), as well as immune regulatory markers (such as activating and inhibitory receptors) will be characterized by techniques such as flow cytometry at baseline, during, and after treatment only on Phase 2 Stage 2 patients. </w:t>
      </w:r>
    </w:p>
    <w:p w14:paraId="1923230A" w14:textId="77777777" w:rsidR="000B3C5C" w:rsidRDefault="00ED192D">
      <w:pPr>
        <w:spacing w:after="204"/>
        <w:ind w:left="-3" w:right="14"/>
      </w:pPr>
      <w:r>
        <w:t>Peripheral blood cytokine concentration (such as interferon-γ, tumor necrosis factor</w:t>
      </w:r>
      <w:r>
        <w:rPr>
          <w:rFonts w:ascii="MS Mincho" w:eastAsia="MS Mincho" w:hAnsi="MS Mincho" w:cs="MS Mincho"/>
        </w:rPr>
        <w:t>‑</w:t>
      </w:r>
      <w:r>
        <w:t>α, interleukin (IL)-2, IL-6, IL-12, IL</w:t>
      </w:r>
      <w:r>
        <w:rPr>
          <w:rFonts w:ascii="MS Mincho" w:eastAsia="MS Mincho" w:hAnsi="MS Mincho" w:cs="MS Mincho"/>
        </w:rPr>
        <w:t>‑</w:t>
      </w:r>
      <w:r>
        <w:t>4, IL-10, transforming growth factor-</w:t>
      </w:r>
      <w:r>
        <w:t>ß) will be evaluated at baseline, during, and after treatment by enzyme</w:t>
      </w:r>
      <w:r>
        <w:rPr>
          <w:rFonts w:ascii="MS Mincho" w:eastAsia="MS Mincho" w:hAnsi="MS Mincho" w:cs="MS Mincho"/>
        </w:rPr>
        <w:t>‑</w:t>
      </w:r>
      <w:r>
        <w:t xml:space="preserve">linked immunosorbent assay-based techniques. </w:t>
      </w:r>
    </w:p>
    <w:p w14:paraId="7403E755" w14:textId="77777777" w:rsidR="000B3C5C" w:rsidRDefault="00ED192D">
      <w:pPr>
        <w:ind w:left="-3" w:right="14"/>
      </w:pPr>
      <w:r>
        <w:t xml:space="preserve">Tumor mutational profile (ie, somatic mutations in genes) will be analyzed at baseline, during and after treatment in plasma cell free DNA and followed as a potential marker of response to IMP or of acquired resistance to treatment. Subtractive mutation analysis will be performed with germline DNA data to identify tumoral specific variations. </w:t>
      </w:r>
    </w:p>
    <w:p w14:paraId="54CEAAA1" w14:textId="77777777" w:rsidR="000B3C5C" w:rsidRDefault="00ED192D">
      <w:pPr>
        <w:ind w:left="-3" w:right="14"/>
      </w:pPr>
      <w:r>
        <w:t xml:space="preserve">If sufficient clinical response is observable in Phase 1 and Phase 2 Stage 1 patients, further characterization of the immune response might be performed on Phase 2 Stage 2 patients by analyzing humoral and T cell adaptive immune response at baseline, during and after treatment in peripheral blood. </w:t>
      </w:r>
    </w:p>
    <w:p w14:paraId="1774BAFB" w14:textId="77777777" w:rsidR="000B3C5C" w:rsidRDefault="00ED192D">
      <w:pPr>
        <w:spacing w:after="472"/>
        <w:ind w:left="-3" w:right="14"/>
      </w:pPr>
      <w:r>
        <w:t xml:space="preserve">If sufficient clinical response is observable in Phase 1 and Phase 2 Stage 1 patients, analysis of Isatuximab enzymatic activity might be performed at baseline, during, and after treatment by measuring metabolites in plasma or serum from peripheral blood. </w:t>
      </w:r>
    </w:p>
    <w:p w14:paraId="7435F683" w14:textId="77777777" w:rsidR="000B3C5C" w:rsidRDefault="00ED192D">
      <w:pPr>
        <w:pStyle w:val="Heading3"/>
        <w:tabs>
          <w:tab w:val="center" w:pos="1241"/>
        </w:tabs>
        <w:ind w:left="-15" w:firstLine="0"/>
      </w:pPr>
      <w:r>
        <w:t xml:space="preserve">8.7 </w:t>
      </w:r>
      <w:r>
        <w:tab/>
        <w:t xml:space="preserve">GENETICS  </w:t>
      </w:r>
    </w:p>
    <w:p w14:paraId="553EFCCB" w14:textId="77777777" w:rsidR="000B3C5C" w:rsidRDefault="00ED192D">
      <w:pPr>
        <w:ind w:left="-3" w:right="14"/>
      </w:pPr>
      <w:r>
        <w:t xml:space="preserve">Blood sample for DNA isolation will be collected from participants during the clinical study. </w:t>
      </w:r>
    </w:p>
    <w:p w14:paraId="6C74E5AA" w14:textId="77777777" w:rsidR="000B3C5C" w:rsidRDefault="00ED192D">
      <w:pPr>
        <w:ind w:left="-3" w:right="14"/>
      </w:pPr>
      <w:r>
        <w:t xml:space="preserve">Plasma cell free DNA will be isolated from peripheral blood at baseline, during and after treatment to analyze tumor mutational profile (ie, somatic mutations), as described in </w:t>
      </w:r>
      <w:r>
        <w:rPr>
          <w:color w:val="0000FF"/>
        </w:rPr>
        <w:t>Section</w:t>
      </w:r>
      <w:r>
        <w:t xml:space="preserve"> </w:t>
      </w:r>
      <w:r>
        <w:rPr>
          <w:color w:val="0000FF"/>
        </w:rPr>
        <w:t>8.6</w:t>
      </w:r>
      <w:r>
        <w:t xml:space="preserve">. </w:t>
      </w:r>
    </w:p>
    <w:p w14:paraId="5B9B9681" w14:textId="77777777" w:rsidR="000B3C5C" w:rsidRDefault="00ED192D">
      <w:pPr>
        <w:spacing w:after="135"/>
        <w:ind w:left="-3" w:right="14"/>
      </w:pPr>
      <w:r>
        <w:t xml:space="preserve">Peripheral blood samples will be collected for DNA isolation at baseline for the following biomarker analyses: </w:t>
      </w:r>
    </w:p>
    <w:p w14:paraId="7AE9B457" w14:textId="77777777" w:rsidR="000B3C5C" w:rsidRDefault="00ED192D">
      <w:pPr>
        <w:numPr>
          <w:ilvl w:val="0"/>
          <w:numId w:val="46"/>
        </w:numPr>
        <w:ind w:right="14" w:hanging="358"/>
      </w:pPr>
      <w:r>
        <w:t xml:space="preserve">Immune genetic determinants (including FcγRIII polymorphisms) will be analyzed.  </w:t>
      </w:r>
    </w:p>
    <w:p w14:paraId="72B879DE" w14:textId="77777777" w:rsidR="000B3C5C" w:rsidRDefault="00ED192D">
      <w:pPr>
        <w:numPr>
          <w:ilvl w:val="0"/>
          <w:numId w:val="46"/>
        </w:numPr>
        <w:ind w:right="14" w:hanging="358"/>
      </w:pPr>
      <w:r>
        <w:t xml:space="preserve">Peripheral blood samples will also be used as a control for tumor mutational profile analysis as described in </w:t>
      </w:r>
      <w:r>
        <w:rPr>
          <w:color w:val="0000FF"/>
        </w:rPr>
        <w:t>Section</w:t>
      </w:r>
      <w:r>
        <w:t xml:space="preserve"> </w:t>
      </w:r>
      <w:r>
        <w:rPr>
          <w:color w:val="0000FF"/>
        </w:rPr>
        <w:t>8.6</w:t>
      </w:r>
      <w:r>
        <w:t xml:space="preserve">. Subtractive mutation analysis will be performed with germline DNA from this peripheral blood sample data to identify tumoral specific variations. </w:t>
      </w:r>
    </w:p>
    <w:p w14:paraId="2A283B0D" w14:textId="77777777" w:rsidR="000B3C5C" w:rsidRDefault="00ED192D">
      <w:pPr>
        <w:ind w:left="-3" w:right="14"/>
      </w:pPr>
      <w:r>
        <w:t xml:space="preserve">Blood DNA for immune genetic determinants and for control of tumor mutational profile analysis will not be used to determine the likelihood of the participant or his/her family members developing a disease. </w:t>
      </w:r>
    </w:p>
    <w:p w14:paraId="646E2FDF" w14:textId="77777777" w:rsidR="000B3C5C" w:rsidRDefault="00ED192D">
      <w:pPr>
        <w:spacing w:after="473"/>
        <w:ind w:left="-3" w:right="14"/>
      </w:pPr>
      <w:r>
        <w:t>See Appendix 5 (</w:t>
      </w:r>
      <w:r>
        <w:rPr>
          <w:color w:val="0000FF"/>
        </w:rPr>
        <w:t>Section</w:t>
      </w:r>
      <w:r>
        <w:t xml:space="preserve"> </w:t>
      </w:r>
      <w:r>
        <w:rPr>
          <w:color w:val="0000FF"/>
        </w:rPr>
        <w:t>10.5</w:t>
      </w:r>
      <w:r>
        <w:t>) for Information regarding genetic research. Details on processes for collection and shipment and destruction of these samples can be found in laboratory manual.</w:t>
      </w:r>
      <w:r>
        <w:rPr>
          <w:color w:val="FF00FF"/>
        </w:rPr>
        <w:t xml:space="preserve"> </w:t>
      </w:r>
    </w:p>
    <w:p w14:paraId="722F6928" w14:textId="77777777" w:rsidR="000B3C5C" w:rsidRDefault="00ED192D">
      <w:pPr>
        <w:pStyle w:val="Heading3"/>
        <w:tabs>
          <w:tab w:val="center" w:pos="1429"/>
        </w:tabs>
        <w:spacing w:after="191"/>
        <w:ind w:left="-15" w:firstLine="0"/>
      </w:pPr>
      <w:r>
        <w:t xml:space="preserve">8.8 </w:t>
      </w:r>
      <w:r>
        <w:tab/>
        <w:t xml:space="preserve">BIOMARKERS  </w:t>
      </w:r>
    </w:p>
    <w:p w14:paraId="1FE219FF" w14:textId="77777777" w:rsidR="000B3C5C" w:rsidRDefault="00ED192D">
      <w:pPr>
        <w:spacing w:after="170"/>
        <w:ind w:left="-3" w:right="14"/>
      </w:pPr>
      <w:r>
        <w:t xml:space="preserve">During the study additional analyses, not specified in the protocol but related to the drug action and/or effect of isatuximab/atezolizumab, may be conducted on samples pending evolving literature. </w:t>
      </w:r>
    </w:p>
    <w:p w14:paraId="400C05DB" w14:textId="77777777" w:rsidR="000B3C5C" w:rsidRDefault="00ED192D">
      <w:pPr>
        <w:spacing w:after="170"/>
        <w:ind w:left="-3" w:right="14"/>
      </w:pPr>
      <w:r>
        <w:t xml:space="preserve">After study completion, for patients who have consented to it, remaining samples will be kept for other possible exploratory analyses. Results of these analyses will not be included in the clinical study report (CSR) but in a stand-alone report, if applicable. </w:t>
      </w:r>
    </w:p>
    <w:p w14:paraId="28498192" w14:textId="77777777" w:rsidR="000B3C5C" w:rsidRDefault="00ED192D">
      <w:pPr>
        <w:spacing w:after="170"/>
        <w:ind w:left="-3" w:right="14"/>
      </w:pPr>
      <w:r>
        <w:t xml:space="preserve">These other research analyses will help to understand either disease subtypes or drug response, or to develop and/or validate a bioassay method, or to identify new drug targets or biomarkers. </w:t>
      </w:r>
    </w:p>
    <w:p w14:paraId="26FC7DCE" w14:textId="77777777" w:rsidR="000B3C5C" w:rsidRDefault="00ED192D">
      <w:pPr>
        <w:spacing w:after="170"/>
        <w:ind w:left="-3" w:right="14"/>
      </w:pPr>
      <w:r>
        <w:t xml:space="preserve">These samples will remain labelled with the same identifiers used during the study (ie, participant ID).  </w:t>
      </w:r>
    </w:p>
    <w:p w14:paraId="3F73116A" w14:textId="77777777" w:rsidR="000B3C5C" w:rsidRDefault="00ED192D">
      <w:pPr>
        <w:spacing w:after="333"/>
        <w:ind w:left="-3" w:right="14"/>
      </w:pPr>
      <w:r>
        <w:t xml:space="preserve">They will be transferred to a Sanofi site (or a subcontractor site) which can be located outside of the country where the study is conducted. The Sponsor has included safeguards for protecting patient confidentiality and personal data (see </w:t>
      </w:r>
      <w:r>
        <w:rPr>
          <w:color w:val="0000FF"/>
        </w:rPr>
        <w:t>Section</w:t>
      </w:r>
      <w:r>
        <w:t xml:space="preserve"> </w:t>
      </w:r>
      <w:r>
        <w:rPr>
          <w:color w:val="0000FF"/>
        </w:rPr>
        <w:t>10.1.3</w:t>
      </w:r>
      <w:r>
        <w:t>)</w:t>
      </w:r>
      <w:r>
        <w:rPr>
          <w:color w:val="0000FF"/>
        </w:rPr>
        <w:t>.</w:t>
      </w:r>
      <w:r>
        <w:t xml:space="preserve">These samples maybe stored for a period of up to 5 years after completion of the final study report. After that period, any samples remaining will be destroyed. </w:t>
      </w:r>
    </w:p>
    <w:p w14:paraId="3C6FF795" w14:textId="77777777" w:rsidR="000B3C5C" w:rsidRDefault="00ED192D">
      <w:pPr>
        <w:pStyle w:val="Heading4"/>
        <w:spacing w:after="187"/>
        <w:ind w:left="-5"/>
      </w:pPr>
      <w:r>
        <w:t xml:space="preserve">8.8.1 Immunogenicity assessments  </w:t>
      </w:r>
    </w:p>
    <w:p w14:paraId="2E79F46F" w14:textId="77777777" w:rsidR="000B3C5C" w:rsidRDefault="00ED192D">
      <w:pPr>
        <w:spacing w:after="170"/>
        <w:ind w:left="-3" w:right="14"/>
      </w:pPr>
      <w:r>
        <w:t>The atezolizumab and isatuximab ADA sampling times for blood collection can be found in the PK/PD Flow Chart (</w:t>
      </w:r>
      <w:r>
        <w:rPr>
          <w:color w:val="0000FF"/>
        </w:rPr>
        <w:t>Section</w:t>
      </w:r>
      <w:r>
        <w:t xml:space="preserve"> </w:t>
      </w:r>
      <w:r>
        <w:rPr>
          <w:color w:val="0000FF"/>
        </w:rPr>
        <w:t>1.3</w:t>
      </w:r>
      <w:r>
        <w:t xml:space="preserve">). </w:t>
      </w:r>
    </w:p>
    <w:p w14:paraId="17A30FFB" w14:textId="77777777" w:rsidR="000B3C5C" w:rsidRDefault="00ED192D">
      <w:pPr>
        <w:spacing w:after="170"/>
        <w:ind w:left="-3" w:right="14"/>
      </w:pPr>
      <w:r>
        <w:t xml:space="preserve">It is of the utmost importance to collect all the blood samples at the specified times and according to specifications for collection, storage, and shipment as defined in a separate laboratory manual. </w:t>
      </w:r>
    </w:p>
    <w:p w14:paraId="65A8D8DD" w14:textId="77777777" w:rsidR="000B3C5C" w:rsidRDefault="00ED192D">
      <w:pPr>
        <w:spacing w:after="170"/>
        <w:ind w:left="-3" w:right="14"/>
      </w:pPr>
      <w:r>
        <w:t xml:space="preserve">Samples missed or lost, for any reason should be recorded. Actual dates and times of blood collection should be recorded in the eCRF.  The dates and times of drug administration should also be precisely recorded. </w:t>
      </w:r>
    </w:p>
    <w:p w14:paraId="19947778" w14:textId="77777777" w:rsidR="000B3C5C" w:rsidRDefault="00ED192D">
      <w:pPr>
        <w:ind w:left="-3" w:right="14"/>
      </w:pPr>
      <w:r>
        <w:t xml:space="preserve">ADA against isatuximab in plasma and ADA against atezolizumab in serum will be analyzed by immunoassay.  Details will be provided in a separate Laboratory Manual.  </w:t>
      </w:r>
    </w:p>
    <w:p w14:paraId="6FB8009F" w14:textId="77777777" w:rsidR="000B3C5C" w:rsidRDefault="00ED192D">
      <w:pPr>
        <w:pStyle w:val="Heading4"/>
        <w:ind w:left="-5"/>
      </w:pPr>
      <w:r>
        <w:t xml:space="preserve">8.8.2 RNA transcriptome research  </w:t>
      </w:r>
    </w:p>
    <w:p w14:paraId="00FCBF4A" w14:textId="77777777" w:rsidR="000B3C5C" w:rsidRDefault="00ED192D">
      <w:pPr>
        <w:ind w:left="-3" w:right="14"/>
      </w:pPr>
      <w:r>
        <w:t>Transcriptome studies will be conducted using NGS (RNAseq) on RNAlater preserved tumor if enough tumor material is available or by Nanostring on available FFPE tumor sample and/or alternative equivalent technologies, which facilitates the simultaneous measurement of the relative abundances of thousands of ribonucleic acid (RNA) species resulting in a transcriptome profile for each</w:t>
      </w:r>
      <w:r>
        <w:rPr>
          <w:i/>
        </w:rPr>
        <w:t xml:space="preserve"> </w:t>
      </w:r>
      <w:r>
        <w:t>and</w:t>
      </w:r>
      <w:r>
        <w:rPr>
          <w:i/>
        </w:rPr>
        <w:t xml:space="preserve"> </w:t>
      </w:r>
      <w:r>
        <w:t>tumor biopsy</w:t>
      </w:r>
      <w:r>
        <w:rPr>
          <w:i/>
        </w:rPr>
        <w:t xml:space="preserve"> </w:t>
      </w:r>
      <w:r>
        <w:t>sample. This will enable the evaluation of changes in transcriptome profiles that may correlate with biological response relating to disease or the action of study intervention</w:t>
      </w:r>
      <w:r>
        <w:rPr>
          <w:i/>
        </w:rPr>
        <w:t xml:space="preserve">. </w:t>
      </w:r>
    </w:p>
    <w:p w14:paraId="7B43202B" w14:textId="77777777" w:rsidR="000B3C5C" w:rsidRDefault="00ED192D">
      <w:pPr>
        <w:spacing w:after="473"/>
        <w:ind w:left="-3" w:right="14"/>
      </w:pPr>
      <w:r>
        <w:t xml:space="preserve">The same samples may also be used to confirm findings by application of alternative technologies. </w:t>
      </w:r>
    </w:p>
    <w:p w14:paraId="59360ADB" w14:textId="77777777" w:rsidR="000B3C5C" w:rsidRDefault="00ED192D">
      <w:pPr>
        <w:spacing w:after="249" w:line="249" w:lineRule="auto"/>
        <w:ind w:left="664" w:hanging="679"/>
      </w:pPr>
      <w:r>
        <w:rPr>
          <w:rFonts w:ascii="Arial" w:eastAsia="Arial" w:hAnsi="Arial" w:cs="Arial"/>
          <w:b/>
          <w:sz w:val="22"/>
        </w:rPr>
        <w:t xml:space="preserve">8.9 </w:t>
      </w:r>
      <w:r>
        <w:rPr>
          <w:rFonts w:ascii="Arial" w:eastAsia="Arial" w:hAnsi="Arial" w:cs="Arial"/>
          <w:b/>
          <w:sz w:val="22"/>
        </w:rPr>
        <w:tab/>
        <w:t xml:space="preserve">HEALTH ECONOMICS OR MEDICAL RESOURCE UTILIZATION AND HEALTH ECONOMICS  </w:t>
      </w:r>
    </w:p>
    <w:p w14:paraId="094B54E5" w14:textId="77777777" w:rsidR="000B3C5C" w:rsidRDefault="00ED192D">
      <w:pPr>
        <w:ind w:left="-3" w:right="14"/>
      </w:pPr>
      <w:r>
        <w:t xml:space="preserve">Not applicable. </w:t>
      </w:r>
      <w:r>
        <w:br w:type="page"/>
      </w:r>
    </w:p>
    <w:p w14:paraId="2A0486CC" w14:textId="77777777" w:rsidR="000B3C5C" w:rsidRDefault="00ED192D">
      <w:pPr>
        <w:pStyle w:val="Heading1"/>
        <w:tabs>
          <w:tab w:val="center" w:pos="2896"/>
        </w:tabs>
        <w:spacing w:after="419"/>
        <w:ind w:left="-13" w:firstLine="0"/>
      </w:pPr>
      <w:r>
        <w:t xml:space="preserve">9 </w:t>
      </w:r>
      <w:r>
        <w:tab/>
        <w:t xml:space="preserve">STATISTICAL CONSIDERATIONS  </w:t>
      </w:r>
    </w:p>
    <w:p w14:paraId="0AB3FD08" w14:textId="77777777" w:rsidR="000B3C5C" w:rsidRDefault="00ED192D">
      <w:pPr>
        <w:tabs>
          <w:tab w:val="center" w:pos="2176"/>
        </w:tabs>
        <w:spacing w:after="249" w:line="249" w:lineRule="auto"/>
        <w:ind w:left="-15" w:firstLine="0"/>
      </w:pPr>
      <w:r>
        <w:rPr>
          <w:rFonts w:ascii="Arial" w:eastAsia="Arial" w:hAnsi="Arial" w:cs="Arial"/>
          <w:b/>
          <w:sz w:val="22"/>
        </w:rPr>
        <w:t xml:space="preserve">9.1 </w:t>
      </w:r>
      <w:r>
        <w:rPr>
          <w:rFonts w:ascii="Arial" w:eastAsia="Arial" w:hAnsi="Arial" w:cs="Arial"/>
          <w:b/>
          <w:sz w:val="22"/>
        </w:rPr>
        <w:tab/>
      </w:r>
      <w:r>
        <w:rPr>
          <w:rFonts w:ascii="Arial" w:eastAsia="Arial" w:hAnsi="Arial" w:cs="Arial"/>
          <w:b/>
          <w:sz w:val="22"/>
        </w:rPr>
        <w:t xml:space="preserve">STATISTICAL HYPOTHESES  </w:t>
      </w:r>
    </w:p>
    <w:p w14:paraId="35FEC2DF" w14:textId="77777777" w:rsidR="000B3C5C" w:rsidRDefault="00ED192D">
      <w:pPr>
        <w:spacing w:after="216" w:line="259" w:lineRule="auto"/>
        <w:ind w:left="-5"/>
      </w:pPr>
      <w:r>
        <w:rPr>
          <w:b/>
          <w:u w:val="single" w:color="000000"/>
        </w:rPr>
        <w:t>Phase 1</w:t>
      </w:r>
      <w:r>
        <w:rPr>
          <w:b/>
        </w:rPr>
        <w:t xml:space="preserve"> </w:t>
      </w:r>
    </w:p>
    <w:p w14:paraId="0986A9E0" w14:textId="77777777" w:rsidR="000B3C5C" w:rsidRDefault="00ED192D">
      <w:pPr>
        <w:ind w:left="-3" w:right="14"/>
      </w:pPr>
      <w:r>
        <w:t xml:space="preserve">There is no formal statistical hypothesis in Phase 1 safety run-in. </w:t>
      </w:r>
    </w:p>
    <w:p w14:paraId="0E2FA715" w14:textId="77777777" w:rsidR="000B3C5C" w:rsidRDefault="00ED192D">
      <w:pPr>
        <w:pStyle w:val="Heading2"/>
        <w:spacing w:after="153" w:line="259" w:lineRule="auto"/>
        <w:ind w:left="-5"/>
      </w:pPr>
      <w:r>
        <w:rPr>
          <w:u w:val="single" w:color="000000"/>
        </w:rPr>
        <w:t>Phase 2</w:t>
      </w:r>
      <w:r>
        <w:t xml:space="preserve"> </w:t>
      </w:r>
    </w:p>
    <w:p w14:paraId="552986A7" w14:textId="77777777" w:rsidR="000B3C5C" w:rsidRDefault="00ED192D">
      <w:pPr>
        <w:spacing w:after="170"/>
        <w:ind w:left="-3" w:right="14"/>
      </w:pPr>
      <w:r>
        <w:t xml:space="preserve">For HCC and SCCHN, the null hypothesis is that the true RR is ≤15%, and the alternative hypothesis is that the true RR is ≥30%.  For EOC, the null hypothesis is that the true RR is ≤20% and the alternative hypothesis is that the true RR is ≥40%.   </w:t>
      </w:r>
    </w:p>
    <w:p w14:paraId="351F8D16" w14:textId="77777777" w:rsidR="000B3C5C" w:rsidRDefault="00ED192D">
      <w:pPr>
        <w:spacing w:after="472"/>
        <w:ind w:left="-3" w:right="14"/>
      </w:pPr>
      <w:r>
        <w:t xml:space="preserve">For GBM, the null hypothesis is that the true PFS-6 is ≤20% and the alternative hypothesis is that the true PFS-6 is ≥35%. </w:t>
      </w:r>
    </w:p>
    <w:p w14:paraId="1674455C" w14:textId="77777777" w:rsidR="000B3C5C" w:rsidRDefault="00ED192D">
      <w:pPr>
        <w:tabs>
          <w:tab w:val="center" w:pos="2359"/>
        </w:tabs>
        <w:spacing w:after="194" w:line="249" w:lineRule="auto"/>
        <w:ind w:left="-15" w:firstLine="0"/>
      </w:pPr>
      <w:r>
        <w:rPr>
          <w:rFonts w:ascii="Arial" w:eastAsia="Arial" w:hAnsi="Arial" w:cs="Arial"/>
          <w:b/>
          <w:sz w:val="22"/>
        </w:rPr>
        <w:t xml:space="preserve">9.2 </w:t>
      </w:r>
      <w:r>
        <w:rPr>
          <w:rFonts w:ascii="Arial" w:eastAsia="Arial" w:hAnsi="Arial" w:cs="Arial"/>
          <w:b/>
          <w:sz w:val="22"/>
        </w:rPr>
        <w:tab/>
        <w:t xml:space="preserve">SAMPLE SIZE DETERMINATION  </w:t>
      </w:r>
    </w:p>
    <w:p w14:paraId="05958F07" w14:textId="77777777" w:rsidR="000B3C5C" w:rsidRDefault="00ED192D">
      <w:pPr>
        <w:pStyle w:val="Heading3"/>
        <w:spacing w:after="166"/>
        <w:ind w:left="-5" w:right="51"/>
      </w:pPr>
      <w:r>
        <w:rPr>
          <w:rFonts w:ascii="Times New Roman" w:eastAsia="Times New Roman" w:hAnsi="Times New Roman" w:cs="Times New Roman"/>
          <w:sz w:val="24"/>
        </w:rPr>
        <w:t xml:space="preserve">Phase 1 </w:t>
      </w:r>
    </w:p>
    <w:p w14:paraId="559CA049" w14:textId="77777777" w:rsidR="000B3C5C" w:rsidRDefault="00ED192D">
      <w:pPr>
        <w:spacing w:after="170"/>
        <w:ind w:left="-3" w:right="14"/>
      </w:pPr>
      <w:r>
        <w:t xml:space="preserve">Approximately 6 (assuming 6 participants for the starting dose) to 24 (assuming 12 participants for the starting dose, and 12 participants for DL-1) DLT evaluable participants are expected to be enrolled. The actual sample size will vary depending on DLTs observed and the number of dose levels explored. Participants who are not evaluable for DLT assessment in Phase 1 may be replaced. </w:t>
      </w:r>
    </w:p>
    <w:p w14:paraId="74BDF8D1" w14:textId="77777777" w:rsidR="000B3C5C" w:rsidRDefault="00ED192D">
      <w:pPr>
        <w:pStyle w:val="Heading3"/>
        <w:spacing w:after="166"/>
        <w:ind w:left="-5" w:right="51"/>
      </w:pPr>
      <w:r>
        <w:rPr>
          <w:rFonts w:ascii="Times New Roman" w:eastAsia="Times New Roman" w:hAnsi="Times New Roman" w:cs="Times New Roman"/>
          <w:sz w:val="24"/>
        </w:rPr>
        <w:t xml:space="preserve">Phase 2 </w:t>
      </w:r>
    </w:p>
    <w:p w14:paraId="36FF6422" w14:textId="77777777" w:rsidR="000B3C5C" w:rsidRDefault="00ED192D">
      <w:pPr>
        <w:spacing w:after="170"/>
        <w:ind w:left="-3" w:right="14"/>
      </w:pPr>
      <w:r>
        <w:t xml:space="preserve">Phase 2 of the study is to evaluate initial anti-tumor activity based on tumor response using RECIST 1.1 criteria for HCC, SCCHN and EOC, and RANO criteria for GBM. The efficacy evaluation is based on 2-stage design with 85% power at 5% one-sided alpha level for each of the participant cohorts, respectively.  </w:t>
      </w:r>
    </w:p>
    <w:p w14:paraId="7EB15014" w14:textId="77777777" w:rsidR="000B3C5C" w:rsidRDefault="00ED192D">
      <w:pPr>
        <w:spacing w:after="0"/>
        <w:ind w:left="-3" w:right="14"/>
      </w:pPr>
      <w:r>
        <w:t xml:space="preserve">The assumption of RR, the required sample sizes, and the number of responders at each stage are provided below for HCC, SCCHN and EOC: </w:t>
      </w:r>
    </w:p>
    <w:p w14:paraId="735A0666" w14:textId="77777777" w:rsidR="000B3C5C" w:rsidRDefault="00ED192D">
      <w:pPr>
        <w:spacing w:after="161" w:line="259" w:lineRule="auto"/>
        <w:ind w:left="-108" w:right="-46" w:firstLine="0"/>
      </w:pPr>
      <w:r>
        <w:rPr>
          <w:rFonts w:ascii="Calibri" w:eastAsia="Calibri" w:hAnsi="Calibri" w:cs="Calibri"/>
          <w:noProof/>
          <w:sz w:val="22"/>
        </w:rPr>
        <mc:AlternateContent>
          <mc:Choice Requires="wpg">
            <w:drawing>
              <wp:inline distT="0" distB="0" distL="0" distR="0" wp14:anchorId="3D53F459" wp14:editId="58D1D6DE">
                <wp:extent cx="6150559" cy="979501"/>
                <wp:effectExtent l="0" t="0" r="0" b="0"/>
                <wp:docPr id="266404" name="Group 266404"/>
                <wp:cNvGraphicFramePr/>
                <a:graphic xmlns:a="http://schemas.openxmlformats.org/drawingml/2006/main">
                  <a:graphicData uri="http://schemas.microsoft.com/office/word/2010/wordprocessingGroup">
                    <wpg:wgp>
                      <wpg:cNvGrpSpPr/>
                      <wpg:grpSpPr>
                        <a:xfrm>
                          <a:off x="0" y="0"/>
                          <a:ext cx="6150559" cy="979501"/>
                          <a:chOff x="0" y="0"/>
                          <a:chExt cx="6150559" cy="979501"/>
                        </a:xfrm>
                      </wpg:grpSpPr>
                      <wps:wsp>
                        <wps:cNvPr id="21636" name="Rectangle 21636"/>
                        <wps:cNvSpPr/>
                        <wps:spPr>
                          <a:xfrm>
                            <a:off x="138684" y="72502"/>
                            <a:ext cx="795243" cy="158130"/>
                          </a:xfrm>
                          <a:prstGeom prst="rect">
                            <a:avLst/>
                          </a:prstGeom>
                          <a:ln>
                            <a:noFill/>
                          </a:ln>
                        </wps:spPr>
                        <wps:txbx>
                          <w:txbxContent>
                            <w:p w14:paraId="5D1F0CA3" w14:textId="77777777" w:rsidR="000B3C5C" w:rsidRDefault="00ED192D">
                              <w:pPr>
                                <w:spacing w:after="160" w:line="259" w:lineRule="auto"/>
                                <w:ind w:left="0" w:firstLine="0"/>
                              </w:pPr>
                              <w:r>
                                <w:rPr>
                                  <w:rFonts w:ascii="Arial" w:eastAsia="Arial" w:hAnsi="Arial" w:cs="Arial"/>
                                  <w:b/>
                                  <w:sz w:val="20"/>
                                </w:rPr>
                                <w:t>Indication</w:t>
                              </w:r>
                            </w:p>
                          </w:txbxContent>
                        </wps:txbx>
                        <wps:bodyPr horzOverflow="overflow" vert="horz" lIns="0" tIns="0" rIns="0" bIns="0" rtlCol="0">
                          <a:noAutofit/>
                        </wps:bodyPr>
                      </wps:wsp>
                      <wps:wsp>
                        <wps:cNvPr id="21637" name="Rectangle 21637"/>
                        <wps:cNvSpPr/>
                        <wps:spPr>
                          <a:xfrm>
                            <a:off x="739089" y="72502"/>
                            <a:ext cx="46769" cy="158130"/>
                          </a:xfrm>
                          <a:prstGeom prst="rect">
                            <a:avLst/>
                          </a:prstGeom>
                          <a:ln>
                            <a:noFill/>
                          </a:ln>
                        </wps:spPr>
                        <wps:txbx>
                          <w:txbxContent>
                            <w:p w14:paraId="7FFB03C0"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21638" name="Rectangle 21638"/>
                        <wps:cNvSpPr/>
                        <wps:spPr>
                          <a:xfrm>
                            <a:off x="1236294" y="72502"/>
                            <a:ext cx="215154" cy="158130"/>
                          </a:xfrm>
                          <a:prstGeom prst="rect">
                            <a:avLst/>
                          </a:prstGeom>
                          <a:ln>
                            <a:noFill/>
                          </a:ln>
                        </wps:spPr>
                        <wps:txbx>
                          <w:txbxContent>
                            <w:p w14:paraId="374A09FE" w14:textId="77777777" w:rsidR="000B3C5C" w:rsidRDefault="00ED192D">
                              <w:pPr>
                                <w:spacing w:after="160" w:line="259" w:lineRule="auto"/>
                                <w:ind w:left="0" w:firstLine="0"/>
                              </w:pPr>
                              <w:r>
                                <w:rPr>
                                  <w:rFonts w:ascii="Arial" w:eastAsia="Arial" w:hAnsi="Arial" w:cs="Arial"/>
                                  <w:b/>
                                  <w:sz w:val="20"/>
                                </w:rPr>
                                <w:t>H0</w:t>
                              </w:r>
                            </w:p>
                          </w:txbxContent>
                        </wps:txbx>
                        <wps:bodyPr horzOverflow="overflow" vert="horz" lIns="0" tIns="0" rIns="0" bIns="0" rtlCol="0">
                          <a:noAutofit/>
                        </wps:bodyPr>
                      </wps:wsp>
                      <wps:wsp>
                        <wps:cNvPr id="21639" name="Rectangle 21639"/>
                        <wps:cNvSpPr/>
                        <wps:spPr>
                          <a:xfrm>
                            <a:off x="1399362" y="72502"/>
                            <a:ext cx="46769" cy="158130"/>
                          </a:xfrm>
                          <a:prstGeom prst="rect">
                            <a:avLst/>
                          </a:prstGeom>
                          <a:ln>
                            <a:noFill/>
                          </a:ln>
                        </wps:spPr>
                        <wps:txbx>
                          <w:txbxContent>
                            <w:p w14:paraId="514C3D26"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21640" name="Rectangle 21640"/>
                        <wps:cNvSpPr/>
                        <wps:spPr>
                          <a:xfrm>
                            <a:off x="2114118" y="72502"/>
                            <a:ext cx="215154" cy="158130"/>
                          </a:xfrm>
                          <a:prstGeom prst="rect">
                            <a:avLst/>
                          </a:prstGeom>
                          <a:ln>
                            <a:noFill/>
                          </a:ln>
                        </wps:spPr>
                        <wps:txbx>
                          <w:txbxContent>
                            <w:p w14:paraId="55686D15" w14:textId="77777777" w:rsidR="000B3C5C" w:rsidRDefault="00ED192D">
                              <w:pPr>
                                <w:spacing w:after="160" w:line="259" w:lineRule="auto"/>
                                <w:ind w:left="0" w:firstLine="0"/>
                              </w:pPr>
                              <w:r>
                                <w:rPr>
                                  <w:rFonts w:ascii="Arial" w:eastAsia="Arial" w:hAnsi="Arial" w:cs="Arial"/>
                                  <w:b/>
                                  <w:sz w:val="20"/>
                                </w:rPr>
                                <w:t>H1</w:t>
                              </w:r>
                            </w:p>
                          </w:txbxContent>
                        </wps:txbx>
                        <wps:bodyPr horzOverflow="overflow" vert="horz" lIns="0" tIns="0" rIns="0" bIns="0" rtlCol="0">
                          <a:noAutofit/>
                        </wps:bodyPr>
                      </wps:wsp>
                      <wps:wsp>
                        <wps:cNvPr id="21641" name="Rectangle 21641"/>
                        <wps:cNvSpPr/>
                        <wps:spPr>
                          <a:xfrm>
                            <a:off x="2277186" y="72502"/>
                            <a:ext cx="46769" cy="158130"/>
                          </a:xfrm>
                          <a:prstGeom prst="rect">
                            <a:avLst/>
                          </a:prstGeom>
                          <a:ln>
                            <a:noFill/>
                          </a:ln>
                        </wps:spPr>
                        <wps:txbx>
                          <w:txbxContent>
                            <w:p w14:paraId="4C0530D5"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21642" name="Rectangle 21642"/>
                        <wps:cNvSpPr/>
                        <wps:spPr>
                          <a:xfrm>
                            <a:off x="3150692" y="72502"/>
                            <a:ext cx="964488" cy="158130"/>
                          </a:xfrm>
                          <a:prstGeom prst="rect">
                            <a:avLst/>
                          </a:prstGeom>
                          <a:ln>
                            <a:noFill/>
                          </a:ln>
                        </wps:spPr>
                        <wps:txbx>
                          <w:txbxContent>
                            <w:p w14:paraId="743075FA" w14:textId="77777777" w:rsidR="000B3C5C" w:rsidRDefault="00ED192D">
                              <w:pPr>
                                <w:spacing w:after="160" w:line="259" w:lineRule="auto"/>
                                <w:ind w:left="0" w:firstLine="0"/>
                              </w:pPr>
                              <w:r>
                                <w:rPr>
                                  <w:rFonts w:ascii="Arial" w:eastAsia="Arial" w:hAnsi="Arial" w:cs="Arial"/>
                                  <w:b/>
                                  <w:sz w:val="20"/>
                                </w:rPr>
                                <w:t>Sample size</w:t>
                              </w:r>
                            </w:p>
                          </w:txbxContent>
                        </wps:txbx>
                        <wps:bodyPr horzOverflow="overflow" vert="horz" lIns="0" tIns="0" rIns="0" bIns="0" rtlCol="0">
                          <a:noAutofit/>
                        </wps:bodyPr>
                      </wps:wsp>
                      <wps:wsp>
                        <wps:cNvPr id="21643" name="Rectangle 21643"/>
                        <wps:cNvSpPr/>
                        <wps:spPr>
                          <a:xfrm>
                            <a:off x="3878021" y="72502"/>
                            <a:ext cx="46769" cy="158130"/>
                          </a:xfrm>
                          <a:prstGeom prst="rect">
                            <a:avLst/>
                          </a:prstGeom>
                          <a:ln>
                            <a:noFill/>
                          </a:ln>
                        </wps:spPr>
                        <wps:txbx>
                          <w:txbxContent>
                            <w:p w14:paraId="46378764"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21644" name="Rectangle 21644"/>
                        <wps:cNvSpPr/>
                        <wps:spPr>
                          <a:xfrm>
                            <a:off x="4501338" y="70978"/>
                            <a:ext cx="2092162" cy="158130"/>
                          </a:xfrm>
                          <a:prstGeom prst="rect">
                            <a:avLst/>
                          </a:prstGeom>
                          <a:ln>
                            <a:noFill/>
                          </a:ln>
                        </wps:spPr>
                        <wps:txbx>
                          <w:txbxContent>
                            <w:p w14:paraId="6FADF1FE" w14:textId="77777777" w:rsidR="000B3C5C" w:rsidRDefault="00ED192D">
                              <w:pPr>
                                <w:spacing w:after="160" w:line="259" w:lineRule="auto"/>
                                <w:ind w:left="0" w:firstLine="0"/>
                              </w:pPr>
                              <w:r>
                                <w:rPr>
                                  <w:rFonts w:ascii="Arial" w:eastAsia="Arial" w:hAnsi="Arial" w:cs="Arial"/>
                                  <w:b/>
                                  <w:sz w:val="20"/>
                                </w:rPr>
                                <w:t xml:space="preserve">Number (%) of responses </w:t>
                              </w:r>
                            </w:p>
                          </w:txbxContent>
                        </wps:txbx>
                        <wps:bodyPr horzOverflow="overflow" vert="horz" lIns="0" tIns="0" rIns="0" bIns="0" rtlCol="0">
                          <a:noAutofit/>
                        </wps:bodyPr>
                      </wps:wsp>
                      <wps:wsp>
                        <wps:cNvPr id="21645" name="Rectangle 21645"/>
                        <wps:cNvSpPr/>
                        <wps:spPr>
                          <a:xfrm>
                            <a:off x="4925009" y="217282"/>
                            <a:ext cx="653927" cy="158130"/>
                          </a:xfrm>
                          <a:prstGeom prst="rect">
                            <a:avLst/>
                          </a:prstGeom>
                          <a:ln>
                            <a:noFill/>
                          </a:ln>
                        </wps:spPr>
                        <wps:txbx>
                          <w:txbxContent>
                            <w:p w14:paraId="76CB0E42" w14:textId="77777777" w:rsidR="000B3C5C" w:rsidRDefault="00ED192D">
                              <w:pPr>
                                <w:spacing w:after="160" w:line="259" w:lineRule="auto"/>
                                <w:ind w:left="0" w:firstLine="0"/>
                              </w:pPr>
                              <w:r>
                                <w:rPr>
                                  <w:rFonts w:ascii="Arial" w:eastAsia="Arial" w:hAnsi="Arial" w:cs="Arial"/>
                                  <w:b/>
                                  <w:sz w:val="20"/>
                                </w:rPr>
                                <w:t>to reject</w:t>
                              </w:r>
                            </w:p>
                          </w:txbxContent>
                        </wps:txbx>
                        <wps:bodyPr horzOverflow="overflow" vert="horz" lIns="0" tIns="0" rIns="0" bIns="0" rtlCol="0">
                          <a:noAutofit/>
                        </wps:bodyPr>
                      </wps:wsp>
                      <wps:wsp>
                        <wps:cNvPr id="21646" name="Rectangle 21646"/>
                        <wps:cNvSpPr/>
                        <wps:spPr>
                          <a:xfrm>
                            <a:off x="5417515" y="217282"/>
                            <a:ext cx="46769" cy="158130"/>
                          </a:xfrm>
                          <a:prstGeom prst="rect">
                            <a:avLst/>
                          </a:prstGeom>
                          <a:ln>
                            <a:noFill/>
                          </a:ln>
                        </wps:spPr>
                        <wps:txbx>
                          <w:txbxContent>
                            <w:p w14:paraId="794B4518"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21647" name="Rectangle 21647"/>
                        <wps:cNvSpPr/>
                        <wps:spPr>
                          <a:xfrm>
                            <a:off x="5454091" y="217282"/>
                            <a:ext cx="215154" cy="158130"/>
                          </a:xfrm>
                          <a:prstGeom prst="rect">
                            <a:avLst/>
                          </a:prstGeom>
                          <a:ln>
                            <a:noFill/>
                          </a:ln>
                        </wps:spPr>
                        <wps:txbx>
                          <w:txbxContent>
                            <w:p w14:paraId="2C3C9DAA" w14:textId="77777777" w:rsidR="000B3C5C" w:rsidRDefault="00ED192D">
                              <w:pPr>
                                <w:spacing w:after="160" w:line="259" w:lineRule="auto"/>
                                <w:ind w:left="0" w:firstLine="0"/>
                              </w:pPr>
                              <w:r>
                                <w:rPr>
                                  <w:rFonts w:ascii="Arial" w:eastAsia="Arial" w:hAnsi="Arial" w:cs="Arial"/>
                                  <w:b/>
                                  <w:sz w:val="20"/>
                                </w:rPr>
                                <w:t>H0</w:t>
                              </w:r>
                            </w:p>
                          </w:txbxContent>
                        </wps:txbx>
                        <wps:bodyPr horzOverflow="overflow" vert="horz" lIns="0" tIns="0" rIns="0" bIns="0" rtlCol="0">
                          <a:noAutofit/>
                        </wps:bodyPr>
                      </wps:wsp>
                      <wps:wsp>
                        <wps:cNvPr id="21648" name="Rectangle 21648"/>
                        <wps:cNvSpPr/>
                        <wps:spPr>
                          <a:xfrm>
                            <a:off x="5617159" y="217282"/>
                            <a:ext cx="46769" cy="158130"/>
                          </a:xfrm>
                          <a:prstGeom prst="rect">
                            <a:avLst/>
                          </a:prstGeom>
                          <a:ln>
                            <a:noFill/>
                          </a:ln>
                        </wps:spPr>
                        <wps:txbx>
                          <w:txbxContent>
                            <w:p w14:paraId="429AFC87"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315730" name="Shape 315730"/>
                        <wps:cNvSpPr/>
                        <wps:spPr>
                          <a:xfrm>
                            <a:off x="0" y="0"/>
                            <a:ext cx="877824" cy="9144"/>
                          </a:xfrm>
                          <a:custGeom>
                            <a:avLst/>
                            <a:gdLst/>
                            <a:ahLst/>
                            <a:cxnLst/>
                            <a:rect l="0" t="0" r="0" b="0"/>
                            <a:pathLst>
                              <a:path w="877824" h="9144">
                                <a:moveTo>
                                  <a:pt x="0" y="0"/>
                                </a:moveTo>
                                <a:lnTo>
                                  <a:pt x="877824" y="0"/>
                                </a:lnTo>
                                <a:lnTo>
                                  <a:pt x="877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1" name="Shape 315731"/>
                        <wps:cNvSpPr/>
                        <wps:spPr>
                          <a:xfrm>
                            <a:off x="8777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2" name="Shape 315732"/>
                        <wps:cNvSpPr/>
                        <wps:spPr>
                          <a:xfrm>
                            <a:off x="883869" y="0"/>
                            <a:ext cx="873557" cy="9144"/>
                          </a:xfrm>
                          <a:custGeom>
                            <a:avLst/>
                            <a:gdLst/>
                            <a:ahLst/>
                            <a:cxnLst/>
                            <a:rect l="0" t="0" r="0" b="0"/>
                            <a:pathLst>
                              <a:path w="873557" h="9144">
                                <a:moveTo>
                                  <a:pt x="0" y="0"/>
                                </a:moveTo>
                                <a:lnTo>
                                  <a:pt x="873557" y="0"/>
                                </a:lnTo>
                                <a:lnTo>
                                  <a:pt x="873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3" name="Shape 315733"/>
                        <wps:cNvSpPr/>
                        <wps:spPr>
                          <a:xfrm>
                            <a:off x="17575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4" name="Shape 315734"/>
                        <wps:cNvSpPr/>
                        <wps:spPr>
                          <a:xfrm>
                            <a:off x="1763598" y="0"/>
                            <a:ext cx="872033" cy="9144"/>
                          </a:xfrm>
                          <a:custGeom>
                            <a:avLst/>
                            <a:gdLst/>
                            <a:ahLst/>
                            <a:cxnLst/>
                            <a:rect l="0" t="0" r="0" b="0"/>
                            <a:pathLst>
                              <a:path w="872033" h="9144">
                                <a:moveTo>
                                  <a:pt x="0" y="0"/>
                                </a:moveTo>
                                <a:lnTo>
                                  <a:pt x="872033" y="0"/>
                                </a:lnTo>
                                <a:lnTo>
                                  <a:pt x="872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5" name="Shape 315735"/>
                        <wps:cNvSpPr/>
                        <wps:spPr>
                          <a:xfrm>
                            <a:off x="26355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6" name="Shape 315736"/>
                        <wps:cNvSpPr/>
                        <wps:spPr>
                          <a:xfrm>
                            <a:off x="2641676" y="0"/>
                            <a:ext cx="1751330" cy="9144"/>
                          </a:xfrm>
                          <a:custGeom>
                            <a:avLst/>
                            <a:gdLst/>
                            <a:ahLst/>
                            <a:cxnLst/>
                            <a:rect l="0" t="0" r="0" b="0"/>
                            <a:pathLst>
                              <a:path w="1751330" h="9144">
                                <a:moveTo>
                                  <a:pt x="0" y="0"/>
                                </a:moveTo>
                                <a:lnTo>
                                  <a:pt x="1751330" y="0"/>
                                </a:lnTo>
                                <a:lnTo>
                                  <a:pt x="17513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7" name="Shape 315737"/>
                        <wps:cNvSpPr/>
                        <wps:spPr>
                          <a:xfrm>
                            <a:off x="43931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8" name="Shape 315738"/>
                        <wps:cNvSpPr/>
                        <wps:spPr>
                          <a:xfrm>
                            <a:off x="4399229" y="0"/>
                            <a:ext cx="1751330" cy="9144"/>
                          </a:xfrm>
                          <a:custGeom>
                            <a:avLst/>
                            <a:gdLst/>
                            <a:ahLst/>
                            <a:cxnLst/>
                            <a:rect l="0" t="0" r="0" b="0"/>
                            <a:pathLst>
                              <a:path w="1751330" h="9144">
                                <a:moveTo>
                                  <a:pt x="0" y="0"/>
                                </a:moveTo>
                                <a:lnTo>
                                  <a:pt x="1751330" y="0"/>
                                </a:lnTo>
                                <a:lnTo>
                                  <a:pt x="17513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58" name="Rectangle 21658"/>
                        <wps:cNvSpPr/>
                        <wps:spPr>
                          <a:xfrm>
                            <a:off x="2894660" y="446263"/>
                            <a:ext cx="475430" cy="157884"/>
                          </a:xfrm>
                          <a:prstGeom prst="rect">
                            <a:avLst/>
                          </a:prstGeom>
                          <a:ln>
                            <a:noFill/>
                          </a:ln>
                        </wps:spPr>
                        <wps:txbx>
                          <w:txbxContent>
                            <w:p w14:paraId="1A6B3556" w14:textId="77777777" w:rsidR="000B3C5C" w:rsidRDefault="00ED192D">
                              <w:pPr>
                                <w:spacing w:after="160" w:line="259" w:lineRule="auto"/>
                                <w:ind w:left="0" w:firstLine="0"/>
                              </w:pPr>
                              <w:r>
                                <w:rPr>
                                  <w:rFonts w:ascii="Arial" w:eastAsia="Arial" w:hAnsi="Arial" w:cs="Arial"/>
                                  <w:sz w:val="20"/>
                                </w:rPr>
                                <w:t>Stage 1</w:t>
                              </w:r>
                            </w:p>
                          </w:txbxContent>
                        </wps:txbx>
                        <wps:bodyPr horzOverflow="overflow" vert="horz" lIns="0" tIns="0" rIns="0" bIns="0" rtlCol="0">
                          <a:noAutofit/>
                        </wps:bodyPr>
                      </wps:wsp>
                      <wps:wsp>
                        <wps:cNvPr id="21659" name="Rectangle 21659"/>
                        <wps:cNvSpPr/>
                        <wps:spPr>
                          <a:xfrm>
                            <a:off x="3254324" y="446263"/>
                            <a:ext cx="38357" cy="157884"/>
                          </a:xfrm>
                          <a:prstGeom prst="rect">
                            <a:avLst/>
                          </a:prstGeom>
                          <a:ln>
                            <a:noFill/>
                          </a:ln>
                        </wps:spPr>
                        <wps:txbx>
                          <w:txbxContent>
                            <w:p w14:paraId="3283774C"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1660" name="Rectangle 21660"/>
                        <wps:cNvSpPr/>
                        <wps:spPr>
                          <a:xfrm>
                            <a:off x="3839921" y="446263"/>
                            <a:ext cx="299625" cy="157884"/>
                          </a:xfrm>
                          <a:prstGeom prst="rect">
                            <a:avLst/>
                          </a:prstGeom>
                          <a:ln>
                            <a:noFill/>
                          </a:ln>
                        </wps:spPr>
                        <wps:txbx>
                          <w:txbxContent>
                            <w:p w14:paraId="0AA3A142" w14:textId="77777777" w:rsidR="000B3C5C" w:rsidRDefault="00ED192D">
                              <w:pPr>
                                <w:spacing w:after="160" w:line="259" w:lineRule="auto"/>
                                <w:ind w:left="0" w:firstLine="0"/>
                              </w:pPr>
                              <w:r>
                                <w:rPr>
                                  <w:rFonts w:ascii="Arial" w:eastAsia="Arial" w:hAnsi="Arial" w:cs="Arial"/>
                                  <w:sz w:val="20"/>
                                </w:rPr>
                                <w:t>Final</w:t>
                              </w:r>
                            </w:p>
                          </w:txbxContent>
                        </wps:txbx>
                        <wps:bodyPr horzOverflow="overflow" vert="horz" lIns="0" tIns="0" rIns="0" bIns="0" rtlCol="0">
                          <a:noAutofit/>
                        </wps:bodyPr>
                      </wps:wsp>
                      <wps:wsp>
                        <wps:cNvPr id="21661" name="Rectangle 21661"/>
                        <wps:cNvSpPr/>
                        <wps:spPr>
                          <a:xfrm>
                            <a:off x="4065473" y="446263"/>
                            <a:ext cx="38357" cy="157884"/>
                          </a:xfrm>
                          <a:prstGeom prst="rect">
                            <a:avLst/>
                          </a:prstGeom>
                          <a:ln>
                            <a:noFill/>
                          </a:ln>
                        </wps:spPr>
                        <wps:txbx>
                          <w:txbxContent>
                            <w:p w14:paraId="1491F220"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1662" name="Rectangle 21662"/>
                        <wps:cNvSpPr/>
                        <wps:spPr>
                          <a:xfrm>
                            <a:off x="4652214" y="446263"/>
                            <a:ext cx="475430" cy="157884"/>
                          </a:xfrm>
                          <a:prstGeom prst="rect">
                            <a:avLst/>
                          </a:prstGeom>
                          <a:ln>
                            <a:noFill/>
                          </a:ln>
                        </wps:spPr>
                        <wps:txbx>
                          <w:txbxContent>
                            <w:p w14:paraId="7F080AC9" w14:textId="77777777" w:rsidR="000B3C5C" w:rsidRDefault="00ED192D">
                              <w:pPr>
                                <w:spacing w:after="160" w:line="259" w:lineRule="auto"/>
                                <w:ind w:left="0" w:firstLine="0"/>
                              </w:pPr>
                              <w:r>
                                <w:rPr>
                                  <w:rFonts w:ascii="Arial" w:eastAsia="Arial" w:hAnsi="Arial" w:cs="Arial"/>
                                  <w:sz w:val="20"/>
                                </w:rPr>
                                <w:t>Stage 1</w:t>
                              </w:r>
                            </w:p>
                          </w:txbxContent>
                        </wps:txbx>
                        <wps:bodyPr horzOverflow="overflow" vert="horz" lIns="0" tIns="0" rIns="0" bIns="0" rtlCol="0">
                          <a:noAutofit/>
                        </wps:bodyPr>
                      </wps:wsp>
                      <wps:wsp>
                        <wps:cNvPr id="21663" name="Rectangle 21663"/>
                        <wps:cNvSpPr/>
                        <wps:spPr>
                          <a:xfrm>
                            <a:off x="5011877" y="446263"/>
                            <a:ext cx="38357" cy="157884"/>
                          </a:xfrm>
                          <a:prstGeom prst="rect">
                            <a:avLst/>
                          </a:prstGeom>
                          <a:ln>
                            <a:noFill/>
                          </a:ln>
                        </wps:spPr>
                        <wps:txbx>
                          <w:txbxContent>
                            <w:p w14:paraId="00B5945C"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1664" name="Rectangle 21664"/>
                        <wps:cNvSpPr/>
                        <wps:spPr>
                          <a:xfrm>
                            <a:off x="5598871" y="446263"/>
                            <a:ext cx="299625" cy="157884"/>
                          </a:xfrm>
                          <a:prstGeom prst="rect">
                            <a:avLst/>
                          </a:prstGeom>
                          <a:ln>
                            <a:noFill/>
                          </a:ln>
                        </wps:spPr>
                        <wps:txbx>
                          <w:txbxContent>
                            <w:p w14:paraId="6842A94C" w14:textId="77777777" w:rsidR="000B3C5C" w:rsidRDefault="00ED192D">
                              <w:pPr>
                                <w:spacing w:after="160" w:line="259" w:lineRule="auto"/>
                                <w:ind w:left="0" w:firstLine="0"/>
                              </w:pPr>
                              <w:r>
                                <w:rPr>
                                  <w:rFonts w:ascii="Arial" w:eastAsia="Arial" w:hAnsi="Arial" w:cs="Arial"/>
                                  <w:sz w:val="20"/>
                                </w:rPr>
                                <w:t>Final</w:t>
                              </w:r>
                            </w:p>
                          </w:txbxContent>
                        </wps:txbx>
                        <wps:bodyPr horzOverflow="overflow" vert="horz" lIns="0" tIns="0" rIns="0" bIns="0" rtlCol="0">
                          <a:noAutofit/>
                        </wps:bodyPr>
                      </wps:wsp>
                      <wps:wsp>
                        <wps:cNvPr id="21665" name="Rectangle 21665"/>
                        <wps:cNvSpPr/>
                        <wps:spPr>
                          <a:xfrm>
                            <a:off x="5824423" y="446263"/>
                            <a:ext cx="38357" cy="157884"/>
                          </a:xfrm>
                          <a:prstGeom prst="rect">
                            <a:avLst/>
                          </a:prstGeom>
                          <a:ln>
                            <a:noFill/>
                          </a:ln>
                        </wps:spPr>
                        <wps:txbx>
                          <w:txbxContent>
                            <w:p w14:paraId="3B6B4A05"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315739" name="Shape 315739"/>
                        <wps:cNvSpPr/>
                        <wps:spPr>
                          <a:xfrm>
                            <a:off x="2635580" y="375285"/>
                            <a:ext cx="877824" cy="9144"/>
                          </a:xfrm>
                          <a:custGeom>
                            <a:avLst/>
                            <a:gdLst/>
                            <a:ahLst/>
                            <a:cxnLst/>
                            <a:rect l="0" t="0" r="0" b="0"/>
                            <a:pathLst>
                              <a:path w="877824" h="9144">
                                <a:moveTo>
                                  <a:pt x="0" y="0"/>
                                </a:moveTo>
                                <a:lnTo>
                                  <a:pt x="877824" y="0"/>
                                </a:lnTo>
                                <a:lnTo>
                                  <a:pt x="877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0" name="Shape 315740"/>
                        <wps:cNvSpPr/>
                        <wps:spPr>
                          <a:xfrm>
                            <a:off x="3513404" y="3752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1" name="Shape 315741"/>
                        <wps:cNvSpPr/>
                        <wps:spPr>
                          <a:xfrm>
                            <a:off x="3519500" y="375285"/>
                            <a:ext cx="873557" cy="9144"/>
                          </a:xfrm>
                          <a:custGeom>
                            <a:avLst/>
                            <a:gdLst/>
                            <a:ahLst/>
                            <a:cxnLst/>
                            <a:rect l="0" t="0" r="0" b="0"/>
                            <a:pathLst>
                              <a:path w="873557" h="9144">
                                <a:moveTo>
                                  <a:pt x="0" y="0"/>
                                </a:moveTo>
                                <a:lnTo>
                                  <a:pt x="873557" y="0"/>
                                </a:lnTo>
                                <a:lnTo>
                                  <a:pt x="873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2" name="Shape 315742"/>
                        <wps:cNvSpPr/>
                        <wps:spPr>
                          <a:xfrm>
                            <a:off x="4393133" y="3752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3" name="Shape 315743"/>
                        <wps:cNvSpPr/>
                        <wps:spPr>
                          <a:xfrm>
                            <a:off x="4399229" y="375285"/>
                            <a:ext cx="872033" cy="9144"/>
                          </a:xfrm>
                          <a:custGeom>
                            <a:avLst/>
                            <a:gdLst/>
                            <a:ahLst/>
                            <a:cxnLst/>
                            <a:rect l="0" t="0" r="0" b="0"/>
                            <a:pathLst>
                              <a:path w="872033" h="9144">
                                <a:moveTo>
                                  <a:pt x="0" y="0"/>
                                </a:moveTo>
                                <a:lnTo>
                                  <a:pt x="872033" y="0"/>
                                </a:lnTo>
                                <a:lnTo>
                                  <a:pt x="872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4" name="Shape 315744"/>
                        <wps:cNvSpPr/>
                        <wps:spPr>
                          <a:xfrm>
                            <a:off x="5271211" y="3752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5" name="Shape 315745"/>
                        <wps:cNvSpPr/>
                        <wps:spPr>
                          <a:xfrm>
                            <a:off x="5277308" y="375285"/>
                            <a:ext cx="873252" cy="9144"/>
                          </a:xfrm>
                          <a:custGeom>
                            <a:avLst/>
                            <a:gdLst/>
                            <a:ahLst/>
                            <a:cxnLst/>
                            <a:rect l="0" t="0" r="0" b="0"/>
                            <a:pathLst>
                              <a:path w="873252" h="9144">
                                <a:moveTo>
                                  <a:pt x="0" y="0"/>
                                </a:moveTo>
                                <a:lnTo>
                                  <a:pt x="873252" y="0"/>
                                </a:lnTo>
                                <a:lnTo>
                                  <a:pt x="873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3" name="Rectangle 21673"/>
                        <wps:cNvSpPr/>
                        <wps:spPr>
                          <a:xfrm>
                            <a:off x="275844" y="676387"/>
                            <a:ext cx="430343" cy="157884"/>
                          </a:xfrm>
                          <a:prstGeom prst="rect">
                            <a:avLst/>
                          </a:prstGeom>
                          <a:ln>
                            <a:noFill/>
                          </a:ln>
                        </wps:spPr>
                        <wps:txbx>
                          <w:txbxContent>
                            <w:p w14:paraId="0675102A" w14:textId="77777777" w:rsidR="000B3C5C" w:rsidRDefault="00ED192D">
                              <w:pPr>
                                <w:spacing w:after="160" w:line="259" w:lineRule="auto"/>
                                <w:ind w:left="0" w:firstLine="0"/>
                              </w:pPr>
                              <w:r>
                                <w:rPr>
                                  <w:rFonts w:ascii="Arial" w:eastAsia="Arial" w:hAnsi="Arial" w:cs="Arial"/>
                                  <w:sz w:val="20"/>
                                </w:rPr>
                                <w:t>HCC &amp;</w:t>
                              </w:r>
                            </w:p>
                          </w:txbxContent>
                        </wps:txbx>
                        <wps:bodyPr horzOverflow="overflow" vert="horz" lIns="0" tIns="0" rIns="0" bIns="0" rtlCol="0">
                          <a:noAutofit/>
                        </wps:bodyPr>
                      </wps:wsp>
                      <wps:wsp>
                        <wps:cNvPr id="21674" name="Rectangle 21674"/>
                        <wps:cNvSpPr/>
                        <wps:spPr>
                          <a:xfrm>
                            <a:off x="600405" y="676387"/>
                            <a:ext cx="38357" cy="157884"/>
                          </a:xfrm>
                          <a:prstGeom prst="rect">
                            <a:avLst/>
                          </a:prstGeom>
                          <a:ln>
                            <a:noFill/>
                          </a:ln>
                        </wps:spPr>
                        <wps:txbx>
                          <w:txbxContent>
                            <w:p w14:paraId="31A7F208"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1675" name="Rectangle 21675"/>
                        <wps:cNvSpPr/>
                        <wps:spPr>
                          <a:xfrm>
                            <a:off x="252984" y="860791"/>
                            <a:ext cx="490908" cy="157884"/>
                          </a:xfrm>
                          <a:prstGeom prst="rect">
                            <a:avLst/>
                          </a:prstGeom>
                          <a:ln>
                            <a:noFill/>
                          </a:ln>
                        </wps:spPr>
                        <wps:txbx>
                          <w:txbxContent>
                            <w:p w14:paraId="09FDD851" w14:textId="77777777" w:rsidR="000B3C5C" w:rsidRDefault="00ED192D">
                              <w:pPr>
                                <w:spacing w:after="160" w:line="259" w:lineRule="auto"/>
                                <w:ind w:left="0" w:firstLine="0"/>
                              </w:pPr>
                              <w:r>
                                <w:rPr>
                                  <w:rFonts w:ascii="Arial" w:eastAsia="Arial" w:hAnsi="Arial" w:cs="Arial"/>
                                  <w:sz w:val="20"/>
                                </w:rPr>
                                <w:t>SCCHN</w:t>
                              </w:r>
                            </w:p>
                          </w:txbxContent>
                        </wps:txbx>
                        <wps:bodyPr horzOverflow="overflow" vert="horz" lIns="0" tIns="0" rIns="0" bIns="0" rtlCol="0">
                          <a:noAutofit/>
                        </wps:bodyPr>
                      </wps:wsp>
                      <wps:wsp>
                        <wps:cNvPr id="21676" name="Rectangle 21676"/>
                        <wps:cNvSpPr/>
                        <wps:spPr>
                          <a:xfrm>
                            <a:off x="623265" y="860791"/>
                            <a:ext cx="38357" cy="157884"/>
                          </a:xfrm>
                          <a:prstGeom prst="rect">
                            <a:avLst/>
                          </a:prstGeom>
                          <a:ln>
                            <a:noFill/>
                          </a:ln>
                        </wps:spPr>
                        <wps:txbx>
                          <w:txbxContent>
                            <w:p w14:paraId="0D3854A7"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66124" name="Rectangle 266124"/>
                        <wps:cNvSpPr/>
                        <wps:spPr>
                          <a:xfrm>
                            <a:off x="1213434" y="676387"/>
                            <a:ext cx="153430" cy="157884"/>
                          </a:xfrm>
                          <a:prstGeom prst="rect">
                            <a:avLst/>
                          </a:prstGeom>
                          <a:ln>
                            <a:noFill/>
                          </a:ln>
                        </wps:spPr>
                        <wps:txbx>
                          <w:txbxContent>
                            <w:p w14:paraId="342548AD" w14:textId="77777777" w:rsidR="000B3C5C" w:rsidRDefault="00ED192D">
                              <w:pPr>
                                <w:spacing w:after="160" w:line="259" w:lineRule="auto"/>
                                <w:ind w:left="0" w:firstLine="0"/>
                              </w:pPr>
                              <w:r>
                                <w:rPr>
                                  <w:rFonts w:ascii="Arial" w:eastAsia="Arial" w:hAnsi="Arial" w:cs="Arial"/>
                                  <w:sz w:val="20"/>
                                </w:rPr>
                                <w:t>15</w:t>
                              </w:r>
                            </w:p>
                          </w:txbxContent>
                        </wps:txbx>
                        <wps:bodyPr horzOverflow="overflow" vert="horz" lIns="0" tIns="0" rIns="0" bIns="0" rtlCol="0">
                          <a:noAutofit/>
                        </wps:bodyPr>
                      </wps:wsp>
                      <wps:wsp>
                        <wps:cNvPr id="266125" name="Rectangle 266125"/>
                        <wps:cNvSpPr/>
                        <wps:spPr>
                          <a:xfrm>
                            <a:off x="1330692" y="676387"/>
                            <a:ext cx="122643" cy="157884"/>
                          </a:xfrm>
                          <a:prstGeom prst="rect">
                            <a:avLst/>
                          </a:prstGeom>
                          <a:ln>
                            <a:noFill/>
                          </a:ln>
                        </wps:spPr>
                        <wps:txbx>
                          <w:txbxContent>
                            <w:p w14:paraId="66CCE19A" w14:textId="77777777" w:rsidR="000B3C5C" w:rsidRDefault="00ED192D">
                              <w:pPr>
                                <w:spacing w:after="160" w:line="259" w:lineRule="auto"/>
                                <w:ind w:left="0" w:firstLine="0"/>
                              </w:pPr>
                              <w:r>
                                <w:rPr>
                                  <w:rFonts w:ascii="Arial" w:eastAsia="Arial" w:hAnsi="Arial" w:cs="Arial"/>
                                  <w:sz w:val="20"/>
                                </w:rPr>
                                <w:t>%</w:t>
                              </w:r>
                            </w:p>
                          </w:txbxContent>
                        </wps:txbx>
                        <wps:bodyPr horzOverflow="overflow" vert="horz" lIns="0" tIns="0" rIns="0" bIns="0" rtlCol="0">
                          <a:noAutofit/>
                        </wps:bodyPr>
                      </wps:wsp>
                      <wps:wsp>
                        <wps:cNvPr id="21678" name="Rectangle 21678"/>
                        <wps:cNvSpPr/>
                        <wps:spPr>
                          <a:xfrm>
                            <a:off x="1422222" y="676387"/>
                            <a:ext cx="38357" cy="157884"/>
                          </a:xfrm>
                          <a:prstGeom prst="rect">
                            <a:avLst/>
                          </a:prstGeom>
                          <a:ln>
                            <a:noFill/>
                          </a:ln>
                        </wps:spPr>
                        <wps:txbx>
                          <w:txbxContent>
                            <w:p w14:paraId="27B56C49"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66126" name="Rectangle 266126"/>
                        <wps:cNvSpPr/>
                        <wps:spPr>
                          <a:xfrm>
                            <a:off x="2091258" y="676387"/>
                            <a:ext cx="153430" cy="157884"/>
                          </a:xfrm>
                          <a:prstGeom prst="rect">
                            <a:avLst/>
                          </a:prstGeom>
                          <a:ln>
                            <a:noFill/>
                          </a:ln>
                        </wps:spPr>
                        <wps:txbx>
                          <w:txbxContent>
                            <w:p w14:paraId="27A4A5C0" w14:textId="77777777" w:rsidR="000B3C5C" w:rsidRDefault="00ED192D">
                              <w:pPr>
                                <w:spacing w:after="160" w:line="259" w:lineRule="auto"/>
                                <w:ind w:left="0" w:firstLine="0"/>
                              </w:pPr>
                              <w:r>
                                <w:rPr>
                                  <w:rFonts w:ascii="Arial" w:eastAsia="Arial" w:hAnsi="Arial" w:cs="Arial"/>
                                  <w:sz w:val="20"/>
                                </w:rPr>
                                <w:t>30</w:t>
                              </w:r>
                            </w:p>
                          </w:txbxContent>
                        </wps:txbx>
                        <wps:bodyPr horzOverflow="overflow" vert="horz" lIns="0" tIns="0" rIns="0" bIns="0" rtlCol="0">
                          <a:noAutofit/>
                        </wps:bodyPr>
                      </wps:wsp>
                      <wps:wsp>
                        <wps:cNvPr id="266127" name="Rectangle 266127"/>
                        <wps:cNvSpPr/>
                        <wps:spPr>
                          <a:xfrm>
                            <a:off x="2208516" y="676387"/>
                            <a:ext cx="122643" cy="157884"/>
                          </a:xfrm>
                          <a:prstGeom prst="rect">
                            <a:avLst/>
                          </a:prstGeom>
                          <a:ln>
                            <a:noFill/>
                          </a:ln>
                        </wps:spPr>
                        <wps:txbx>
                          <w:txbxContent>
                            <w:p w14:paraId="6C552C2B" w14:textId="77777777" w:rsidR="000B3C5C" w:rsidRDefault="00ED192D">
                              <w:pPr>
                                <w:spacing w:after="160" w:line="259" w:lineRule="auto"/>
                                <w:ind w:left="0" w:firstLine="0"/>
                              </w:pPr>
                              <w:r>
                                <w:rPr>
                                  <w:rFonts w:ascii="Arial" w:eastAsia="Arial" w:hAnsi="Arial" w:cs="Arial"/>
                                  <w:sz w:val="20"/>
                                </w:rPr>
                                <w:t>%</w:t>
                              </w:r>
                            </w:p>
                          </w:txbxContent>
                        </wps:txbx>
                        <wps:bodyPr horzOverflow="overflow" vert="horz" lIns="0" tIns="0" rIns="0" bIns="0" rtlCol="0">
                          <a:noAutofit/>
                        </wps:bodyPr>
                      </wps:wsp>
                      <wps:wsp>
                        <wps:cNvPr id="21680" name="Rectangle 21680"/>
                        <wps:cNvSpPr/>
                        <wps:spPr>
                          <a:xfrm>
                            <a:off x="2300046" y="676387"/>
                            <a:ext cx="38358" cy="157884"/>
                          </a:xfrm>
                          <a:prstGeom prst="rect">
                            <a:avLst/>
                          </a:prstGeom>
                          <a:ln>
                            <a:noFill/>
                          </a:ln>
                        </wps:spPr>
                        <wps:txbx>
                          <w:txbxContent>
                            <w:p w14:paraId="15F12556"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1681" name="Rectangle 21681"/>
                        <wps:cNvSpPr/>
                        <wps:spPr>
                          <a:xfrm>
                            <a:off x="3016580" y="676387"/>
                            <a:ext cx="153737" cy="157884"/>
                          </a:xfrm>
                          <a:prstGeom prst="rect">
                            <a:avLst/>
                          </a:prstGeom>
                          <a:ln>
                            <a:noFill/>
                          </a:ln>
                        </wps:spPr>
                        <wps:txbx>
                          <w:txbxContent>
                            <w:p w14:paraId="1F83F6D1" w14:textId="77777777" w:rsidR="000B3C5C" w:rsidRDefault="00ED192D">
                              <w:pPr>
                                <w:spacing w:after="160" w:line="259" w:lineRule="auto"/>
                                <w:ind w:left="0" w:firstLine="0"/>
                              </w:pPr>
                              <w:r>
                                <w:rPr>
                                  <w:rFonts w:ascii="Arial" w:eastAsia="Arial" w:hAnsi="Arial" w:cs="Arial"/>
                                  <w:sz w:val="20"/>
                                </w:rPr>
                                <w:t>26</w:t>
                              </w:r>
                            </w:p>
                          </w:txbxContent>
                        </wps:txbx>
                        <wps:bodyPr horzOverflow="overflow" vert="horz" lIns="0" tIns="0" rIns="0" bIns="0" rtlCol="0">
                          <a:noAutofit/>
                        </wps:bodyPr>
                      </wps:wsp>
                      <wps:wsp>
                        <wps:cNvPr id="21682" name="Rectangle 21682"/>
                        <wps:cNvSpPr/>
                        <wps:spPr>
                          <a:xfrm>
                            <a:off x="3132404" y="676387"/>
                            <a:ext cx="38357" cy="157884"/>
                          </a:xfrm>
                          <a:prstGeom prst="rect">
                            <a:avLst/>
                          </a:prstGeom>
                          <a:ln>
                            <a:noFill/>
                          </a:ln>
                        </wps:spPr>
                        <wps:txbx>
                          <w:txbxContent>
                            <w:p w14:paraId="3AC6F8EC"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1683" name="Rectangle 21683"/>
                        <wps:cNvSpPr/>
                        <wps:spPr>
                          <a:xfrm>
                            <a:off x="3894785" y="676387"/>
                            <a:ext cx="153737" cy="157884"/>
                          </a:xfrm>
                          <a:prstGeom prst="rect">
                            <a:avLst/>
                          </a:prstGeom>
                          <a:ln>
                            <a:noFill/>
                          </a:ln>
                        </wps:spPr>
                        <wps:txbx>
                          <w:txbxContent>
                            <w:p w14:paraId="37B4257B" w14:textId="77777777" w:rsidR="000B3C5C" w:rsidRDefault="00ED192D">
                              <w:pPr>
                                <w:spacing w:after="160" w:line="259" w:lineRule="auto"/>
                                <w:ind w:left="0" w:firstLine="0"/>
                              </w:pPr>
                              <w:r>
                                <w:rPr>
                                  <w:rFonts w:ascii="Arial" w:eastAsia="Arial" w:hAnsi="Arial" w:cs="Arial"/>
                                  <w:sz w:val="20"/>
                                </w:rPr>
                                <w:t>59</w:t>
                              </w:r>
                            </w:p>
                          </w:txbxContent>
                        </wps:txbx>
                        <wps:bodyPr horzOverflow="overflow" vert="horz" lIns="0" tIns="0" rIns="0" bIns="0" rtlCol="0">
                          <a:noAutofit/>
                        </wps:bodyPr>
                      </wps:wsp>
                      <wps:wsp>
                        <wps:cNvPr id="21684" name="Rectangle 21684"/>
                        <wps:cNvSpPr/>
                        <wps:spPr>
                          <a:xfrm>
                            <a:off x="4010609" y="676387"/>
                            <a:ext cx="38357" cy="157884"/>
                          </a:xfrm>
                          <a:prstGeom prst="rect">
                            <a:avLst/>
                          </a:prstGeom>
                          <a:ln>
                            <a:noFill/>
                          </a:ln>
                        </wps:spPr>
                        <wps:txbx>
                          <w:txbxContent>
                            <w:p w14:paraId="6E217BAE"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1685" name="Rectangle 21685"/>
                        <wps:cNvSpPr/>
                        <wps:spPr>
                          <a:xfrm>
                            <a:off x="4571441" y="676387"/>
                            <a:ext cx="689929" cy="157884"/>
                          </a:xfrm>
                          <a:prstGeom prst="rect">
                            <a:avLst/>
                          </a:prstGeom>
                          <a:ln>
                            <a:noFill/>
                          </a:ln>
                        </wps:spPr>
                        <wps:txbx>
                          <w:txbxContent>
                            <w:p w14:paraId="3953389A" w14:textId="77777777" w:rsidR="000B3C5C" w:rsidRDefault="00ED192D">
                              <w:pPr>
                                <w:spacing w:after="160" w:line="259" w:lineRule="auto"/>
                                <w:ind w:left="0" w:firstLine="0"/>
                              </w:pPr>
                              <w:r>
                                <w:rPr>
                                  <w:rFonts w:ascii="Arial" w:eastAsia="Arial" w:hAnsi="Arial" w:cs="Arial"/>
                                  <w:sz w:val="20"/>
                                </w:rPr>
                                <w:t>≥5 (19.2%)</w:t>
                              </w:r>
                            </w:p>
                          </w:txbxContent>
                        </wps:txbx>
                        <wps:bodyPr horzOverflow="overflow" vert="horz" lIns="0" tIns="0" rIns="0" bIns="0" rtlCol="0">
                          <a:noAutofit/>
                        </wps:bodyPr>
                      </wps:wsp>
                      <wps:wsp>
                        <wps:cNvPr id="21686" name="Rectangle 21686"/>
                        <wps:cNvSpPr/>
                        <wps:spPr>
                          <a:xfrm>
                            <a:off x="5092649" y="676387"/>
                            <a:ext cx="38357" cy="157884"/>
                          </a:xfrm>
                          <a:prstGeom prst="rect">
                            <a:avLst/>
                          </a:prstGeom>
                          <a:ln>
                            <a:noFill/>
                          </a:ln>
                        </wps:spPr>
                        <wps:txbx>
                          <w:txbxContent>
                            <w:p w14:paraId="05B93158"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1687" name="Rectangle 21687"/>
                        <wps:cNvSpPr/>
                        <wps:spPr>
                          <a:xfrm>
                            <a:off x="5422088" y="676387"/>
                            <a:ext cx="766813" cy="157884"/>
                          </a:xfrm>
                          <a:prstGeom prst="rect">
                            <a:avLst/>
                          </a:prstGeom>
                          <a:ln>
                            <a:noFill/>
                          </a:ln>
                        </wps:spPr>
                        <wps:txbx>
                          <w:txbxContent>
                            <w:p w14:paraId="11B7B7FF" w14:textId="77777777" w:rsidR="000B3C5C" w:rsidRDefault="00ED192D">
                              <w:pPr>
                                <w:spacing w:after="160" w:line="259" w:lineRule="auto"/>
                                <w:ind w:left="0" w:firstLine="0"/>
                              </w:pPr>
                              <w:r>
                                <w:rPr>
                                  <w:rFonts w:ascii="Arial" w:eastAsia="Arial" w:hAnsi="Arial" w:cs="Arial"/>
                                  <w:sz w:val="20"/>
                                </w:rPr>
                                <w:t>≥14 (23.7%)</w:t>
                              </w:r>
                            </w:p>
                          </w:txbxContent>
                        </wps:txbx>
                        <wps:bodyPr horzOverflow="overflow" vert="horz" lIns="0" tIns="0" rIns="0" bIns="0" rtlCol="0">
                          <a:noAutofit/>
                        </wps:bodyPr>
                      </wps:wsp>
                      <wps:wsp>
                        <wps:cNvPr id="21688" name="Rectangle 21688"/>
                        <wps:cNvSpPr/>
                        <wps:spPr>
                          <a:xfrm>
                            <a:off x="6001207" y="676387"/>
                            <a:ext cx="38357" cy="157884"/>
                          </a:xfrm>
                          <a:prstGeom prst="rect">
                            <a:avLst/>
                          </a:prstGeom>
                          <a:ln>
                            <a:noFill/>
                          </a:ln>
                        </wps:spPr>
                        <wps:txbx>
                          <w:txbxContent>
                            <w:p w14:paraId="1E278C69" w14:textId="77777777" w:rsidR="000B3C5C" w:rsidRDefault="00ED192D">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315746" name="Shape 315746"/>
                        <wps:cNvSpPr/>
                        <wps:spPr>
                          <a:xfrm>
                            <a:off x="0" y="605409"/>
                            <a:ext cx="877824" cy="9144"/>
                          </a:xfrm>
                          <a:custGeom>
                            <a:avLst/>
                            <a:gdLst/>
                            <a:ahLst/>
                            <a:cxnLst/>
                            <a:rect l="0" t="0" r="0" b="0"/>
                            <a:pathLst>
                              <a:path w="877824" h="9144">
                                <a:moveTo>
                                  <a:pt x="0" y="0"/>
                                </a:moveTo>
                                <a:lnTo>
                                  <a:pt x="877824" y="0"/>
                                </a:lnTo>
                                <a:lnTo>
                                  <a:pt x="877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7" name="Shape 315747"/>
                        <wps:cNvSpPr/>
                        <wps:spPr>
                          <a:xfrm>
                            <a:off x="877773" y="6054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8" name="Shape 315748"/>
                        <wps:cNvSpPr/>
                        <wps:spPr>
                          <a:xfrm>
                            <a:off x="883869" y="605409"/>
                            <a:ext cx="873557" cy="9144"/>
                          </a:xfrm>
                          <a:custGeom>
                            <a:avLst/>
                            <a:gdLst/>
                            <a:ahLst/>
                            <a:cxnLst/>
                            <a:rect l="0" t="0" r="0" b="0"/>
                            <a:pathLst>
                              <a:path w="873557" h="9144">
                                <a:moveTo>
                                  <a:pt x="0" y="0"/>
                                </a:moveTo>
                                <a:lnTo>
                                  <a:pt x="873557" y="0"/>
                                </a:lnTo>
                                <a:lnTo>
                                  <a:pt x="873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9" name="Shape 315749"/>
                        <wps:cNvSpPr/>
                        <wps:spPr>
                          <a:xfrm>
                            <a:off x="1757502" y="6054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50" name="Shape 315750"/>
                        <wps:cNvSpPr/>
                        <wps:spPr>
                          <a:xfrm>
                            <a:off x="1763598" y="605409"/>
                            <a:ext cx="872033" cy="9144"/>
                          </a:xfrm>
                          <a:custGeom>
                            <a:avLst/>
                            <a:gdLst/>
                            <a:ahLst/>
                            <a:cxnLst/>
                            <a:rect l="0" t="0" r="0" b="0"/>
                            <a:pathLst>
                              <a:path w="872033" h="9144">
                                <a:moveTo>
                                  <a:pt x="0" y="0"/>
                                </a:moveTo>
                                <a:lnTo>
                                  <a:pt x="872033" y="0"/>
                                </a:lnTo>
                                <a:lnTo>
                                  <a:pt x="872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51" name="Shape 315751"/>
                        <wps:cNvSpPr/>
                        <wps:spPr>
                          <a:xfrm>
                            <a:off x="2635580" y="6054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52" name="Shape 315752"/>
                        <wps:cNvSpPr/>
                        <wps:spPr>
                          <a:xfrm>
                            <a:off x="2641676" y="605409"/>
                            <a:ext cx="871728" cy="9144"/>
                          </a:xfrm>
                          <a:custGeom>
                            <a:avLst/>
                            <a:gdLst/>
                            <a:ahLst/>
                            <a:cxnLst/>
                            <a:rect l="0" t="0" r="0" b="0"/>
                            <a:pathLst>
                              <a:path w="871728" h="9144">
                                <a:moveTo>
                                  <a:pt x="0" y="0"/>
                                </a:moveTo>
                                <a:lnTo>
                                  <a:pt x="871728" y="0"/>
                                </a:lnTo>
                                <a:lnTo>
                                  <a:pt x="8717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53" name="Shape 315753"/>
                        <wps:cNvSpPr/>
                        <wps:spPr>
                          <a:xfrm>
                            <a:off x="3513404" y="6054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54" name="Shape 315754"/>
                        <wps:cNvSpPr/>
                        <wps:spPr>
                          <a:xfrm>
                            <a:off x="3519500" y="605409"/>
                            <a:ext cx="873557" cy="9144"/>
                          </a:xfrm>
                          <a:custGeom>
                            <a:avLst/>
                            <a:gdLst/>
                            <a:ahLst/>
                            <a:cxnLst/>
                            <a:rect l="0" t="0" r="0" b="0"/>
                            <a:pathLst>
                              <a:path w="873557" h="9144">
                                <a:moveTo>
                                  <a:pt x="0" y="0"/>
                                </a:moveTo>
                                <a:lnTo>
                                  <a:pt x="873557" y="0"/>
                                </a:lnTo>
                                <a:lnTo>
                                  <a:pt x="873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55" name="Shape 315755"/>
                        <wps:cNvSpPr/>
                        <wps:spPr>
                          <a:xfrm>
                            <a:off x="4393133" y="6054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56" name="Shape 315756"/>
                        <wps:cNvSpPr/>
                        <wps:spPr>
                          <a:xfrm>
                            <a:off x="4399229" y="605409"/>
                            <a:ext cx="872033" cy="9144"/>
                          </a:xfrm>
                          <a:custGeom>
                            <a:avLst/>
                            <a:gdLst/>
                            <a:ahLst/>
                            <a:cxnLst/>
                            <a:rect l="0" t="0" r="0" b="0"/>
                            <a:pathLst>
                              <a:path w="872033" h="9144">
                                <a:moveTo>
                                  <a:pt x="0" y="0"/>
                                </a:moveTo>
                                <a:lnTo>
                                  <a:pt x="872033" y="0"/>
                                </a:lnTo>
                                <a:lnTo>
                                  <a:pt x="872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57" name="Shape 315757"/>
                        <wps:cNvSpPr/>
                        <wps:spPr>
                          <a:xfrm>
                            <a:off x="5271211" y="6054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58" name="Shape 315758"/>
                        <wps:cNvSpPr/>
                        <wps:spPr>
                          <a:xfrm>
                            <a:off x="5277308" y="605409"/>
                            <a:ext cx="873252" cy="9144"/>
                          </a:xfrm>
                          <a:custGeom>
                            <a:avLst/>
                            <a:gdLst/>
                            <a:ahLst/>
                            <a:cxnLst/>
                            <a:rect l="0" t="0" r="0" b="0"/>
                            <a:pathLst>
                              <a:path w="873252" h="9144">
                                <a:moveTo>
                                  <a:pt x="0" y="0"/>
                                </a:moveTo>
                                <a:lnTo>
                                  <a:pt x="873252" y="0"/>
                                </a:lnTo>
                                <a:lnTo>
                                  <a:pt x="873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6404" style="width:484.296pt;height:77.126pt;mso-position-horizontal-relative:char;mso-position-vertical-relative:line" coordsize="61505,9795">
                <v:rect id="Rectangle 21636" style="position:absolute;width:7952;height:1581;left:1386;top:725;" filled="f" stroked="f">
                  <v:textbox inset="0,0,0,0">
                    <w:txbxContent>
                      <w:p>
                        <w:pPr>
                          <w:spacing w:before="0" w:after="160" w:line="259" w:lineRule="auto"/>
                          <w:ind w:left="0" w:firstLine="0"/>
                        </w:pPr>
                        <w:r>
                          <w:rPr>
                            <w:rFonts w:cs="Arial" w:hAnsi="Arial" w:eastAsia="Arial" w:ascii="Arial"/>
                            <w:b w:val="1"/>
                            <w:sz w:val="20"/>
                          </w:rPr>
                          <w:t xml:space="preserve">Indication</w:t>
                        </w:r>
                      </w:p>
                    </w:txbxContent>
                  </v:textbox>
                </v:rect>
                <v:rect id="Rectangle 21637" style="position:absolute;width:467;height:1581;left:7390;top:725;"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21638" style="position:absolute;width:2151;height:1581;left:12362;top:725;" filled="f" stroked="f">
                  <v:textbox inset="0,0,0,0">
                    <w:txbxContent>
                      <w:p>
                        <w:pPr>
                          <w:spacing w:before="0" w:after="160" w:line="259" w:lineRule="auto"/>
                          <w:ind w:left="0" w:firstLine="0"/>
                        </w:pPr>
                        <w:r>
                          <w:rPr>
                            <w:rFonts w:cs="Arial" w:hAnsi="Arial" w:eastAsia="Arial" w:ascii="Arial"/>
                            <w:b w:val="1"/>
                            <w:sz w:val="20"/>
                          </w:rPr>
                          <w:t xml:space="preserve">H0</w:t>
                        </w:r>
                      </w:p>
                    </w:txbxContent>
                  </v:textbox>
                </v:rect>
                <v:rect id="Rectangle 21639" style="position:absolute;width:467;height:1581;left:13993;top:725;"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21640" style="position:absolute;width:2151;height:1581;left:21141;top:725;" filled="f" stroked="f">
                  <v:textbox inset="0,0,0,0">
                    <w:txbxContent>
                      <w:p>
                        <w:pPr>
                          <w:spacing w:before="0" w:after="160" w:line="259" w:lineRule="auto"/>
                          <w:ind w:left="0" w:firstLine="0"/>
                        </w:pPr>
                        <w:r>
                          <w:rPr>
                            <w:rFonts w:cs="Arial" w:hAnsi="Arial" w:eastAsia="Arial" w:ascii="Arial"/>
                            <w:b w:val="1"/>
                            <w:sz w:val="20"/>
                          </w:rPr>
                          <w:t xml:space="preserve">H1</w:t>
                        </w:r>
                      </w:p>
                    </w:txbxContent>
                  </v:textbox>
                </v:rect>
                <v:rect id="Rectangle 21641" style="position:absolute;width:467;height:1581;left:22771;top:725;"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21642" style="position:absolute;width:9644;height:1581;left:31506;top:725;" filled="f" stroked="f">
                  <v:textbox inset="0,0,0,0">
                    <w:txbxContent>
                      <w:p>
                        <w:pPr>
                          <w:spacing w:before="0" w:after="160" w:line="259" w:lineRule="auto"/>
                          <w:ind w:left="0" w:firstLine="0"/>
                        </w:pPr>
                        <w:r>
                          <w:rPr>
                            <w:rFonts w:cs="Arial" w:hAnsi="Arial" w:eastAsia="Arial" w:ascii="Arial"/>
                            <w:b w:val="1"/>
                            <w:sz w:val="20"/>
                          </w:rPr>
                          <w:t xml:space="preserve">Sample size</w:t>
                        </w:r>
                      </w:p>
                    </w:txbxContent>
                  </v:textbox>
                </v:rect>
                <v:rect id="Rectangle 21643" style="position:absolute;width:467;height:1581;left:38780;top:725;"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21644" style="position:absolute;width:20921;height:1581;left:45013;top:709;" filled="f" stroked="f">
                  <v:textbox inset="0,0,0,0">
                    <w:txbxContent>
                      <w:p>
                        <w:pPr>
                          <w:spacing w:before="0" w:after="160" w:line="259" w:lineRule="auto"/>
                          <w:ind w:left="0" w:firstLine="0"/>
                        </w:pPr>
                        <w:r>
                          <w:rPr>
                            <w:rFonts w:cs="Arial" w:hAnsi="Arial" w:eastAsia="Arial" w:ascii="Arial"/>
                            <w:b w:val="1"/>
                            <w:sz w:val="20"/>
                          </w:rPr>
                          <w:t xml:space="preserve">Number (%) of responses </w:t>
                        </w:r>
                      </w:p>
                    </w:txbxContent>
                  </v:textbox>
                </v:rect>
                <v:rect id="Rectangle 21645" style="position:absolute;width:6539;height:1581;left:49250;top:2172;" filled="f" stroked="f">
                  <v:textbox inset="0,0,0,0">
                    <w:txbxContent>
                      <w:p>
                        <w:pPr>
                          <w:spacing w:before="0" w:after="160" w:line="259" w:lineRule="auto"/>
                          <w:ind w:left="0" w:firstLine="0"/>
                        </w:pPr>
                        <w:r>
                          <w:rPr>
                            <w:rFonts w:cs="Arial" w:hAnsi="Arial" w:eastAsia="Arial" w:ascii="Arial"/>
                            <w:b w:val="1"/>
                            <w:sz w:val="20"/>
                          </w:rPr>
                          <w:t xml:space="preserve">to reject</w:t>
                        </w:r>
                      </w:p>
                    </w:txbxContent>
                  </v:textbox>
                </v:rect>
                <v:rect id="Rectangle 21646" style="position:absolute;width:467;height:1581;left:54175;top:2172;"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21647" style="position:absolute;width:2151;height:1581;left:54540;top:2172;" filled="f" stroked="f">
                  <v:textbox inset="0,0,0,0">
                    <w:txbxContent>
                      <w:p>
                        <w:pPr>
                          <w:spacing w:before="0" w:after="160" w:line="259" w:lineRule="auto"/>
                          <w:ind w:left="0" w:firstLine="0"/>
                        </w:pPr>
                        <w:r>
                          <w:rPr>
                            <w:rFonts w:cs="Arial" w:hAnsi="Arial" w:eastAsia="Arial" w:ascii="Arial"/>
                            <w:b w:val="1"/>
                            <w:sz w:val="20"/>
                          </w:rPr>
                          <w:t xml:space="preserve">H0</w:t>
                        </w:r>
                      </w:p>
                    </w:txbxContent>
                  </v:textbox>
                </v:rect>
                <v:rect id="Rectangle 21648" style="position:absolute;width:467;height:1581;left:56171;top:2172;"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shape id="Shape 315759" style="position:absolute;width:8778;height:91;left:0;top:0;" coordsize="877824,9144" path="m0,0l877824,0l877824,9144l0,9144l0,0">
                  <v:stroke weight="0pt" endcap="flat" joinstyle="miter" miterlimit="10" on="false" color="#000000" opacity="0"/>
                  <v:fill on="true" color="#000000"/>
                </v:shape>
                <v:shape id="Shape 315760" style="position:absolute;width:91;height:91;left:8777;top:0;" coordsize="9144,9144" path="m0,0l9144,0l9144,9144l0,9144l0,0">
                  <v:stroke weight="0pt" endcap="flat" joinstyle="miter" miterlimit="10" on="false" color="#000000" opacity="0"/>
                  <v:fill on="true" color="#000000"/>
                </v:shape>
                <v:shape id="Shape 315761" style="position:absolute;width:8735;height:91;left:8838;top:0;" coordsize="873557,9144" path="m0,0l873557,0l873557,9144l0,9144l0,0">
                  <v:stroke weight="0pt" endcap="flat" joinstyle="miter" miterlimit="10" on="false" color="#000000" opacity="0"/>
                  <v:fill on="true" color="#000000"/>
                </v:shape>
                <v:shape id="Shape 315762" style="position:absolute;width:91;height:91;left:17575;top:0;" coordsize="9144,9144" path="m0,0l9144,0l9144,9144l0,9144l0,0">
                  <v:stroke weight="0pt" endcap="flat" joinstyle="miter" miterlimit="10" on="false" color="#000000" opacity="0"/>
                  <v:fill on="true" color="#000000"/>
                </v:shape>
                <v:shape id="Shape 315763" style="position:absolute;width:8720;height:91;left:17635;top:0;" coordsize="872033,9144" path="m0,0l872033,0l872033,9144l0,9144l0,0">
                  <v:stroke weight="0pt" endcap="flat" joinstyle="miter" miterlimit="10" on="false" color="#000000" opacity="0"/>
                  <v:fill on="true" color="#000000"/>
                </v:shape>
                <v:shape id="Shape 315764" style="position:absolute;width:91;height:91;left:26355;top:0;" coordsize="9144,9144" path="m0,0l9144,0l9144,9144l0,9144l0,0">
                  <v:stroke weight="0pt" endcap="flat" joinstyle="miter" miterlimit="10" on="false" color="#000000" opacity="0"/>
                  <v:fill on="true" color="#000000"/>
                </v:shape>
                <v:shape id="Shape 315765" style="position:absolute;width:17513;height:91;left:26416;top:0;" coordsize="1751330,9144" path="m0,0l1751330,0l1751330,9144l0,9144l0,0">
                  <v:stroke weight="0pt" endcap="flat" joinstyle="miter" miterlimit="10" on="false" color="#000000" opacity="0"/>
                  <v:fill on="true" color="#000000"/>
                </v:shape>
                <v:shape id="Shape 315766" style="position:absolute;width:91;height:91;left:43931;top:0;" coordsize="9144,9144" path="m0,0l9144,0l9144,9144l0,9144l0,0">
                  <v:stroke weight="0pt" endcap="flat" joinstyle="miter" miterlimit="10" on="false" color="#000000" opacity="0"/>
                  <v:fill on="true" color="#000000"/>
                </v:shape>
                <v:shape id="Shape 315767" style="position:absolute;width:17513;height:91;left:43992;top:0;" coordsize="1751330,9144" path="m0,0l1751330,0l1751330,9144l0,9144l0,0">
                  <v:stroke weight="0pt" endcap="flat" joinstyle="miter" miterlimit="10" on="false" color="#000000" opacity="0"/>
                  <v:fill on="true" color="#000000"/>
                </v:shape>
                <v:rect id="Rectangle 21658" style="position:absolute;width:4754;height:1578;left:28946;top:4462;" filled="f" stroked="f">
                  <v:textbox inset="0,0,0,0">
                    <w:txbxContent>
                      <w:p>
                        <w:pPr>
                          <w:spacing w:before="0" w:after="160" w:line="259" w:lineRule="auto"/>
                          <w:ind w:left="0" w:firstLine="0"/>
                        </w:pPr>
                        <w:r>
                          <w:rPr>
                            <w:rFonts w:cs="Arial" w:hAnsi="Arial" w:eastAsia="Arial" w:ascii="Arial"/>
                            <w:sz w:val="20"/>
                          </w:rPr>
                          <w:t xml:space="preserve">Stage 1</w:t>
                        </w:r>
                      </w:p>
                    </w:txbxContent>
                  </v:textbox>
                </v:rect>
                <v:rect id="Rectangle 21659" style="position:absolute;width:383;height:1578;left:32543;top:4462;"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1660" style="position:absolute;width:2996;height:1578;left:38399;top:4462;" filled="f" stroked="f">
                  <v:textbox inset="0,0,0,0">
                    <w:txbxContent>
                      <w:p>
                        <w:pPr>
                          <w:spacing w:before="0" w:after="160" w:line="259" w:lineRule="auto"/>
                          <w:ind w:left="0" w:firstLine="0"/>
                        </w:pPr>
                        <w:r>
                          <w:rPr>
                            <w:rFonts w:cs="Arial" w:hAnsi="Arial" w:eastAsia="Arial" w:ascii="Arial"/>
                            <w:sz w:val="20"/>
                          </w:rPr>
                          <w:t xml:space="preserve">Final</w:t>
                        </w:r>
                      </w:p>
                    </w:txbxContent>
                  </v:textbox>
                </v:rect>
                <v:rect id="Rectangle 21661" style="position:absolute;width:383;height:1578;left:40654;top:4462;"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1662" style="position:absolute;width:4754;height:1578;left:46522;top:4462;" filled="f" stroked="f">
                  <v:textbox inset="0,0,0,0">
                    <w:txbxContent>
                      <w:p>
                        <w:pPr>
                          <w:spacing w:before="0" w:after="160" w:line="259" w:lineRule="auto"/>
                          <w:ind w:left="0" w:firstLine="0"/>
                        </w:pPr>
                        <w:r>
                          <w:rPr>
                            <w:rFonts w:cs="Arial" w:hAnsi="Arial" w:eastAsia="Arial" w:ascii="Arial"/>
                            <w:sz w:val="20"/>
                          </w:rPr>
                          <w:t xml:space="preserve">Stage 1</w:t>
                        </w:r>
                      </w:p>
                    </w:txbxContent>
                  </v:textbox>
                </v:rect>
                <v:rect id="Rectangle 21663" style="position:absolute;width:383;height:1578;left:50118;top:4462;"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1664" style="position:absolute;width:2996;height:1578;left:55988;top:4462;" filled="f" stroked="f">
                  <v:textbox inset="0,0,0,0">
                    <w:txbxContent>
                      <w:p>
                        <w:pPr>
                          <w:spacing w:before="0" w:after="160" w:line="259" w:lineRule="auto"/>
                          <w:ind w:left="0" w:firstLine="0"/>
                        </w:pPr>
                        <w:r>
                          <w:rPr>
                            <w:rFonts w:cs="Arial" w:hAnsi="Arial" w:eastAsia="Arial" w:ascii="Arial"/>
                            <w:sz w:val="20"/>
                          </w:rPr>
                          <w:t xml:space="preserve">Final</w:t>
                        </w:r>
                      </w:p>
                    </w:txbxContent>
                  </v:textbox>
                </v:rect>
                <v:rect id="Rectangle 21665" style="position:absolute;width:383;height:1578;left:58244;top:4462;" filled="f" stroked="f">
                  <v:textbox inset="0,0,0,0">
                    <w:txbxContent>
                      <w:p>
                        <w:pPr>
                          <w:spacing w:before="0" w:after="160" w:line="259" w:lineRule="auto"/>
                          <w:ind w:left="0" w:firstLine="0"/>
                        </w:pPr>
                        <w:r>
                          <w:rPr>
                            <w:rFonts w:cs="Arial" w:hAnsi="Arial" w:eastAsia="Arial" w:ascii="Arial"/>
                            <w:sz w:val="20"/>
                          </w:rPr>
                          <w:t xml:space="preserve"> </w:t>
                        </w:r>
                      </w:p>
                    </w:txbxContent>
                  </v:textbox>
                </v:rect>
                <v:shape id="Shape 315768" style="position:absolute;width:8778;height:91;left:26355;top:3752;" coordsize="877824,9144" path="m0,0l877824,0l877824,9144l0,9144l0,0">
                  <v:stroke weight="0pt" endcap="flat" joinstyle="miter" miterlimit="10" on="false" color="#000000" opacity="0"/>
                  <v:fill on="true" color="#000000"/>
                </v:shape>
                <v:shape id="Shape 315769" style="position:absolute;width:91;height:91;left:35134;top:3752;" coordsize="9144,9144" path="m0,0l9144,0l9144,9144l0,9144l0,0">
                  <v:stroke weight="0pt" endcap="flat" joinstyle="miter" miterlimit="10" on="false" color="#000000" opacity="0"/>
                  <v:fill on="true" color="#000000"/>
                </v:shape>
                <v:shape id="Shape 315770" style="position:absolute;width:8735;height:91;left:35195;top:3752;" coordsize="873557,9144" path="m0,0l873557,0l873557,9144l0,9144l0,0">
                  <v:stroke weight="0pt" endcap="flat" joinstyle="miter" miterlimit="10" on="false" color="#000000" opacity="0"/>
                  <v:fill on="true" color="#000000"/>
                </v:shape>
                <v:shape id="Shape 315771" style="position:absolute;width:91;height:91;left:43931;top:3752;" coordsize="9144,9144" path="m0,0l9144,0l9144,9144l0,9144l0,0">
                  <v:stroke weight="0pt" endcap="flat" joinstyle="miter" miterlimit="10" on="false" color="#000000" opacity="0"/>
                  <v:fill on="true" color="#000000"/>
                </v:shape>
                <v:shape id="Shape 315772" style="position:absolute;width:8720;height:91;left:43992;top:3752;" coordsize="872033,9144" path="m0,0l872033,0l872033,9144l0,9144l0,0">
                  <v:stroke weight="0pt" endcap="flat" joinstyle="miter" miterlimit="10" on="false" color="#000000" opacity="0"/>
                  <v:fill on="true" color="#000000"/>
                </v:shape>
                <v:shape id="Shape 315773" style="position:absolute;width:91;height:91;left:52712;top:3752;" coordsize="9144,9144" path="m0,0l9144,0l9144,9144l0,9144l0,0">
                  <v:stroke weight="0pt" endcap="flat" joinstyle="miter" miterlimit="10" on="false" color="#000000" opacity="0"/>
                  <v:fill on="true" color="#000000"/>
                </v:shape>
                <v:shape id="Shape 315774" style="position:absolute;width:8732;height:91;left:52773;top:3752;" coordsize="873252,9144" path="m0,0l873252,0l873252,9144l0,9144l0,0">
                  <v:stroke weight="0pt" endcap="flat" joinstyle="miter" miterlimit="10" on="false" color="#000000" opacity="0"/>
                  <v:fill on="true" color="#000000"/>
                </v:shape>
                <v:rect id="Rectangle 21673" style="position:absolute;width:4303;height:1578;left:2758;top:6763;" filled="f" stroked="f">
                  <v:textbox inset="0,0,0,0">
                    <w:txbxContent>
                      <w:p>
                        <w:pPr>
                          <w:spacing w:before="0" w:after="160" w:line="259" w:lineRule="auto"/>
                          <w:ind w:left="0" w:firstLine="0"/>
                        </w:pPr>
                        <w:r>
                          <w:rPr>
                            <w:rFonts w:cs="Arial" w:hAnsi="Arial" w:eastAsia="Arial" w:ascii="Arial"/>
                            <w:sz w:val="20"/>
                          </w:rPr>
                          <w:t xml:space="preserve">HCC &amp;</w:t>
                        </w:r>
                      </w:p>
                    </w:txbxContent>
                  </v:textbox>
                </v:rect>
                <v:rect id="Rectangle 21674" style="position:absolute;width:383;height:1578;left:6004;top:6763;"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1675" style="position:absolute;width:4909;height:1578;left:2529;top:8607;" filled="f" stroked="f">
                  <v:textbox inset="0,0,0,0">
                    <w:txbxContent>
                      <w:p>
                        <w:pPr>
                          <w:spacing w:before="0" w:after="160" w:line="259" w:lineRule="auto"/>
                          <w:ind w:left="0" w:firstLine="0"/>
                        </w:pPr>
                        <w:r>
                          <w:rPr>
                            <w:rFonts w:cs="Arial" w:hAnsi="Arial" w:eastAsia="Arial" w:ascii="Arial"/>
                            <w:sz w:val="20"/>
                          </w:rPr>
                          <w:t xml:space="preserve">SCCHN</w:t>
                        </w:r>
                      </w:p>
                    </w:txbxContent>
                  </v:textbox>
                </v:rect>
                <v:rect id="Rectangle 21676" style="position:absolute;width:383;height:1578;left:6232;top:8607;"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66124" style="position:absolute;width:1534;height:1578;left:12134;top:6763;" filled="f" stroked="f">
                  <v:textbox inset="0,0,0,0">
                    <w:txbxContent>
                      <w:p>
                        <w:pPr>
                          <w:spacing w:before="0" w:after="160" w:line="259" w:lineRule="auto"/>
                          <w:ind w:left="0" w:firstLine="0"/>
                        </w:pPr>
                        <w:r>
                          <w:rPr>
                            <w:rFonts w:cs="Arial" w:hAnsi="Arial" w:eastAsia="Arial" w:ascii="Arial"/>
                            <w:sz w:val="20"/>
                          </w:rPr>
                          <w:t xml:space="preserve">15</w:t>
                        </w:r>
                      </w:p>
                    </w:txbxContent>
                  </v:textbox>
                </v:rect>
                <v:rect id="Rectangle 266125" style="position:absolute;width:1226;height:1578;left:13306;top:6763;" filled="f" stroked="f">
                  <v:textbox inset="0,0,0,0">
                    <w:txbxContent>
                      <w:p>
                        <w:pPr>
                          <w:spacing w:before="0" w:after="160" w:line="259" w:lineRule="auto"/>
                          <w:ind w:left="0" w:firstLine="0"/>
                        </w:pPr>
                        <w:r>
                          <w:rPr>
                            <w:rFonts w:cs="Arial" w:hAnsi="Arial" w:eastAsia="Arial" w:ascii="Arial"/>
                            <w:sz w:val="20"/>
                          </w:rPr>
                          <w:t xml:space="preserve">%</w:t>
                        </w:r>
                      </w:p>
                    </w:txbxContent>
                  </v:textbox>
                </v:rect>
                <v:rect id="Rectangle 21678" style="position:absolute;width:383;height:1578;left:14222;top:6763;"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66126" style="position:absolute;width:1534;height:1578;left:20912;top:6763;" filled="f" stroked="f">
                  <v:textbox inset="0,0,0,0">
                    <w:txbxContent>
                      <w:p>
                        <w:pPr>
                          <w:spacing w:before="0" w:after="160" w:line="259" w:lineRule="auto"/>
                          <w:ind w:left="0" w:firstLine="0"/>
                        </w:pPr>
                        <w:r>
                          <w:rPr>
                            <w:rFonts w:cs="Arial" w:hAnsi="Arial" w:eastAsia="Arial" w:ascii="Arial"/>
                            <w:sz w:val="20"/>
                          </w:rPr>
                          <w:t xml:space="preserve">30</w:t>
                        </w:r>
                      </w:p>
                    </w:txbxContent>
                  </v:textbox>
                </v:rect>
                <v:rect id="Rectangle 266127" style="position:absolute;width:1226;height:1578;left:22085;top:6763;" filled="f" stroked="f">
                  <v:textbox inset="0,0,0,0">
                    <w:txbxContent>
                      <w:p>
                        <w:pPr>
                          <w:spacing w:before="0" w:after="160" w:line="259" w:lineRule="auto"/>
                          <w:ind w:left="0" w:firstLine="0"/>
                        </w:pPr>
                        <w:r>
                          <w:rPr>
                            <w:rFonts w:cs="Arial" w:hAnsi="Arial" w:eastAsia="Arial" w:ascii="Arial"/>
                            <w:sz w:val="20"/>
                          </w:rPr>
                          <w:t xml:space="preserve">%</w:t>
                        </w:r>
                      </w:p>
                    </w:txbxContent>
                  </v:textbox>
                </v:rect>
                <v:rect id="Rectangle 21680" style="position:absolute;width:383;height:1578;left:23000;top:6763;"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1681" style="position:absolute;width:1537;height:1578;left:30165;top:6763;" filled="f" stroked="f">
                  <v:textbox inset="0,0,0,0">
                    <w:txbxContent>
                      <w:p>
                        <w:pPr>
                          <w:spacing w:before="0" w:after="160" w:line="259" w:lineRule="auto"/>
                          <w:ind w:left="0" w:firstLine="0"/>
                        </w:pPr>
                        <w:r>
                          <w:rPr>
                            <w:rFonts w:cs="Arial" w:hAnsi="Arial" w:eastAsia="Arial" w:ascii="Arial"/>
                            <w:sz w:val="20"/>
                          </w:rPr>
                          <w:t xml:space="preserve">26</w:t>
                        </w:r>
                      </w:p>
                    </w:txbxContent>
                  </v:textbox>
                </v:rect>
                <v:rect id="Rectangle 21682" style="position:absolute;width:383;height:1578;left:31324;top:6763;"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1683" style="position:absolute;width:1537;height:1578;left:38947;top:6763;" filled="f" stroked="f">
                  <v:textbox inset="0,0,0,0">
                    <w:txbxContent>
                      <w:p>
                        <w:pPr>
                          <w:spacing w:before="0" w:after="160" w:line="259" w:lineRule="auto"/>
                          <w:ind w:left="0" w:firstLine="0"/>
                        </w:pPr>
                        <w:r>
                          <w:rPr>
                            <w:rFonts w:cs="Arial" w:hAnsi="Arial" w:eastAsia="Arial" w:ascii="Arial"/>
                            <w:sz w:val="20"/>
                          </w:rPr>
                          <w:t xml:space="preserve">59</w:t>
                        </w:r>
                      </w:p>
                    </w:txbxContent>
                  </v:textbox>
                </v:rect>
                <v:rect id="Rectangle 21684" style="position:absolute;width:383;height:1578;left:40106;top:6763;"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1685" style="position:absolute;width:6899;height:1578;left:45714;top:6763;" filled="f" stroked="f">
                  <v:textbox inset="0,0,0,0">
                    <w:txbxContent>
                      <w:p>
                        <w:pPr>
                          <w:spacing w:before="0" w:after="160" w:line="259" w:lineRule="auto"/>
                          <w:ind w:left="0" w:firstLine="0"/>
                        </w:pPr>
                        <w:r>
                          <w:rPr>
                            <w:rFonts w:cs="Arial" w:hAnsi="Arial" w:eastAsia="Arial" w:ascii="Arial"/>
                            <w:sz w:val="20"/>
                          </w:rPr>
                          <w:t xml:space="preserve">≥5 (19.2%)</w:t>
                        </w:r>
                      </w:p>
                    </w:txbxContent>
                  </v:textbox>
                </v:rect>
                <v:rect id="Rectangle 21686" style="position:absolute;width:383;height:1578;left:50926;top:6763;"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21687" style="position:absolute;width:7668;height:1578;left:54220;top:6763;" filled="f" stroked="f">
                  <v:textbox inset="0,0,0,0">
                    <w:txbxContent>
                      <w:p>
                        <w:pPr>
                          <w:spacing w:before="0" w:after="160" w:line="259" w:lineRule="auto"/>
                          <w:ind w:left="0" w:firstLine="0"/>
                        </w:pPr>
                        <w:r>
                          <w:rPr>
                            <w:rFonts w:cs="Arial" w:hAnsi="Arial" w:eastAsia="Arial" w:ascii="Arial"/>
                            <w:sz w:val="20"/>
                          </w:rPr>
                          <w:t xml:space="preserve">≥14 (23.7%)</w:t>
                        </w:r>
                      </w:p>
                    </w:txbxContent>
                  </v:textbox>
                </v:rect>
                <v:rect id="Rectangle 21688" style="position:absolute;width:383;height:1578;left:60012;top:6763;" filled="f" stroked="f">
                  <v:textbox inset="0,0,0,0">
                    <w:txbxContent>
                      <w:p>
                        <w:pPr>
                          <w:spacing w:before="0" w:after="160" w:line="259" w:lineRule="auto"/>
                          <w:ind w:left="0" w:firstLine="0"/>
                        </w:pPr>
                        <w:r>
                          <w:rPr>
                            <w:rFonts w:cs="Arial" w:hAnsi="Arial" w:eastAsia="Arial" w:ascii="Arial"/>
                            <w:sz w:val="20"/>
                          </w:rPr>
                          <w:t xml:space="preserve"> </w:t>
                        </w:r>
                      </w:p>
                    </w:txbxContent>
                  </v:textbox>
                </v:rect>
                <v:shape id="Shape 315775" style="position:absolute;width:8778;height:91;left:0;top:6054;" coordsize="877824,9144" path="m0,0l877824,0l877824,9144l0,9144l0,0">
                  <v:stroke weight="0pt" endcap="flat" joinstyle="miter" miterlimit="10" on="false" color="#000000" opacity="0"/>
                  <v:fill on="true" color="#000000"/>
                </v:shape>
                <v:shape id="Shape 315776" style="position:absolute;width:91;height:91;left:8777;top:6054;" coordsize="9144,9144" path="m0,0l9144,0l9144,9144l0,9144l0,0">
                  <v:stroke weight="0pt" endcap="flat" joinstyle="miter" miterlimit="10" on="false" color="#000000" opacity="0"/>
                  <v:fill on="true" color="#000000"/>
                </v:shape>
                <v:shape id="Shape 315777" style="position:absolute;width:8735;height:91;left:8838;top:6054;" coordsize="873557,9144" path="m0,0l873557,0l873557,9144l0,9144l0,0">
                  <v:stroke weight="0pt" endcap="flat" joinstyle="miter" miterlimit="10" on="false" color="#000000" opacity="0"/>
                  <v:fill on="true" color="#000000"/>
                </v:shape>
                <v:shape id="Shape 315778" style="position:absolute;width:91;height:91;left:17575;top:6054;" coordsize="9144,9144" path="m0,0l9144,0l9144,9144l0,9144l0,0">
                  <v:stroke weight="0pt" endcap="flat" joinstyle="miter" miterlimit="10" on="false" color="#000000" opacity="0"/>
                  <v:fill on="true" color="#000000"/>
                </v:shape>
                <v:shape id="Shape 315779" style="position:absolute;width:8720;height:91;left:17635;top:6054;" coordsize="872033,9144" path="m0,0l872033,0l872033,9144l0,9144l0,0">
                  <v:stroke weight="0pt" endcap="flat" joinstyle="miter" miterlimit="10" on="false" color="#000000" opacity="0"/>
                  <v:fill on="true" color="#000000"/>
                </v:shape>
                <v:shape id="Shape 315780" style="position:absolute;width:91;height:91;left:26355;top:6054;" coordsize="9144,9144" path="m0,0l9144,0l9144,9144l0,9144l0,0">
                  <v:stroke weight="0pt" endcap="flat" joinstyle="miter" miterlimit="10" on="false" color="#000000" opacity="0"/>
                  <v:fill on="true" color="#000000"/>
                </v:shape>
                <v:shape id="Shape 315781" style="position:absolute;width:8717;height:91;left:26416;top:6054;" coordsize="871728,9144" path="m0,0l871728,0l871728,9144l0,9144l0,0">
                  <v:stroke weight="0pt" endcap="flat" joinstyle="miter" miterlimit="10" on="false" color="#000000" opacity="0"/>
                  <v:fill on="true" color="#000000"/>
                </v:shape>
                <v:shape id="Shape 315782" style="position:absolute;width:91;height:91;left:35134;top:6054;" coordsize="9144,9144" path="m0,0l9144,0l9144,9144l0,9144l0,0">
                  <v:stroke weight="0pt" endcap="flat" joinstyle="miter" miterlimit="10" on="false" color="#000000" opacity="0"/>
                  <v:fill on="true" color="#000000"/>
                </v:shape>
                <v:shape id="Shape 315783" style="position:absolute;width:8735;height:91;left:35195;top:6054;" coordsize="873557,9144" path="m0,0l873557,0l873557,9144l0,9144l0,0">
                  <v:stroke weight="0pt" endcap="flat" joinstyle="miter" miterlimit="10" on="false" color="#000000" opacity="0"/>
                  <v:fill on="true" color="#000000"/>
                </v:shape>
                <v:shape id="Shape 315784" style="position:absolute;width:91;height:91;left:43931;top:6054;" coordsize="9144,9144" path="m0,0l9144,0l9144,9144l0,9144l0,0">
                  <v:stroke weight="0pt" endcap="flat" joinstyle="miter" miterlimit="10" on="false" color="#000000" opacity="0"/>
                  <v:fill on="true" color="#000000"/>
                </v:shape>
                <v:shape id="Shape 315785" style="position:absolute;width:8720;height:91;left:43992;top:6054;" coordsize="872033,9144" path="m0,0l872033,0l872033,9144l0,9144l0,0">
                  <v:stroke weight="0pt" endcap="flat" joinstyle="miter" miterlimit="10" on="false" color="#000000" opacity="0"/>
                  <v:fill on="true" color="#000000"/>
                </v:shape>
                <v:shape id="Shape 315786" style="position:absolute;width:91;height:91;left:52712;top:6054;" coordsize="9144,9144" path="m0,0l9144,0l9144,9144l0,9144l0,0">
                  <v:stroke weight="0pt" endcap="flat" joinstyle="miter" miterlimit="10" on="false" color="#000000" opacity="0"/>
                  <v:fill on="true" color="#000000"/>
                </v:shape>
                <v:shape id="Shape 315787" style="position:absolute;width:8732;height:91;left:52773;top:6054;" coordsize="873252,9144" path="m0,0l873252,0l873252,9144l0,9144l0,0">
                  <v:stroke weight="0pt" endcap="flat" joinstyle="miter" miterlimit="10" on="false" color="#000000" opacity="0"/>
                  <v:fill on="true" color="#000000"/>
                </v:shape>
              </v:group>
            </w:pict>
          </mc:Fallback>
        </mc:AlternateContent>
      </w:r>
    </w:p>
    <w:p w14:paraId="5FB46FEA" w14:textId="77777777" w:rsidR="000B3C5C" w:rsidRDefault="00ED192D">
      <w:pPr>
        <w:tabs>
          <w:tab w:val="center" w:pos="582"/>
          <w:tab w:val="center" w:pos="1968"/>
          <w:tab w:val="center" w:pos="3350"/>
          <w:tab w:val="center" w:pos="4734"/>
          <w:tab w:val="center" w:pos="6117"/>
          <w:tab w:val="center" w:pos="7500"/>
          <w:tab w:val="center" w:pos="8885"/>
        </w:tabs>
        <w:spacing w:after="0" w:line="259" w:lineRule="auto"/>
        <w:ind w:left="0" w:firstLine="0"/>
      </w:pPr>
      <w:r>
        <w:rPr>
          <w:rFonts w:ascii="Calibri" w:eastAsia="Calibri" w:hAnsi="Calibri" w:cs="Calibri"/>
          <w:sz w:val="22"/>
        </w:rPr>
        <w:tab/>
      </w:r>
      <w:r>
        <w:rPr>
          <w:rFonts w:ascii="Arial" w:eastAsia="Arial" w:hAnsi="Arial" w:cs="Arial"/>
          <w:sz w:val="20"/>
        </w:rPr>
        <w:t xml:space="preserve">EOC </w:t>
      </w:r>
      <w:r>
        <w:rPr>
          <w:rFonts w:ascii="Arial" w:eastAsia="Arial" w:hAnsi="Arial" w:cs="Arial"/>
          <w:sz w:val="20"/>
        </w:rPr>
        <w:tab/>
        <w:t xml:space="preserve">20% </w:t>
      </w:r>
      <w:r>
        <w:rPr>
          <w:rFonts w:ascii="Arial" w:eastAsia="Arial" w:hAnsi="Arial" w:cs="Arial"/>
          <w:sz w:val="20"/>
        </w:rPr>
        <w:tab/>
      </w:r>
      <w:r>
        <w:rPr>
          <w:rFonts w:ascii="Arial" w:eastAsia="Arial" w:hAnsi="Arial" w:cs="Arial"/>
          <w:sz w:val="20"/>
        </w:rPr>
        <w:t xml:space="preserve">40% </w:t>
      </w:r>
      <w:r>
        <w:rPr>
          <w:rFonts w:ascii="Arial" w:eastAsia="Arial" w:hAnsi="Arial" w:cs="Arial"/>
          <w:sz w:val="20"/>
        </w:rPr>
        <w:tab/>
        <w:t xml:space="preserve">17 </w:t>
      </w:r>
      <w:r>
        <w:rPr>
          <w:rFonts w:ascii="Arial" w:eastAsia="Arial" w:hAnsi="Arial" w:cs="Arial"/>
          <w:sz w:val="20"/>
        </w:rPr>
        <w:tab/>
        <w:t xml:space="preserve">37 </w:t>
      </w:r>
      <w:r>
        <w:rPr>
          <w:rFonts w:ascii="Arial" w:eastAsia="Arial" w:hAnsi="Arial" w:cs="Arial"/>
          <w:sz w:val="20"/>
        </w:rPr>
        <w:tab/>
        <w:t xml:space="preserve">≥4 (23.5%) </w:t>
      </w:r>
      <w:r>
        <w:rPr>
          <w:rFonts w:ascii="Arial" w:eastAsia="Arial" w:hAnsi="Arial" w:cs="Arial"/>
          <w:sz w:val="20"/>
        </w:rPr>
        <w:tab/>
        <w:t xml:space="preserve">≥12 (32.4%) </w:t>
      </w:r>
    </w:p>
    <w:p w14:paraId="28363D66" w14:textId="77777777" w:rsidR="000B3C5C" w:rsidRDefault="00ED192D">
      <w:pPr>
        <w:spacing w:after="59" w:line="259" w:lineRule="auto"/>
        <w:ind w:left="-108" w:right="-46" w:firstLine="0"/>
      </w:pPr>
      <w:r>
        <w:rPr>
          <w:rFonts w:ascii="Calibri" w:eastAsia="Calibri" w:hAnsi="Calibri" w:cs="Calibri"/>
          <w:noProof/>
          <w:sz w:val="22"/>
        </w:rPr>
        <mc:AlternateContent>
          <mc:Choice Requires="wpg">
            <w:drawing>
              <wp:inline distT="0" distB="0" distL="0" distR="0" wp14:anchorId="052CE901" wp14:editId="26F3837D">
                <wp:extent cx="6150559" cy="18288"/>
                <wp:effectExtent l="0" t="0" r="0" b="0"/>
                <wp:docPr id="266405" name="Group 266405"/>
                <wp:cNvGraphicFramePr/>
                <a:graphic xmlns:a="http://schemas.openxmlformats.org/drawingml/2006/main">
                  <a:graphicData uri="http://schemas.microsoft.com/office/word/2010/wordprocessingGroup">
                    <wpg:wgp>
                      <wpg:cNvGrpSpPr/>
                      <wpg:grpSpPr>
                        <a:xfrm>
                          <a:off x="0" y="0"/>
                          <a:ext cx="6150559" cy="18288"/>
                          <a:chOff x="0" y="0"/>
                          <a:chExt cx="6150559" cy="18288"/>
                        </a:xfrm>
                      </wpg:grpSpPr>
                      <wps:wsp>
                        <wps:cNvPr id="315788" name="Shape 315788"/>
                        <wps:cNvSpPr/>
                        <wps:spPr>
                          <a:xfrm>
                            <a:off x="0" y="0"/>
                            <a:ext cx="877824" cy="18288"/>
                          </a:xfrm>
                          <a:custGeom>
                            <a:avLst/>
                            <a:gdLst/>
                            <a:ahLst/>
                            <a:cxnLst/>
                            <a:rect l="0" t="0" r="0" b="0"/>
                            <a:pathLst>
                              <a:path w="877824" h="18288">
                                <a:moveTo>
                                  <a:pt x="0" y="0"/>
                                </a:moveTo>
                                <a:lnTo>
                                  <a:pt x="877824" y="0"/>
                                </a:lnTo>
                                <a:lnTo>
                                  <a:pt x="8778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89" name="Shape 315789"/>
                        <wps:cNvSpPr/>
                        <wps:spPr>
                          <a:xfrm>
                            <a:off x="87777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0" name="Shape 315790"/>
                        <wps:cNvSpPr/>
                        <wps:spPr>
                          <a:xfrm>
                            <a:off x="896061" y="0"/>
                            <a:ext cx="861365" cy="18288"/>
                          </a:xfrm>
                          <a:custGeom>
                            <a:avLst/>
                            <a:gdLst/>
                            <a:ahLst/>
                            <a:cxnLst/>
                            <a:rect l="0" t="0" r="0" b="0"/>
                            <a:pathLst>
                              <a:path w="861365" h="18288">
                                <a:moveTo>
                                  <a:pt x="0" y="0"/>
                                </a:moveTo>
                                <a:lnTo>
                                  <a:pt x="861365" y="0"/>
                                </a:lnTo>
                                <a:lnTo>
                                  <a:pt x="8613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1" name="Shape 315791"/>
                        <wps:cNvSpPr/>
                        <wps:spPr>
                          <a:xfrm>
                            <a:off x="175750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2" name="Shape 315792"/>
                        <wps:cNvSpPr/>
                        <wps:spPr>
                          <a:xfrm>
                            <a:off x="1775790" y="0"/>
                            <a:ext cx="859841" cy="18288"/>
                          </a:xfrm>
                          <a:custGeom>
                            <a:avLst/>
                            <a:gdLst/>
                            <a:ahLst/>
                            <a:cxnLst/>
                            <a:rect l="0" t="0" r="0" b="0"/>
                            <a:pathLst>
                              <a:path w="859841" h="18288">
                                <a:moveTo>
                                  <a:pt x="0" y="0"/>
                                </a:moveTo>
                                <a:lnTo>
                                  <a:pt x="859841" y="0"/>
                                </a:lnTo>
                                <a:lnTo>
                                  <a:pt x="85984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3" name="Shape 315793"/>
                        <wps:cNvSpPr/>
                        <wps:spPr>
                          <a:xfrm>
                            <a:off x="263558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4" name="Shape 315794"/>
                        <wps:cNvSpPr/>
                        <wps:spPr>
                          <a:xfrm>
                            <a:off x="2653868" y="0"/>
                            <a:ext cx="859536" cy="18288"/>
                          </a:xfrm>
                          <a:custGeom>
                            <a:avLst/>
                            <a:gdLst/>
                            <a:ahLst/>
                            <a:cxnLst/>
                            <a:rect l="0" t="0" r="0" b="0"/>
                            <a:pathLst>
                              <a:path w="859536" h="18288">
                                <a:moveTo>
                                  <a:pt x="0" y="0"/>
                                </a:moveTo>
                                <a:lnTo>
                                  <a:pt x="859536" y="0"/>
                                </a:lnTo>
                                <a:lnTo>
                                  <a:pt x="8595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5" name="Shape 315795"/>
                        <wps:cNvSpPr/>
                        <wps:spPr>
                          <a:xfrm>
                            <a:off x="35134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6" name="Shape 315796"/>
                        <wps:cNvSpPr/>
                        <wps:spPr>
                          <a:xfrm>
                            <a:off x="3531692" y="0"/>
                            <a:ext cx="861365" cy="18288"/>
                          </a:xfrm>
                          <a:custGeom>
                            <a:avLst/>
                            <a:gdLst/>
                            <a:ahLst/>
                            <a:cxnLst/>
                            <a:rect l="0" t="0" r="0" b="0"/>
                            <a:pathLst>
                              <a:path w="861365" h="18288">
                                <a:moveTo>
                                  <a:pt x="0" y="0"/>
                                </a:moveTo>
                                <a:lnTo>
                                  <a:pt x="861365" y="0"/>
                                </a:lnTo>
                                <a:lnTo>
                                  <a:pt x="8613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7" name="Shape 315797"/>
                        <wps:cNvSpPr/>
                        <wps:spPr>
                          <a:xfrm>
                            <a:off x="439313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8" name="Shape 315798"/>
                        <wps:cNvSpPr/>
                        <wps:spPr>
                          <a:xfrm>
                            <a:off x="4411421" y="0"/>
                            <a:ext cx="859841" cy="18288"/>
                          </a:xfrm>
                          <a:custGeom>
                            <a:avLst/>
                            <a:gdLst/>
                            <a:ahLst/>
                            <a:cxnLst/>
                            <a:rect l="0" t="0" r="0" b="0"/>
                            <a:pathLst>
                              <a:path w="859841" h="18288">
                                <a:moveTo>
                                  <a:pt x="0" y="0"/>
                                </a:moveTo>
                                <a:lnTo>
                                  <a:pt x="859841" y="0"/>
                                </a:lnTo>
                                <a:lnTo>
                                  <a:pt x="85984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99" name="Shape 315799"/>
                        <wps:cNvSpPr/>
                        <wps:spPr>
                          <a:xfrm>
                            <a:off x="527121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00" name="Shape 315800"/>
                        <wps:cNvSpPr/>
                        <wps:spPr>
                          <a:xfrm>
                            <a:off x="5289499" y="0"/>
                            <a:ext cx="861060" cy="18288"/>
                          </a:xfrm>
                          <a:custGeom>
                            <a:avLst/>
                            <a:gdLst/>
                            <a:ahLst/>
                            <a:cxnLst/>
                            <a:rect l="0" t="0" r="0" b="0"/>
                            <a:pathLst>
                              <a:path w="861060" h="18288">
                                <a:moveTo>
                                  <a:pt x="0" y="0"/>
                                </a:moveTo>
                                <a:lnTo>
                                  <a:pt x="861060" y="0"/>
                                </a:lnTo>
                                <a:lnTo>
                                  <a:pt x="8610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6405" style="width:484.296pt;height:1.44pt;mso-position-horizontal-relative:char;mso-position-vertical-relative:line" coordsize="61505,182">
                <v:shape id="Shape 315801" style="position:absolute;width:8778;height:182;left:0;top:0;" coordsize="877824,18288" path="m0,0l877824,0l877824,18288l0,18288l0,0">
                  <v:stroke weight="0pt" endcap="flat" joinstyle="miter" miterlimit="10" on="false" color="#000000" opacity="0"/>
                  <v:fill on="true" color="#000000"/>
                </v:shape>
                <v:shape id="Shape 315802" style="position:absolute;width:182;height:182;left:8777;top:0;" coordsize="18288,18288" path="m0,0l18288,0l18288,18288l0,18288l0,0">
                  <v:stroke weight="0pt" endcap="flat" joinstyle="miter" miterlimit="10" on="false" color="#000000" opacity="0"/>
                  <v:fill on="true" color="#000000"/>
                </v:shape>
                <v:shape id="Shape 315803" style="position:absolute;width:8613;height:182;left:8960;top:0;" coordsize="861365,18288" path="m0,0l861365,0l861365,18288l0,18288l0,0">
                  <v:stroke weight="0pt" endcap="flat" joinstyle="miter" miterlimit="10" on="false" color="#000000" opacity="0"/>
                  <v:fill on="true" color="#000000"/>
                </v:shape>
                <v:shape id="Shape 315804" style="position:absolute;width:182;height:182;left:17575;top:0;" coordsize="18288,18288" path="m0,0l18288,0l18288,18288l0,18288l0,0">
                  <v:stroke weight="0pt" endcap="flat" joinstyle="miter" miterlimit="10" on="false" color="#000000" opacity="0"/>
                  <v:fill on="true" color="#000000"/>
                </v:shape>
                <v:shape id="Shape 315805" style="position:absolute;width:8598;height:182;left:17757;top:0;" coordsize="859841,18288" path="m0,0l859841,0l859841,18288l0,18288l0,0">
                  <v:stroke weight="0pt" endcap="flat" joinstyle="miter" miterlimit="10" on="false" color="#000000" opacity="0"/>
                  <v:fill on="true" color="#000000"/>
                </v:shape>
                <v:shape id="Shape 315806" style="position:absolute;width:182;height:182;left:26355;top:0;" coordsize="18288,18288" path="m0,0l18288,0l18288,18288l0,18288l0,0">
                  <v:stroke weight="0pt" endcap="flat" joinstyle="miter" miterlimit="10" on="false" color="#000000" opacity="0"/>
                  <v:fill on="true" color="#000000"/>
                </v:shape>
                <v:shape id="Shape 315807" style="position:absolute;width:8595;height:182;left:26538;top:0;" coordsize="859536,18288" path="m0,0l859536,0l859536,18288l0,18288l0,0">
                  <v:stroke weight="0pt" endcap="flat" joinstyle="miter" miterlimit="10" on="false" color="#000000" opacity="0"/>
                  <v:fill on="true" color="#000000"/>
                </v:shape>
                <v:shape id="Shape 315808" style="position:absolute;width:182;height:182;left:35134;top:0;" coordsize="18288,18288" path="m0,0l18288,0l18288,18288l0,18288l0,0">
                  <v:stroke weight="0pt" endcap="flat" joinstyle="miter" miterlimit="10" on="false" color="#000000" opacity="0"/>
                  <v:fill on="true" color="#000000"/>
                </v:shape>
                <v:shape id="Shape 315809" style="position:absolute;width:8613;height:182;left:35316;top:0;" coordsize="861365,18288" path="m0,0l861365,0l861365,18288l0,18288l0,0">
                  <v:stroke weight="0pt" endcap="flat" joinstyle="miter" miterlimit="10" on="false" color="#000000" opacity="0"/>
                  <v:fill on="true" color="#000000"/>
                </v:shape>
                <v:shape id="Shape 315810" style="position:absolute;width:182;height:182;left:43931;top:0;" coordsize="18288,18288" path="m0,0l18288,0l18288,18288l0,18288l0,0">
                  <v:stroke weight="0pt" endcap="flat" joinstyle="miter" miterlimit="10" on="false" color="#000000" opacity="0"/>
                  <v:fill on="true" color="#000000"/>
                </v:shape>
                <v:shape id="Shape 315811" style="position:absolute;width:8598;height:182;left:44114;top:0;" coordsize="859841,18288" path="m0,0l859841,0l859841,18288l0,18288l0,0">
                  <v:stroke weight="0pt" endcap="flat" joinstyle="miter" miterlimit="10" on="false" color="#000000" opacity="0"/>
                  <v:fill on="true" color="#000000"/>
                </v:shape>
                <v:shape id="Shape 315812" style="position:absolute;width:182;height:182;left:52712;top:0;" coordsize="18288,18288" path="m0,0l18288,0l18288,18288l0,18288l0,0">
                  <v:stroke weight="0pt" endcap="flat" joinstyle="miter" miterlimit="10" on="false" color="#000000" opacity="0"/>
                  <v:fill on="true" color="#000000"/>
                </v:shape>
                <v:shape id="Shape 315813" style="position:absolute;width:8610;height:182;left:52894;top:0;" coordsize="861060,18288" path="m0,0l861060,0l861060,18288l0,18288l0,0">
                  <v:stroke weight="0pt" endcap="flat" joinstyle="miter" miterlimit="10" on="false" color="#000000" opacity="0"/>
                  <v:fill on="true" color="#000000"/>
                </v:shape>
              </v:group>
            </w:pict>
          </mc:Fallback>
        </mc:AlternateContent>
      </w:r>
    </w:p>
    <w:p w14:paraId="43DE4048" w14:textId="77777777" w:rsidR="000B3C5C" w:rsidRDefault="00ED192D">
      <w:pPr>
        <w:spacing w:after="12"/>
        <w:ind w:left="-5" w:right="2"/>
      </w:pPr>
      <w:r>
        <w:rPr>
          <w:rFonts w:ascii="Arial" w:eastAsia="Arial" w:hAnsi="Arial" w:cs="Arial"/>
          <w:sz w:val="18"/>
        </w:rPr>
        <w:t xml:space="preserve">Abbreviations: H0=null hypothesis; H1=alternative hypothesis; HCC=hepatocellular carcinoma; SCCHN=squamous cell carcinoma of the head and neck; EOC=epithelial ovarian cancer. </w:t>
      </w:r>
    </w:p>
    <w:p w14:paraId="4054D5E9" w14:textId="77777777" w:rsidR="000B3C5C" w:rsidRDefault="00ED192D">
      <w:pPr>
        <w:spacing w:after="12"/>
        <w:ind w:left="-5" w:right="2"/>
      </w:pPr>
      <w:r>
        <w:rPr>
          <w:rFonts w:ascii="Arial" w:eastAsia="Arial" w:hAnsi="Arial" w:cs="Arial"/>
          <w:sz w:val="18"/>
        </w:rPr>
        <w:t xml:space="preserve">Note: Based on the number of objective responses and the totality of data observed within a treatment cohort in Phase 2 Stage 1, the Sponsor may decide to advance such a treatment cohort to Phase 2 Stage 2 after consulting with Study Committee. </w:t>
      </w:r>
    </w:p>
    <w:p w14:paraId="119F17A0" w14:textId="77777777" w:rsidR="000B3C5C" w:rsidRDefault="00ED192D">
      <w:pPr>
        <w:spacing w:after="11"/>
        <w:ind w:left="-3" w:right="14"/>
      </w:pPr>
      <w:r>
        <w:t xml:space="preserve">The assumption of PFS-6, the required sample sizes, and PFS-6 at each stage are provided below for GBM: </w:t>
      </w:r>
    </w:p>
    <w:tbl>
      <w:tblPr>
        <w:tblStyle w:val="TableGrid"/>
        <w:tblW w:w="9686" w:type="dxa"/>
        <w:tblInd w:w="-108" w:type="dxa"/>
        <w:tblCellMar>
          <w:top w:w="107" w:type="dxa"/>
          <w:left w:w="0" w:type="dxa"/>
          <w:bottom w:w="0" w:type="dxa"/>
          <w:right w:w="55" w:type="dxa"/>
        </w:tblCellMar>
        <w:tblLook w:val="04A0" w:firstRow="1" w:lastRow="0" w:firstColumn="1" w:lastColumn="0" w:noHBand="0" w:noVBand="1"/>
      </w:tblPr>
      <w:tblGrid>
        <w:gridCol w:w="1911"/>
        <w:gridCol w:w="1382"/>
        <w:gridCol w:w="1265"/>
        <w:gridCol w:w="1489"/>
        <w:gridCol w:w="1042"/>
        <w:gridCol w:w="1625"/>
        <w:gridCol w:w="972"/>
      </w:tblGrid>
      <w:tr w:rsidR="000B3C5C" w14:paraId="443B8DCE" w14:textId="77777777">
        <w:trPr>
          <w:trHeight w:val="600"/>
        </w:trPr>
        <w:tc>
          <w:tcPr>
            <w:tcW w:w="1911" w:type="dxa"/>
            <w:vMerge w:val="restart"/>
            <w:tcBorders>
              <w:top w:val="single" w:sz="4" w:space="0" w:color="000000"/>
              <w:left w:val="nil"/>
              <w:bottom w:val="single" w:sz="4" w:space="0" w:color="000000"/>
              <w:right w:val="nil"/>
            </w:tcBorders>
          </w:tcPr>
          <w:p w14:paraId="1F5A0FA5" w14:textId="77777777" w:rsidR="000B3C5C" w:rsidRDefault="00ED192D">
            <w:pPr>
              <w:spacing w:after="0" w:line="259" w:lineRule="auto"/>
              <w:ind w:left="218" w:firstLine="0"/>
            </w:pPr>
            <w:r>
              <w:rPr>
                <w:rFonts w:ascii="Arial" w:eastAsia="Arial" w:hAnsi="Arial" w:cs="Arial"/>
                <w:b/>
                <w:sz w:val="20"/>
              </w:rPr>
              <w:t xml:space="preserve">Indication </w:t>
            </w:r>
          </w:p>
        </w:tc>
        <w:tc>
          <w:tcPr>
            <w:tcW w:w="1382" w:type="dxa"/>
            <w:vMerge w:val="restart"/>
            <w:tcBorders>
              <w:top w:val="single" w:sz="4" w:space="0" w:color="000000"/>
              <w:left w:val="nil"/>
              <w:bottom w:val="single" w:sz="4" w:space="0" w:color="000000"/>
              <w:right w:val="nil"/>
            </w:tcBorders>
          </w:tcPr>
          <w:p w14:paraId="5D170176" w14:textId="77777777" w:rsidR="000B3C5C" w:rsidRDefault="00ED192D">
            <w:pPr>
              <w:spacing w:after="0" w:line="259" w:lineRule="auto"/>
              <w:ind w:left="36" w:firstLine="0"/>
            </w:pPr>
            <w:r>
              <w:rPr>
                <w:rFonts w:ascii="Arial" w:eastAsia="Arial" w:hAnsi="Arial" w:cs="Arial"/>
                <w:b/>
                <w:sz w:val="20"/>
              </w:rPr>
              <w:t xml:space="preserve">H0 </w:t>
            </w:r>
          </w:p>
        </w:tc>
        <w:tc>
          <w:tcPr>
            <w:tcW w:w="1265" w:type="dxa"/>
            <w:vMerge w:val="restart"/>
            <w:tcBorders>
              <w:top w:val="single" w:sz="4" w:space="0" w:color="000000"/>
              <w:left w:val="nil"/>
              <w:bottom w:val="single" w:sz="4" w:space="0" w:color="000000"/>
              <w:right w:val="nil"/>
            </w:tcBorders>
          </w:tcPr>
          <w:p w14:paraId="569FE182" w14:textId="77777777" w:rsidR="000B3C5C" w:rsidRDefault="00ED192D">
            <w:pPr>
              <w:spacing w:after="0" w:line="259" w:lineRule="auto"/>
              <w:ind w:left="36" w:firstLine="0"/>
            </w:pPr>
            <w:r>
              <w:rPr>
                <w:rFonts w:ascii="Arial" w:eastAsia="Arial" w:hAnsi="Arial" w:cs="Arial"/>
                <w:b/>
                <w:sz w:val="20"/>
              </w:rPr>
              <w:t xml:space="preserve">H1 </w:t>
            </w:r>
          </w:p>
        </w:tc>
        <w:tc>
          <w:tcPr>
            <w:tcW w:w="1489" w:type="dxa"/>
            <w:tcBorders>
              <w:top w:val="single" w:sz="4" w:space="0" w:color="000000"/>
              <w:left w:val="nil"/>
              <w:bottom w:val="single" w:sz="4" w:space="0" w:color="000000"/>
              <w:right w:val="nil"/>
            </w:tcBorders>
          </w:tcPr>
          <w:p w14:paraId="4E9B29AB" w14:textId="77777777" w:rsidR="000B3C5C" w:rsidRDefault="00ED192D">
            <w:pPr>
              <w:spacing w:after="0" w:line="259" w:lineRule="auto"/>
              <w:ind w:left="0" w:firstLine="0"/>
              <w:jc w:val="right"/>
            </w:pPr>
            <w:r>
              <w:rPr>
                <w:rFonts w:ascii="Arial" w:eastAsia="Arial" w:hAnsi="Arial" w:cs="Arial"/>
                <w:b/>
                <w:sz w:val="20"/>
              </w:rPr>
              <w:t>Sample siz</w:t>
            </w:r>
          </w:p>
        </w:tc>
        <w:tc>
          <w:tcPr>
            <w:tcW w:w="1042" w:type="dxa"/>
            <w:tcBorders>
              <w:top w:val="single" w:sz="4" w:space="0" w:color="000000"/>
              <w:left w:val="nil"/>
              <w:bottom w:val="single" w:sz="4" w:space="0" w:color="000000"/>
              <w:right w:val="nil"/>
            </w:tcBorders>
          </w:tcPr>
          <w:p w14:paraId="319A5F1C" w14:textId="77777777" w:rsidR="000B3C5C" w:rsidRDefault="00ED192D">
            <w:pPr>
              <w:spacing w:after="0" w:line="259" w:lineRule="auto"/>
              <w:ind w:left="-54" w:firstLine="0"/>
            </w:pPr>
            <w:r>
              <w:rPr>
                <w:rFonts w:ascii="Arial" w:eastAsia="Arial" w:hAnsi="Arial" w:cs="Arial"/>
                <w:b/>
                <w:sz w:val="20"/>
              </w:rPr>
              <w:t xml:space="preserve">e </w:t>
            </w:r>
          </w:p>
        </w:tc>
        <w:tc>
          <w:tcPr>
            <w:tcW w:w="2597" w:type="dxa"/>
            <w:gridSpan w:val="2"/>
            <w:tcBorders>
              <w:top w:val="single" w:sz="4" w:space="0" w:color="000000"/>
              <w:left w:val="nil"/>
              <w:bottom w:val="single" w:sz="4" w:space="0" w:color="000000"/>
              <w:right w:val="nil"/>
            </w:tcBorders>
          </w:tcPr>
          <w:p w14:paraId="0A3F94C9" w14:textId="77777777" w:rsidR="000B3C5C" w:rsidRDefault="00ED192D">
            <w:pPr>
              <w:spacing w:after="0" w:line="259" w:lineRule="auto"/>
              <w:ind w:left="667" w:hanging="667"/>
              <w:jc w:val="both"/>
            </w:pPr>
            <w:r>
              <w:rPr>
                <w:rFonts w:ascii="Arial" w:eastAsia="Arial" w:hAnsi="Arial" w:cs="Arial"/>
                <w:b/>
                <w:sz w:val="20"/>
              </w:rPr>
              <w:t xml:space="preserve">Number (%) of responses to reject H0 </w:t>
            </w:r>
          </w:p>
        </w:tc>
      </w:tr>
      <w:tr w:rsidR="000B3C5C" w14:paraId="478E71BF" w14:textId="77777777">
        <w:trPr>
          <w:trHeight w:val="360"/>
        </w:trPr>
        <w:tc>
          <w:tcPr>
            <w:tcW w:w="0" w:type="auto"/>
            <w:vMerge/>
            <w:tcBorders>
              <w:top w:val="nil"/>
              <w:left w:val="nil"/>
              <w:bottom w:val="single" w:sz="4" w:space="0" w:color="000000"/>
              <w:right w:val="nil"/>
            </w:tcBorders>
          </w:tcPr>
          <w:p w14:paraId="3BBBE6D0" w14:textId="77777777" w:rsidR="000B3C5C" w:rsidRDefault="000B3C5C">
            <w:pPr>
              <w:spacing w:after="160" w:line="259" w:lineRule="auto"/>
              <w:ind w:left="0" w:firstLine="0"/>
            </w:pPr>
          </w:p>
        </w:tc>
        <w:tc>
          <w:tcPr>
            <w:tcW w:w="0" w:type="auto"/>
            <w:vMerge/>
            <w:tcBorders>
              <w:top w:val="nil"/>
              <w:left w:val="nil"/>
              <w:bottom w:val="single" w:sz="4" w:space="0" w:color="000000"/>
              <w:right w:val="nil"/>
            </w:tcBorders>
          </w:tcPr>
          <w:p w14:paraId="32927E46" w14:textId="77777777" w:rsidR="000B3C5C" w:rsidRDefault="000B3C5C">
            <w:pPr>
              <w:spacing w:after="160" w:line="259" w:lineRule="auto"/>
              <w:ind w:left="0" w:firstLine="0"/>
            </w:pPr>
          </w:p>
        </w:tc>
        <w:tc>
          <w:tcPr>
            <w:tcW w:w="0" w:type="auto"/>
            <w:vMerge/>
            <w:tcBorders>
              <w:top w:val="nil"/>
              <w:left w:val="nil"/>
              <w:bottom w:val="single" w:sz="4" w:space="0" w:color="000000"/>
              <w:right w:val="nil"/>
            </w:tcBorders>
          </w:tcPr>
          <w:p w14:paraId="39030C8F" w14:textId="77777777" w:rsidR="000B3C5C" w:rsidRDefault="000B3C5C">
            <w:pPr>
              <w:spacing w:after="160" w:line="259" w:lineRule="auto"/>
              <w:ind w:left="0" w:firstLine="0"/>
            </w:pPr>
          </w:p>
        </w:tc>
        <w:tc>
          <w:tcPr>
            <w:tcW w:w="1489" w:type="dxa"/>
            <w:tcBorders>
              <w:top w:val="single" w:sz="4" w:space="0" w:color="000000"/>
              <w:left w:val="nil"/>
              <w:bottom w:val="single" w:sz="4" w:space="0" w:color="000000"/>
              <w:right w:val="nil"/>
            </w:tcBorders>
          </w:tcPr>
          <w:p w14:paraId="4505AE94" w14:textId="77777777" w:rsidR="000B3C5C" w:rsidRDefault="00ED192D">
            <w:pPr>
              <w:spacing w:after="0" w:line="259" w:lineRule="auto"/>
              <w:ind w:left="0" w:firstLine="0"/>
            </w:pPr>
            <w:r>
              <w:rPr>
                <w:rFonts w:ascii="Arial" w:eastAsia="Arial" w:hAnsi="Arial" w:cs="Arial"/>
                <w:sz w:val="20"/>
              </w:rPr>
              <w:t xml:space="preserve">Stage 1 </w:t>
            </w:r>
          </w:p>
        </w:tc>
        <w:tc>
          <w:tcPr>
            <w:tcW w:w="1042" w:type="dxa"/>
            <w:tcBorders>
              <w:top w:val="single" w:sz="4" w:space="0" w:color="000000"/>
              <w:left w:val="nil"/>
              <w:bottom w:val="single" w:sz="4" w:space="0" w:color="000000"/>
              <w:right w:val="nil"/>
            </w:tcBorders>
          </w:tcPr>
          <w:p w14:paraId="06073B70" w14:textId="77777777" w:rsidR="000B3C5C" w:rsidRDefault="00ED192D">
            <w:pPr>
              <w:spacing w:after="0" w:line="259" w:lineRule="auto"/>
              <w:ind w:left="0" w:firstLine="0"/>
            </w:pPr>
            <w:r>
              <w:rPr>
                <w:rFonts w:ascii="Arial" w:eastAsia="Arial" w:hAnsi="Arial" w:cs="Arial"/>
                <w:sz w:val="20"/>
              </w:rPr>
              <w:t xml:space="preserve">Final </w:t>
            </w:r>
          </w:p>
        </w:tc>
        <w:tc>
          <w:tcPr>
            <w:tcW w:w="1625" w:type="dxa"/>
            <w:tcBorders>
              <w:top w:val="single" w:sz="4" w:space="0" w:color="000000"/>
              <w:left w:val="nil"/>
              <w:bottom w:val="single" w:sz="4" w:space="0" w:color="000000"/>
              <w:right w:val="nil"/>
            </w:tcBorders>
          </w:tcPr>
          <w:p w14:paraId="5E7FD8BB" w14:textId="77777777" w:rsidR="000B3C5C" w:rsidRDefault="00ED192D">
            <w:pPr>
              <w:spacing w:after="0" w:line="259" w:lineRule="auto"/>
              <w:ind w:left="238" w:firstLine="0"/>
            </w:pPr>
            <w:r>
              <w:rPr>
                <w:rFonts w:ascii="Arial" w:eastAsia="Arial" w:hAnsi="Arial" w:cs="Arial"/>
                <w:sz w:val="20"/>
              </w:rPr>
              <w:t xml:space="preserve">Stage 1 </w:t>
            </w:r>
          </w:p>
        </w:tc>
        <w:tc>
          <w:tcPr>
            <w:tcW w:w="972" w:type="dxa"/>
            <w:tcBorders>
              <w:top w:val="single" w:sz="4" w:space="0" w:color="000000"/>
              <w:left w:val="nil"/>
              <w:bottom w:val="single" w:sz="4" w:space="0" w:color="000000"/>
              <w:right w:val="nil"/>
            </w:tcBorders>
          </w:tcPr>
          <w:p w14:paraId="69AA5BBE" w14:textId="77777777" w:rsidR="000B3C5C" w:rsidRDefault="00ED192D">
            <w:pPr>
              <w:spacing w:after="0" w:line="259" w:lineRule="auto"/>
              <w:ind w:left="103" w:firstLine="0"/>
            </w:pPr>
            <w:r>
              <w:rPr>
                <w:rFonts w:ascii="Arial" w:eastAsia="Arial" w:hAnsi="Arial" w:cs="Arial"/>
                <w:sz w:val="20"/>
              </w:rPr>
              <w:t xml:space="preserve">Final </w:t>
            </w:r>
          </w:p>
        </w:tc>
      </w:tr>
      <w:tr w:rsidR="000B3C5C" w14:paraId="06EC158E" w14:textId="77777777">
        <w:trPr>
          <w:trHeight w:val="382"/>
        </w:trPr>
        <w:tc>
          <w:tcPr>
            <w:tcW w:w="1911" w:type="dxa"/>
            <w:tcBorders>
              <w:top w:val="single" w:sz="4" w:space="0" w:color="000000"/>
              <w:left w:val="nil"/>
              <w:bottom w:val="single" w:sz="12" w:space="0" w:color="000000"/>
              <w:right w:val="nil"/>
            </w:tcBorders>
          </w:tcPr>
          <w:p w14:paraId="3EAE918A" w14:textId="77777777" w:rsidR="000B3C5C" w:rsidRDefault="00ED192D">
            <w:pPr>
              <w:spacing w:after="0" w:line="259" w:lineRule="auto"/>
              <w:ind w:left="504" w:firstLine="0"/>
            </w:pPr>
            <w:r>
              <w:rPr>
                <w:rFonts w:ascii="Arial" w:eastAsia="Arial" w:hAnsi="Arial" w:cs="Arial"/>
                <w:sz w:val="20"/>
              </w:rPr>
              <w:t xml:space="preserve">GBM </w:t>
            </w:r>
          </w:p>
        </w:tc>
        <w:tc>
          <w:tcPr>
            <w:tcW w:w="1382" w:type="dxa"/>
            <w:tcBorders>
              <w:top w:val="single" w:sz="4" w:space="0" w:color="000000"/>
              <w:left w:val="nil"/>
              <w:bottom w:val="single" w:sz="12" w:space="0" w:color="000000"/>
              <w:right w:val="nil"/>
            </w:tcBorders>
          </w:tcPr>
          <w:p w14:paraId="4A123D37" w14:textId="77777777" w:rsidR="000B3C5C" w:rsidRDefault="00ED192D">
            <w:pPr>
              <w:spacing w:after="0" w:line="259" w:lineRule="auto"/>
              <w:ind w:left="0" w:firstLine="0"/>
            </w:pPr>
            <w:r>
              <w:rPr>
                <w:rFonts w:ascii="Arial" w:eastAsia="Arial" w:hAnsi="Arial" w:cs="Arial"/>
                <w:sz w:val="20"/>
              </w:rPr>
              <w:t xml:space="preserve">20% </w:t>
            </w:r>
          </w:p>
        </w:tc>
        <w:tc>
          <w:tcPr>
            <w:tcW w:w="1265" w:type="dxa"/>
            <w:tcBorders>
              <w:top w:val="single" w:sz="4" w:space="0" w:color="000000"/>
              <w:left w:val="nil"/>
              <w:bottom w:val="single" w:sz="12" w:space="0" w:color="000000"/>
              <w:right w:val="nil"/>
            </w:tcBorders>
          </w:tcPr>
          <w:p w14:paraId="38C337E7" w14:textId="77777777" w:rsidR="000B3C5C" w:rsidRDefault="00ED192D">
            <w:pPr>
              <w:spacing w:after="0" w:line="259" w:lineRule="auto"/>
              <w:ind w:left="0" w:firstLine="0"/>
            </w:pPr>
            <w:r>
              <w:rPr>
                <w:rFonts w:ascii="Arial" w:eastAsia="Arial" w:hAnsi="Arial" w:cs="Arial"/>
                <w:sz w:val="20"/>
              </w:rPr>
              <w:t xml:space="preserve">35% </w:t>
            </w:r>
          </w:p>
        </w:tc>
        <w:tc>
          <w:tcPr>
            <w:tcW w:w="1489" w:type="dxa"/>
            <w:tcBorders>
              <w:top w:val="single" w:sz="4" w:space="0" w:color="000000"/>
              <w:left w:val="nil"/>
              <w:bottom w:val="single" w:sz="12" w:space="0" w:color="000000"/>
              <w:right w:val="nil"/>
            </w:tcBorders>
          </w:tcPr>
          <w:p w14:paraId="3444795A" w14:textId="77777777" w:rsidR="000B3C5C" w:rsidRDefault="00ED192D">
            <w:pPr>
              <w:spacing w:after="0" w:line="259" w:lineRule="auto"/>
              <w:ind w:left="192" w:firstLine="0"/>
            </w:pPr>
            <w:r>
              <w:rPr>
                <w:rFonts w:ascii="Arial" w:eastAsia="Arial" w:hAnsi="Arial" w:cs="Arial"/>
                <w:sz w:val="20"/>
              </w:rPr>
              <w:t xml:space="preserve">31 </w:t>
            </w:r>
          </w:p>
        </w:tc>
        <w:tc>
          <w:tcPr>
            <w:tcW w:w="1042" w:type="dxa"/>
            <w:tcBorders>
              <w:top w:val="single" w:sz="4" w:space="0" w:color="000000"/>
              <w:left w:val="nil"/>
              <w:bottom w:val="single" w:sz="12" w:space="0" w:color="000000"/>
              <w:right w:val="nil"/>
            </w:tcBorders>
          </w:tcPr>
          <w:p w14:paraId="41F042C5" w14:textId="77777777" w:rsidR="000B3C5C" w:rsidRDefault="00ED192D">
            <w:pPr>
              <w:spacing w:after="0" w:line="259" w:lineRule="auto"/>
              <w:ind w:left="86" w:firstLine="0"/>
            </w:pPr>
            <w:r>
              <w:rPr>
                <w:rFonts w:ascii="Arial" w:eastAsia="Arial" w:hAnsi="Arial" w:cs="Arial"/>
                <w:sz w:val="20"/>
              </w:rPr>
              <w:t xml:space="preserve">65 </w:t>
            </w:r>
          </w:p>
        </w:tc>
        <w:tc>
          <w:tcPr>
            <w:tcW w:w="1625" w:type="dxa"/>
            <w:tcBorders>
              <w:top w:val="single" w:sz="4" w:space="0" w:color="000000"/>
              <w:left w:val="nil"/>
              <w:bottom w:val="single" w:sz="12" w:space="0" w:color="000000"/>
              <w:right w:val="nil"/>
            </w:tcBorders>
          </w:tcPr>
          <w:p w14:paraId="393E4793" w14:textId="77777777" w:rsidR="000B3C5C" w:rsidRDefault="00ED192D">
            <w:pPr>
              <w:spacing w:after="0" w:line="259" w:lineRule="auto"/>
              <w:ind w:left="240" w:firstLine="0"/>
            </w:pPr>
            <w:r>
              <w:rPr>
                <w:rFonts w:ascii="Arial" w:eastAsia="Arial" w:hAnsi="Arial" w:cs="Arial"/>
                <w:sz w:val="20"/>
              </w:rPr>
              <w:t xml:space="preserve">&gt;19.4% </w:t>
            </w:r>
          </w:p>
        </w:tc>
        <w:tc>
          <w:tcPr>
            <w:tcW w:w="972" w:type="dxa"/>
            <w:tcBorders>
              <w:top w:val="single" w:sz="4" w:space="0" w:color="000000"/>
              <w:left w:val="nil"/>
              <w:bottom w:val="single" w:sz="12" w:space="0" w:color="000000"/>
              <w:right w:val="nil"/>
            </w:tcBorders>
          </w:tcPr>
          <w:p w14:paraId="254C9B3C" w14:textId="77777777" w:rsidR="000B3C5C" w:rsidRDefault="00ED192D">
            <w:pPr>
              <w:spacing w:after="0" w:line="259" w:lineRule="auto"/>
              <w:ind w:left="0" w:firstLine="0"/>
            </w:pPr>
            <w:r>
              <w:rPr>
                <w:rFonts w:ascii="Arial" w:eastAsia="Arial" w:hAnsi="Arial" w:cs="Arial"/>
                <w:sz w:val="20"/>
              </w:rPr>
              <w:t xml:space="preserve">&gt;27.7% </w:t>
            </w:r>
          </w:p>
        </w:tc>
      </w:tr>
    </w:tbl>
    <w:p w14:paraId="2A03AA60" w14:textId="77777777" w:rsidR="000B3C5C" w:rsidRDefault="00ED192D">
      <w:pPr>
        <w:spacing w:after="12"/>
        <w:ind w:left="-5" w:right="2"/>
      </w:pPr>
      <w:r>
        <w:rPr>
          <w:rFonts w:ascii="Arial" w:eastAsia="Arial" w:hAnsi="Arial" w:cs="Arial"/>
          <w:sz w:val="18"/>
        </w:rPr>
        <w:t xml:space="preserve">Abbreviations: H0=null hypothesis; H1=alternative hypothesis; GBM=glioblastoma multiforme. </w:t>
      </w:r>
    </w:p>
    <w:p w14:paraId="69ABEAC8" w14:textId="77777777" w:rsidR="000B3C5C" w:rsidRDefault="00ED192D">
      <w:pPr>
        <w:spacing w:after="310"/>
        <w:ind w:left="-5" w:right="2"/>
      </w:pPr>
      <w:r>
        <w:rPr>
          <w:rFonts w:ascii="Arial" w:eastAsia="Arial" w:hAnsi="Arial" w:cs="Arial"/>
          <w:sz w:val="18"/>
        </w:rPr>
        <w:t xml:space="preserve">Note: Based on the PFS-6 and the totality of data observed within a treatment cohort in Phase 2 Stage 1, the Sponsor may decide to advance such a treatment cohort to Phase 2 Stage 2 after consulting with Study Committee. </w:t>
      </w:r>
    </w:p>
    <w:p w14:paraId="035AE68F" w14:textId="77777777" w:rsidR="000B3C5C" w:rsidRDefault="00ED192D">
      <w:pPr>
        <w:ind w:left="-3" w:right="14"/>
      </w:pPr>
      <w:r>
        <w:t xml:space="preserve">Participants who received the recommended dose regimen in Phase 1 will be also included in Phase 2 Stage 1 (eg, if 6 HCC participants were enrolled in Phase 1, only 20 HCC participants will be needed to complete the Phase 2 Stage 1 HCC cohort). </w:t>
      </w:r>
    </w:p>
    <w:p w14:paraId="514B9EA4" w14:textId="77777777" w:rsidR="000B3C5C" w:rsidRDefault="00ED192D">
      <w:pPr>
        <w:ind w:left="-3" w:right="14"/>
      </w:pPr>
      <w:r>
        <w:t xml:space="preserve">In Phase 2, approximately 285 participants are expected to be enrolled (assuming Cohort A, B, C, D-1, and D-2 complete 2 stages), including approximately 131 in Phase 2 Stage 1 and approximately 154 participants in Phase 2 Stage 2. The participants who are treated with RP2D in Phase 1 will be counted as Phase 2 participants. </w:t>
      </w:r>
    </w:p>
    <w:p w14:paraId="5D11D73D" w14:textId="77777777" w:rsidR="000B3C5C" w:rsidRDefault="00ED192D">
      <w:pPr>
        <w:spacing w:after="473"/>
        <w:ind w:left="-3" w:right="14"/>
      </w:pPr>
      <w:r>
        <w:t xml:space="preserve">If isatuximab Q3W in combination with atezolizumab or as monotherapy (GBM only) without the isatuximab QW for 3 weeks is to be tested in HCC, SCCHN, EOC, or GBM 65 additional participants are expected to be enrolled. As a consequence, a total to up to 350 participants may be enrolled. </w:t>
      </w:r>
    </w:p>
    <w:p w14:paraId="107B1AF3" w14:textId="77777777" w:rsidR="000B3C5C" w:rsidRDefault="00ED192D">
      <w:pPr>
        <w:pStyle w:val="Heading4"/>
        <w:tabs>
          <w:tab w:val="center" w:pos="2366"/>
        </w:tabs>
        <w:ind w:left="-15" w:firstLine="0"/>
      </w:pPr>
      <w:r>
        <w:t xml:space="preserve">9.3 </w:t>
      </w:r>
      <w:r>
        <w:tab/>
        <w:t xml:space="preserve">POPULATIONS FOR ANALYSES  </w:t>
      </w:r>
    </w:p>
    <w:p w14:paraId="5DC5A34F" w14:textId="77777777" w:rsidR="000B3C5C" w:rsidRDefault="00ED192D">
      <w:pPr>
        <w:spacing w:after="310"/>
        <w:ind w:left="-3" w:right="14"/>
      </w:pPr>
      <w:r>
        <w:t>For purposes of analysis, the following populations are defined (</w:t>
      </w:r>
      <w:r>
        <w:rPr>
          <w:color w:val="0000FF"/>
        </w:rPr>
        <w:t>Table 7</w:t>
      </w:r>
      <w:r>
        <w:t xml:space="preserve">): </w:t>
      </w:r>
    </w:p>
    <w:p w14:paraId="0216EF09" w14:textId="77777777" w:rsidR="000B3C5C" w:rsidRDefault="00ED192D">
      <w:pPr>
        <w:spacing w:after="4" w:line="250" w:lineRule="auto"/>
        <w:ind w:left="15" w:right="69"/>
        <w:jc w:val="center"/>
      </w:pPr>
      <w:r>
        <w:rPr>
          <w:rFonts w:ascii="Arial" w:eastAsia="Arial" w:hAnsi="Arial" w:cs="Arial"/>
          <w:b/>
          <w:sz w:val="20"/>
        </w:rPr>
        <w:t xml:space="preserve">Table 7 - Populations for analyses  </w:t>
      </w:r>
    </w:p>
    <w:tbl>
      <w:tblPr>
        <w:tblStyle w:val="TableGrid"/>
        <w:tblW w:w="9700" w:type="dxa"/>
        <w:tblInd w:w="-122" w:type="dxa"/>
        <w:tblCellMar>
          <w:top w:w="81" w:type="dxa"/>
          <w:left w:w="0" w:type="dxa"/>
          <w:bottom w:w="0" w:type="dxa"/>
          <w:right w:w="70" w:type="dxa"/>
        </w:tblCellMar>
        <w:tblLook w:val="04A0" w:firstRow="1" w:lastRow="0" w:firstColumn="1" w:lastColumn="0" w:noHBand="0" w:noVBand="1"/>
      </w:tblPr>
      <w:tblGrid>
        <w:gridCol w:w="3221"/>
        <w:gridCol w:w="41"/>
        <w:gridCol w:w="6438"/>
      </w:tblGrid>
      <w:tr w:rsidR="000B3C5C" w14:paraId="5E10FC93" w14:textId="77777777">
        <w:trPr>
          <w:trHeight w:val="360"/>
        </w:trPr>
        <w:tc>
          <w:tcPr>
            <w:tcW w:w="3221" w:type="dxa"/>
            <w:tcBorders>
              <w:top w:val="single" w:sz="4" w:space="0" w:color="000000"/>
              <w:left w:val="nil"/>
              <w:bottom w:val="single" w:sz="4" w:space="0" w:color="000000"/>
              <w:right w:val="nil"/>
            </w:tcBorders>
          </w:tcPr>
          <w:p w14:paraId="44DCDDDF" w14:textId="77777777" w:rsidR="000B3C5C" w:rsidRDefault="00ED192D">
            <w:pPr>
              <w:spacing w:after="0" w:line="259" w:lineRule="auto"/>
              <w:ind w:left="0" w:right="38" w:firstLine="0"/>
              <w:jc w:val="center"/>
            </w:pPr>
            <w:r>
              <w:rPr>
                <w:rFonts w:ascii="Arial" w:eastAsia="Arial" w:hAnsi="Arial" w:cs="Arial"/>
                <w:b/>
                <w:sz w:val="20"/>
              </w:rPr>
              <w:t xml:space="preserve">Population </w:t>
            </w:r>
          </w:p>
        </w:tc>
        <w:tc>
          <w:tcPr>
            <w:tcW w:w="6479" w:type="dxa"/>
            <w:gridSpan w:val="2"/>
            <w:tcBorders>
              <w:top w:val="single" w:sz="4" w:space="0" w:color="000000"/>
              <w:left w:val="nil"/>
              <w:bottom w:val="single" w:sz="4" w:space="0" w:color="000000"/>
              <w:right w:val="nil"/>
            </w:tcBorders>
          </w:tcPr>
          <w:p w14:paraId="6838974B" w14:textId="77777777" w:rsidR="000B3C5C" w:rsidRDefault="00ED192D">
            <w:pPr>
              <w:spacing w:after="0" w:line="259" w:lineRule="auto"/>
              <w:ind w:left="0" w:right="49" w:firstLine="0"/>
              <w:jc w:val="center"/>
            </w:pPr>
            <w:r>
              <w:rPr>
                <w:rFonts w:ascii="Arial" w:eastAsia="Arial" w:hAnsi="Arial" w:cs="Arial"/>
                <w:b/>
                <w:sz w:val="20"/>
              </w:rPr>
              <w:t xml:space="preserve">Description </w:t>
            </w:r>
          </w:p>
        </w:tc>
      </w:tr>
      <w:tr w:rsidR="000B3C5C" w14:paraId="3B469452" w14:textId="77777777">
        <w:trPr>
          <w:trHeight w:val="1582"/>
        </w:trPr>
        <w:tc>
          <w:tcPr>
            <w:tcW w:w="3221" w:type="dxa"/>
            <w:tcBorders>
              <w:top w:val="single" w:sz="4" w:space="0" w:color="000000"/>
              <w:left w:val="nil"/>
              <w:bottom w:val="nil"/>
              <w:right w:val="nil"/>
            </w:tcBorders>
          </w:tcPr>
          <w:p w14:paraId="4CB6758F" w14:textId="77777777" w:rsidR="000B3C5C" w:rsidRDefault="00ED192D">
            <w:pPr>
              <w:spacing w:after="0" w:line="259" w:lineRule="auto"/>
              <w:ind w:left="0" w:right="35" w:firstLine="0"/>
              <w:jc w:val="center"/>
            </w:pPr>
            <w:r>
              <w:rPr>
                <w:rFonts w:ascii="Arial" w:eastAsia="Arial" w:hAnsi="Arial" w:cs="Arial"/>
                <w:sz w:val="20"/>
              </w:rPr>
              <w:t xml:space="preserve">All treated  </w:t>
            </w:r>
          </w:p>
        </w:tc>
        <w:tc>
          <w:tcPr>
            <w:tcW w:w="6479" w:type="dxa"/>
            <w:gridSpan w:val="2"/>
            <w:tcBorders>
              <w:top w:val="single" w:sz="4" w:space="0" w:color="000000"/>
              <w:left w:val="nil"/>
              <w:bottom w:val="nil"/>
              <w:right w:val="nil"/>
            </w:tcBorders>
          </w:tcPr>
          <w:p w14:paraId="0EC8C6D8" w14:textId="77777777" w:rsidR="000B3C5C" w:rsidRDefault="00ED192D">
            <w:pPr>
              <w:spacing w:after="61" w:line="240" w:lineRule="auto"/>
              <w:ind w:left="58" w:firstLine="91"/>
            </w:pPr>
            <w:r>
              <w:rPr>
                <w:rFonts w:ascii="Arial" w:eastAsia="Arial" w:hAnsi="Arial" w:cs="Arial"/>
                <w:sz w:val="20"/>
              </w:rPr>
              <w:t xml:space="preserve">For both Phase 1 and Phase 2 of the study, the all-treated population will include all participants who have given their informed consent and received at least 1 dose (even incomplete) of either isatuximab or atezolizumab. </w:t>
            </w:r>
          </w:p>
          <w:p w14:paraId="4781026B" w14:textId="77777777" w:rsidR="000B3C5C" w:rsidRDefault="00ED192D">
            <w:pPr>
              <w:spacing w:after="0" w:line="259" w:lineRule="auto"/>
              <w:ind w:left="17" w:firstLine="298"/>
            </w:pPr>
            <w:r>
              <w:rPr>
                <w:rFonts w:ascii="Arial" w:eastAsia="Arial" w:hAnsi="Arial" w:cs="Arial"/>
                <w:sz w:val="20"/>
              </w:rPr>
              <w:t xml:space="preserve">This population is the primary population for the analyses of efficacy and safety parameters, unless otherwise noted. All analyses using this population will be based on the dose level actually received in the first cycle. </w:t>
            </w:r>
          </w:p>
        </w:tc>
      </w:tr>
      <w:tr w:rsidR="000B3C5C" w14:paraId="699B6471" w14:textId="77777777">
        <w:trPr>
          <w:trHeight w:val="1269"/>
        </w:trPr>
        <w:tc>
          <w:tcPr>
            <w:tcW w:w="3221" w:type="dxa"/>
            <w:tcBorders>
              <w:top w:val="nil"/>
              <w:left w:val="nil"/>
              <w:bottom w:val="nil"/>
              <w:right w:val="nil"/>
            </w:tcBorders>
          </w:tcPr>
          <w:p w14:paraId="1DB4D247" w14:textId="77777777" w:rsidR="000B3C5C" w:rsidRDefault="00ED192D">
            <w:pPr>
              <w:spacing w:after="0" w:line="259" w:lineRule="auto"/>
              <w:ind w:left="0" w:right="36" w:firstLine="0"/>
              <w:jc w:val="center"/>
            </w:pPr>
            <w:r>
              <w:rPr>
                <w:rFonts w:ascii="Arial" w:eastAsia="Arial" w:hAnsi="Arial" w:cs="Arial"/>
                <w:sz w:val="20"/>
              </w:rPr>
              <w:t xml:space="preserve">DLT evaluable (Phase 1) </w:t>
            </w:r>
          </w:p>
        </w:tc>
        <w:tc>
          <w:tcPr>
            <w:tcW w:w="6479" w:type="dxa"/>
            <w:gridSpan w:val="2"/>
            <w:tcBorders>
              <w:top w:val="nil"/>
              <w:left w:val="nil"/>
              <w:bottom w:val="nil"/>
              <w:right w:val="nil"/>
            </w:tcBorders>
          </w:tcPr>
          <w:p w14:paraId="3CF3A205" w14:textId="77777777" w:rsidR="000B3C5C" w:rsidRDefault="00ED192D">
            <w:pPr>
              <w:spacing w:after="0" w:line="259" w:lineRule="auto"/>
              <w:ind w:left="0" w:firstLine="108"/>
            </w:pPr>
            <w:r>
              <w:rPr>
                <w:rFonts w:ascii="Arial" w:eastAsia="Arial" w:hAnsi="Arial" w:cs="Arial"/>
                <w:sz w:val="20"/>
              </w:rPr>
              <w:t xml:space="preserve">The DLT evaluable population is defined as participants in Phase 1 who received the planned doses of isatuximab and atezolizumab during Cycle 1, and complete the DLT observation period after the first IMP administration, unless they discontinue the study treatment(s) due to DLT. The dose recommended for Phase 2 will be determined on the DLT evaluable population. </w:t>
            </w:r>
          </w:p>
        </w:tc>
      </w:tr>
      <w:tr w:rsidR="000B3C5C" w14:paraId="2B3B8AF3" w14:textId="77777777">
        <w:trPr>
          <w:trHeight w:val="1084"/>
        </w:trPr>
        <w:tc>
          <w:tcPr>
            <w:tcW w:w="3221" w:type="dxa"/>
            <w:tcBorders>
              <w:top w:val="nil"/>
              <w:left w:val="nil"/>
              <w:bottom w:val="single" w:sz="4" w:space="0" w:color="000000"/>
              <w:right w:val="nil"/>
            </w:tcBorders>
          </w:tcPr>
          <w:p w14:paraId="09693FF6" w14:textId="77777777" w:rsidR="000B3C5C" w:rsidRDefault="00ED192D">
            <w:pPr>
              <w:spacing w:after="0" w:line="259" w:lineRule="auto"/>
              <w:ind w:left="0" w:right="36" w:firstLine="0"/>
              <w:jc w:val="center"/>
            </w:pPr>
            <w:r>
              <w:rPr>
                <w:rFonts w:ascii="Arial" w:eastAsia="Arial" w:hAnsi="Arial" w:cs="Arial"/>
                <w:sz w:val="20"/>
              </w:rPr>
              <w:t xml:space="preserve">Response evaluable population </w:t>
            </w:r>
          </w:p>
        </w:tc>
        <w:tc>
          <w:tcPr>
            <w:tcW w:w="6479" w:type="dxa"/>
            <w:gridSpan w:val="2"/>
            <w:tcBorders>
              <w:top w:val="nil"/>
              <w:left w:val="nil"/>
              <w:bottom w:val="single" w:sz="4" w:space="0" w:color="000000"/>
              <w:right w:val="nil"/>
            </w:tcBorders>
          </w:tcPr>
          <w:p w14:paraId="25C76BFA" w14:textId="77777777" w:rsidR="000B3C5C" w:rsidRDefault="00ED192D">
            <w:pPr>
              <w:spacing w:after="61" w:line="240" w:lineRule="auto"/>
              <w:ind w:left="226" w:hanging="204"/>
            </w:pPr>
            <w:r>
              <w:rPr>
                <w:rFonts w:ascii="Arial" w:eastAsia="Arial" w:hAnsi="Arial" w:cs="Arial"/>
                <w:sz w:val="20"/>
              </w:rPr>
              <w:t>The response evaluable population will include all patients who fulfill eligibility criteria in the all-</w:t>
            </w:r>
            <w:r>
              <w:rPr>
                <w:rFonts w:ascii="Arial" w:eastAsia="Arial" w:hAnsi="Arial" w:cs="Arial"/>
                <w:sz w:val="20"/>
              </w:rPr>
              <w:t xml:space="preserve">treated population with an evaluable baseline assessment and at least one evaluable post-baseline response assessment during the treatment period. </w:t>
            </w:r>
          </w:p>
          <w:p w14:paraId="6E8624B8" w14:textId="77777777" w:rsidR="000B3C5C" w:rsidRDefault="00ED192D">
            <w:pPr>
              <w:spacing w:after="0" w:line="259" w:lineRule="auto"/>
              <w:ind w:left="0" w:right="51" w:firstLine="0"/>
              <w:jc w:val="center"/>
            </w:pPr>
            <w:r>
              <w:rPr>
                <w:rFonts w:ascii="Arial" w:eastAsia="Arial" w:hAnsi="Arial" w:cs="Arial"/>
                <w:sz w:val="20"/>
              </w:rPr>
              <w:t xml:space="preserve">This population is the secondary analysis population for efficacy. </w:t>
            </w:r>
          </w:p>
        </w:tc>
      </w:tr>
      <w:tr w:rsidR="000B3C5C" w14:paraId="32F362CC" w14:textId="77777777">
        <w:trPr>
          <w:trHeight w:val="360"/>
        </w:trPr>
        <w:tc>
          <w:tcPr>
            <w:tcW w:w="3262" w:type="dxa"/>
            <w:gridSpan w:val="2"/>
            <w:tcBorders>
              <w:top w:val="single" w:sz="4" w:space="0" w:color="000000"/>
              <w:left w:val="nil"/>
              <w:bottom w:val="single" w:sz="4" w:space="0" w:color="000000"/>
              <w:right w:val="nil"/>
            </w:tcBorders>
          </w:tcPr>
          <w:p w14:paraId="264E5988" w14:textId="77777777" w:rsidR="000B3C5C" w:rsidRDefault="00ED192D">
            <w:pPr>
              <w:spacing w:after="0" w:line="259" w:lineRule="auto"/>
              <w:ind w:left="0" w:right="48" w:firstLine="0"/>
              <w:jc w:val="center"/>
            </w:pPr>
            <w:r>
              <w:rPr>
                <w:rFonts w:ascii="Arial" w:eastAsia="Arial" w:hAnsi="Arial" w:cs="Arial"/>
                <w:b/>
                <w:sz w:val="20"/>
              </w:rPr>
              <w:t xml:space="preserve">Population </w:t>
            </w:r>
          </w:p>
        </w:tc>
        <w:tc>
          <w:tcPr>
            <w:tcW w:w="6438" w:type="dxa"/>
            <w:tcBorders>
              <w:top w:val="single" w:sz="4" w:space="0" w:color="000000"/>
              <w:left w:val="nil"/>
              <w:bottom w:val="single" w:sz="4" w:space="0" w:color="000000"/>
              <w:right w:val="nil"/>
            </w:tcBorders>
          </w:tcPr>
          <w:p w14:paraId="26CD744D" w14:textId="77777777" w:rsidR="000B3C5C" w:rsidRDefault="00ED192D">
            <w:pPr>
              <w:spacing w:after="0" w:line="259" w:lineRule="auto"/>
              <w:ind w:left="0" w:right="46" w:firstLine="0"/>
              <w:jc w:val="center"/>
            </w:pPr>
            <w:r>
              <w:rPr>
                <w:rFonts w:ascii="Arial" w:eastAsia="Arial" w:hAnsi="Arial" w:cs="Arial"/>
                <w:b/>
                <w:sz w:val="20"/>
              </w:rPr>
              <w:t xml:space="preserve">Description </w:t>
            </w:r>
          </w:p>
        </w:tc>
      </w:tr>
      <w:tr w:rsidR="000B3C5C" w14:paraId="6A369E7E" w14:textId="77777777">
        <w:trPr>
          <w:trHeight w:val="834"/>
        </w:trPr>
        <w:tc>
          <w:tcPr>
            <w:tcW w:w="3262" w:type="dxa"/>
            <w:gridSpan w:val="2"/>
            <w:tcBorders>
              <w:top w:val="single" w:sz="4" w:space="0" w:color="000000"/>
              <w:left w:val="nil"/>
              <w:bottom w:val="nil"/>
              <w:right w:val="nil"/>
            </w:tcBorders>
          </w:tcPr>
          <w:p w14:paraId="3E22081F" w14:textId="77777777" w:rsidR="000B3C5C" w:rsidRDefault="00ED192D">
            <w:pPr>
              <w:spacing w:after="0" w:line="259" w:lineRule="auto"/>
              <w:ind w:left="0" w:right="46" w:firstLine="0"/>
              <w:jc w:val="center"/>
            </w:pPr>
            <w:r>
              <w:rPr>
                <w:rFonts w:ascii="Arial" w:eastAsia="Arial" w:hAnsi="Arial" w:cs="Arial"/>
                <w:sz w:val="20"/>
              </w:rPr>
              <w:t xml:space="preserve">PK </w:t>
            </w:r>
          </w:p>
        </w:tc>
        <w:tc>
          <w:tcPr>
            <w:tcW w:w="6438" w:type="dxa"/>
            <w:tcBorders>
              <w:top w:val="single" w:sz="4" w:space="0" w:color="000000"/>
              <w:left w:val="nil"/>
              <w:bottom w:val="nil"/>
              <w:right w:val="nil"/>
            </w:tcBorders>
          </w:tcPr>
          <w:p w14:paraId="3A9E6933" w14:textId="77777777" w:rsidR="000B3C5C" w:rsidRDefault="00ED192D">
            <w:pPr>
              <w:spacing w:after="0" w:line="259" w:lineRule="auto"/>
              <w:ind w:left="0" w:firstLine="127"/>
            </w:pPr>
            <w:r>
              <w:rPr>
                <w:rFonts w:ascii="Arial" w:eastAsia="Arial" w:hAnsi="Arial" w:cs="Arial"/>
                <w:sz w:val="20"/>
              </w:rPr>
              <w:t xml:space="preserve">The PK population will include all participants from the all-treated population with at least 1 drug concentration after drug administration (whatever the cycle and even if the dose is uncomplete). </w:t>
            </w:r>
          </w:p>
        </w:tc>
      </w:tr>
      <w:tr w:rsidR="000B3C5C" w14:paraId="50F97F41" w14:textId="77777777">
        <w:trPr>
          <w:trHeight w:val="580"/>
        </w:trPr>
        <w:tc>
          <w:tcPr>
            <w:tcW w:w="3262" w:type="dxa"/>
            <w:gridSpan w:val="2"/>
            <w:tcBorders>
              <w:top w:val="nil"/>
              <w:left w:val="nil"/>
              <w:bottom w:val="nil"/>
              <w:right w:val="nil"/>
            </w:tcBorders>
          </w:tcPr>
          <w:p w14:paraId="4C6B473A" w14:textId="77777777" w:rsidR="000B3C5C" w:rsidRDefault="00ED192D">
            <w:pPr>
              <w:spacing w:after="0" w:line="259" w:lineRule="auto"/>
              <w:ind w:left="0" w:right="45" w:firstLine="0"/>
              <w:jc w:val="center"/>
            </w:pPr>
            <w:r>
              <w:rPr>
                <w:rFonts w:ascii="Arial" w:eastAsia="Arial" w:hAnsi="Arial" w:cs="Arial"/>
                <w:sz w:val="20"/>
              </w:rPr>
              <w:t xml:space="preserve">ADA evaluable </w:t>
            </w:r>
          </w:p>
        </w:tc>
        <w:tc>
          <w:tcPr>
            <w:tcW w:w="6438" w:type="dxa"/>
            <w:tcBorders>
              <w:top w:val="nil"/>
              <w:left w:val="nil"/>
              <w:bottom w:val="nil"/>
              <w:right w:val="nil"/>
            </w:tcBorders>
          </w:tcPr>
          <w:p w14:paraId="4A9854C9" w14:textId="77777777" w:rsidR="000B3C5C" w:rsidRDefault="00ED192D">
            <w:pPr>
              <w:spacing w:after="0" w:line="259" w:lineRule="auto"/>
              <w:ind w:left="692" w:hanging="644"/>
            </w:pPr>
            <w:r>
              <w:rPr>
                <w:rFonts w:ascii="Arial" w:eastAsia="Arial" w:hAnsi="Arial" w:cs="Arial"/>
                <w:sz w:val="20"/>
              </w:rPr>
              <w:t xml:space="preserve">The ADA evaluable population includes all participants from the all-treated population with at least 1 non-missing ADA result after the drug administration. </w:t>
            </w:r>
          </w:p>
        </w:tc>
      </w:tr>
      <w:tr w:rsidR="000B3C5C" w14:paraId="77769262" w14:textId="77777777">
        <w:trPr>
          <w:trHeight w:val="802"/>
        </w:trPr>
        <w:tc>
          <w:tcPr>
            <w:tcW w:w="3262" w:type="dxa"/>
            <w:gridSpan w:val="2"/>
            <w:tcBorders>
              <w:top w:val="nil"/>
              <w:left w:val="nil"/>
              <w:bottom w:val="single" w:sz="12" w:space="0" w:color="000000"/>
              <w:right w:val="nil"/>
            </w:tcBorders>
          </w:tcPr>
          <w:p w14:paraId="0E93D175" w14:textId="77777777" w:rsidR="000B3C5C" w:rsidRDefault="00ED192D">
            <w:pPr>
              <w:spacing w:after="0" w:line="259" w:lineRule="auto"/>
              <w:ind w:left="0" w:right="46" w:firstLine="0"/>
              <w:jc w:val="center"/>
            </w:pPr>
            <w:r>
              <w:rPr>
                <w:rFonts w:ascii="Arial" w:eastAsia="Arial" w:hAnsi="Arial" w:cs="Arial"/>
                <w:sz w:val="20"/>
              </w:rPr>
              <w:t xml:space="preserve">PDy </w:t>
            </w:r>
          </w:p>
        </w:tc>
        <w:tc>
          <w:tcPr>
            <w:tcW w:w="6438" w:type="dxa"/>
            <w:tcBorders>
              <w:top w:val="nil"/>
              <w:left w:val="nil"/>
              <w:bottom w:val="single" w:sz="12" w:space="0" w:color="000000"/>
              <w:right w:val="nil"/>
            </w:tcBorders>
          </w:tcPr>
          <w:p w14:paraId="57D73E1C" w14:textId="77777777" w:rsidR="000B3C5C" w:rsidRDefault="00ED192D">
            <w:pPr>
              <w:spacing w:after="0" w:line="259" w:lineRule="auto"/>
              <w:ind w:left="55" w:firstLine="170"/>
            </w:pPr>
            <w:r>
              <w:rPr>
                <w:rFonts w:ascii="Arial" w:eastAsia="Arial" w:hAnsi="Arial" w:cs="Arial"/>
                <w:sz w:val="20"/>
              </w:rPr>
              <w:t xml:space="preserve">The pharmacodynamic population will include all participants from the all-treated population with at least 1 pharmacodynamic marker result after the first dose of study treatment. </w:t>
            </w:r>
          </w:p>
        </w:tc>
      </w:tr>
    </w:tbl>
    <w:p w14:paraId="1ADAAE1E" w14:textId="77777777" w:rsidR="000B3C5C" w:rsidRDefault="00ED192D">
      <w:pPr>
        <w:spacing w:after="547"/>
        <w:ind w:left="-5" w:right="2"/>
      </w:pPr>
      <w:r>
        <w:rPr>
          <w:rFonts w:ascii="Arial" w:eastAsia="Arial" w:hAnsi="Arial" w:cs="Arial"/>
          <w:sz w:val="18"/>
        </w:rPr>
        <w:t xml:space="preserve">Abbreviations: ADA=Anti-drug antibody; DLT=Dose limiting toxicities; PDy=Pharmacodynamics; PK=Pharmacokinetics. </w:t>
      </w:r>
    </w:p>
    <w:p w14:paraId="525679C2" w14:textId="77777777" w:rsidR="000B3C5C" w:rsidRDefault="00ED192D">
      <w:pPr>
        <w:pStyle w:val="Heading4"/>
        <w:tabs>
          <w:tab w:val="center" w:pos="2023"/>
        </w:tabs>
        <w:ind w:left="-15" w:firstLine="0"/>
      </w:pPr>
      <w:r>
        <w:t xml:space="preserve">9.4 </w:t>
      </w:r>
      <w:r>
        <w:tab/>
        <w:t xml:space="preserve">STATISTICAL ANALYSES  </w:t>
      </w:r>
    </w:p>
    <w:p w14:paraId="5A89DE8B" w14:textId="77777777" w:rsidR="000B3C5C" w:rsidRDefault="00ED192D">
      <w:pPr>
        <w:ind w:left="-3" w:right="14"/>
      </w:pPr>
      <w:r>
        <w:t xml:space="preserve">The statistical analysis plan will be developed and finalized before database lock and will describe the participant populations to be included in the analyses, and procedures for accounting for missing, unused, and spurious data. This section is a summary of the planned statistical analyses of the primary and secondary endpoints. </w:t>
      </w:r>
    </w:p>
    <w:p w14:paraId="762B56E1" w14:textId="77777777" w:rsidR="000B3C5C" w:rsidRDefault="00ED192D">
      <w:pPr>
        <w:spacing w:line="249" w:lineRule="auto"/>
        <w:ind w:left="-5" w:right="51"/>
      </w:pPr>
      <w:r>
        <w:rPr>
          <w:b/>
        </w:rPr>
        <w:t>General statistical approach</w:t>
      </w:r>
      <w:r>
        <w:t xml:space="preserve">: </w:t>
      </w:r>
    </w:p>
    <w:p w14:paraId="77B0F484" w14:textId="77777777" w:rsidR="000B3C5C" w:rsidRDefault="00ED192D">
      <w:pPr>
        <w:ind w:left="-3" w:right="14"/>
      </w:pPr>
      <w:r>
        <w:t xml:space="preserve">Data from HCC, SCCHN, EOC, and GBM cohorts (Cohorts A, B, C, D-1, and D-2) in Phase 2 will be analyzed and reported separately by cohort. </w:t>
      </w:r>
    </w:p>
    <w:p w14:paraId="5AA152AE" w14:textId="77777777" w:rsidR="000B3C5C" w:rsidRDefault="00ED192D">
      <w:pPr>
        <w:spacing w:line="249" w:lineRule="auto"/>
        <w:ind w:left="-5" w:right="51"/>
      </w:pPr>
      <w:r>
        <w:rPr>
          <w:b/>
        </w:rPr>
        <w:t xml:space="preserve">Planned date for analysis cut-off: </w:t>
      </w:r>
    </w:p>
    <w:p w14:paraId="79EDB83F" w14:textId="77777777" w:rsidR="000B3C5C" w:rsidRDefault="00ED192D">
      <w:pPr>
        <w:ind w:left="-3" w:right="14"/>
      </w:pPr>
      <w:r>
        <w:t xml:space="preserve">For each cohort, the analysis cut-off date for the primary analysis (RR for HCC, SCCHN and EOC, PFS-6 for GBM) is planned at 6 months after the last participant’s first treatment in the cohort.  </w:t>
      </w:r>
    </w:p>
    <w:p w14:paraId="2FC23D54" w14:textId="77777777" w:rsidR="000B3C5C" w:rsidRDefault="00ED192D">
      <w:pPr>
        <w:spacing w:after="333"/>
        <w:ind w:left="-3" w:right="300"/>
      </w:pPr>
      <w:r>
        <w:t xml:space="preserve">The analysis cut-off date for secondary efficacy endpoints including DoR and PFS will be 12 months after the last participant’s first treatment in the cohort. The primary analysis of RR in the cohort for HCC, SCCHN, and EOC, and of PFS-6 in the cohort for GMB will be updated. </w:t>
      </w:r>
    </w:p>
    <w:p w14:paraId="49B77D55" w14:textId="77777777" w:rsidR="000B3C5C" w:rsidRDefault="00ED192D">
      <w:pPr>
        <w:pStyle w:val="Heading5"/>
        <w:spacing w:after="249" w:line="249" w:lineRule="auto"/>
        <w:ind w:left="-5"/>
      </w:pPr>
      <w:r>
        <w:rPr>
          <w:i w:val="0"/>
        </w:rPr>
        <w:t xml:space="preserve">9.4.1 Efficacy analyses  </w:t>
      </w:r>
    </w:p>
    <w:p w14:paraId="1F4FFA1A" w14:textId="77777777" w:rsidR="000B3C5C" w:rsidRDefault="00ED192D">
      <w:pPr>
        <w:spacing w:after="334"/>
        <w:ind w:left="-3" w:right="14"/>
      </w:pPr>
      <w:r>
        <w:t xml:space="preserve">All-treated population will be the primary analysis population for efficacy endpoints. In addition, similar analysis will be performed using the response evaluable population as a secondary analysis.  </w:t>
      </w:r>
    </w:p>
    <w:p w14:paraId="5A3A7137" w14:textId="77777777" w:rsidR="000B3C5C" w:rsidRDefault="00ED192D">
      <w:pPr>
        <w:pStyle w:val="Heading6"/>
        <w:ind w:left="-5"/>
      </w:pPr>
      <w:r>
        <w:t xml:space="preserve">9.4.1.1 Analysis of primary efficacy endpoints  </w:t>
      </w:r>
    </w:p>
    <w:p w14:paraId="0F16268C" w14:textId="77777777" w:rsidR="000B3C5C" w:rsidRDefault="00ED192D">
      <w:pPr>
        <w:ind w:left="-3" w:right="14"/>
      </w:pPr>
      <w:r>
        <w:t xml:space="preserve">For HCC, SCCHN and EOC, RR will be summarized with descriptive statistics. A 90% 2-sided confidence interval will be computed using Clopper-Pearson method. The statistical inference will be based on the hypothesis and alpha level defined in the sample size calculation section. </w:t>
      </w:r>
    </w:p>
    <w:p w14:paraId="5FD17AFC" w14:textId="77777777" w:rsidR="000B3C5C" w:rsidRDefault="00ED192D">
      <w:pPr>
        <w:ind w:left="-3" w:right="14"/>
      </w:pPr>
      <w:r>
        <w:t xml:space="preserve">For GBM, PFS-6 will be summarized using Kaplan-Meier method. </w:t>
      </w:r>
    </w:p>
    <w:p w14:paraId="0268033F" w14:textId="77777777" w:rsidR="000B3C5C" w:rsidRDefault="00ED192D">
      <w:pPr>
        <w:spacing w:after="236" w:line="259" w:lineRule="auto"/>
        <w:ind w:left="-5"/>
      </w:pPr>
      <w:r>
        <w:rPr>
          <w:rFonts w:ascii="Arial" w:eastAsia="Arial" w:hAnsi="Arial" w:cs="Arial"/>
          <w:b/>
          <w:i/>
          <w:sz w:val="22"/>
        </w:rPr>
        <w:t xml:space="preserve">9.4.1.2 Analysis of secondary efficacy endpoints:  </w:t>
      </w:r>
    </w:p>
    <w:p w14:paraId="6B51385D" w14:textId="77777777" w:rsidR="000B3C5C" w:rsidRDefault="00ED192D">
      <w:pPr>
        <w:spacing w:after="72"/>
        <w:ind w:left="-3" w:right="14"/>
      </w:pPr>
      <w:r>
        <w:t xml:space="preserve">The following secondary endpoints will be analyzed: </w:t>
      </w:r>
    </w:p>
    <w:p w14:paraId="25EC35A2" w14:textId="77777777" w:rsidR="000B3C5C" w:rsidRDefault="00ED192D">
      <w:pPr>
        <w:numPr>
          <w:ilvl w:val="0"/>
          <w:numId w:val="47"/>
        </w:numPr>
        <w:spacing w:after="75"/>
        <w:ind w:right="14" w:hanging="358"/>
      </w:pPr>
      <w:r>
        <w:t xml:space="preserve">Tumor burden change: the best percent-change from baseline in tumor burden will be summarized and presented graphically. In addition, a summary of the area under the curve (AUC) and the time adjusted AUC of percent-change from baseline in tumor burden will also be provided as an exploratory analysis. </w:t>
      </w:r>
    </w:p>
    <w:p w14:paraId="71D25D31" w14:textId="77777777" w:rsidR="000B3C5C" w:rsidRDefault="00ED192D">
      <w:pPr>
        <w:numPr>
          <w:ilvl w:val="0"/>
          <w:numId w:val="47"/>
        </w:numPr>
        <w:spacing w:after="28"/>
        <w:ind w:right="14" w:hanging="358"/>
      </w:pPr>
      <w:r>
        <w:t xml:space="preserve">DOR and PFS will be summarized using Kaplan-Meier method. </w:t>
      </w:r>
    </w:p>
    <w:p w14:paraId="2E4E1CBC" w14:textId="77777777" w:rsidR="000B3C5C" w:rsidRDefault="00ED192D">
      <w:pPr>
        <w:numPr>
          <w:ilvl w:val="0"/>
          <w:numId w:val="47"/>
        </w:numPr>
        <w:spacing w:after="314"/>
        <w:ind w:right="14" w:hanging="358"/>
      </w:pPr>
      <w:r>
        <w:t xml:space="preserve">RR for GBM and DCR (complete response + partial response + stable disease) will be summarized with descriptive statistics. </w:t>
      </w:r>
    </w:p>
    <w:p w14:paraId="05B11C69" w14:textId="77777777" w:rsidR="000B3C5C" w:rsidRDefault="00ED192D">
      <w:pPr>
        <w:spacing w:after="4" w:line="250" w:lineRule="auto"/>
        <w:ind w:left="15" w:right="71"/>
        <w:jc w:val="center"/>
      </w:pPr>
      <w:r>
        <w:rPr>
          <w:rFonts w:ascii="Arial" w:eastAsia="Arial" w:hAnsi="Arial" w:cs="Arial"/>
          <w:b/>
          <w:sz w:val="20"/>
        </w:rPr>
        <w:t xml:space="preserve">Table 8 - Efficacy analyses  </w:t>
      </w:r>
    </w:p>
    <w:tbl>
      <w:tblPr>
        <w:tblStyle w:val="TableGrid"/>
        <w:tblW w:w="9686" w:type="dxa"/>
        <w:tblInd w:w="-108" w:type="dxa"/>
        <w:tblCellMar>
          <w:top w:w="81" w:type="dxa"/>
          <w:left w:w="0" w:type="dxa"/>
          <w:bottom w:w="0" w:type="dxa"/>
          <w:right w:w="115" w:type="dxa"/>
        </w:tblCellMar>
        <w:tblLook w:val="04A0" w:firstRow="1" w:lastRow="0" w:firstColumn="1" w:lastColumn="0" w:noHBand="0" w:noVBand="1"/>
      </w:tblPr>
      <w:tblGrid>
        <w:gridCol w:w="3409"/>
        <w:gridCol w:w="6277"/>
      </w:tblGrid>
      <w:tr w:rsidR="000B3C5C" w14:paraId="1C34B38F" w14:textId="77777777">
        <w:trPr>
          <w:trHeight w:val="360"/>
        </w:trPr>
        <w:tc>
          <w:tcPr>
            <w:tcW w:w="3409" w:type="dxa"/>
            <w:tcBorders>
              <w:top w:val="single" w:sz="4" w:space="0" w:color="000000"/>
              <w:left w:val="nil"/>
              <w:bottom w:val="single" w:sz="4" w:space="0" w:color="000000"/>
              <w:right w:val="nil"/>
            </w:tcBorders>
          </w:tcPr>
          <w:p w14:paraId="769B9FE3" w14:textId="77777777" w:rsidR="000B3C5C" w:rsidRDefault="00ED192D">
            <w:pPr>
              <w:spacing w:after="0" w:line="259" w:lineRule="auto"/>
              <w:ind w:left="943" w:firstLine="0"/>
            </w:pPr>
            <w:r>
              <w:rPr>
                <w:rFonts w:ascii="Arial" w:eastAsia="Arial" w:hAnsi="Arial" w:cs="Arial"/>
                <w:b/>
                <w:sz w:val="20"/>
              </w:rPr>
              <w:t xml:space="preserve">Endpoint </w:t>
            </w:r>
          </w:p>
        </w:tc>
        <w:tc>
          <w:tcPr>
            <w:tcW w:w="6277" w:type="dxa"/>
            <w:tcBorders>
              <w:top w:val="single" w:sz="4" w:space="0" w:color="000000"/>
              <w:left w:val="nil"/>
              <w:bottom w:val="single" w:sz="4" w:space="0" w:color="000000"/>
              <w:right w:val="nil"/>
            </w:tcBorders>
          </w:tcPr>
          <w:p w14:paraId="4B51CD10" w14:textId="77777777" w:rsidR="000B3C5C" w:rsidRDefault="00ED192D">
            <w:pPr>
              <w:spacing w:after="0" w:line="259" w:lineRule="auto"/>
              <w:ind w:left="1464" w:firstLine="0"/>
            </w:pPr>
            <w:r>
              <w:rPr>
                <w:rFonts w:ascii="Arial" w:eastAsia="Arial" w:hAnsi="Arial" w:cs="Arial"/>
                <w:b/>
                <w:sz w:val="20"/>
              </w:rPr>
              <w:t xml:space="preserve">Statistical Analysis Methods </w:t>
            </w:r>
          </w:p>
        </w:tc>
      </w:tr>
      <w:tr w:rsidR="000B3C5C" w14:paraId="5F1DC5F8" w14:textId="77777777">
        <w:trPr>
          <w:trHeight w:val="724"/>
        </w:trPr>
        <w:tc>
          <w:tcPr>
            <w:tcW w:w="3409" w:type="dxa"/>
            <w:tcBorders>
              <w:top w:val="single" w:sz="4" w:space="0" w:color="000000"/>
              <w:left w:val="nil"/>
              <w:bottom w:val="nil"/>
              <w:right w:val="nil"/>
            </w:tcBorders>
          </w:tcPr>
          <w:p w14:paraId="2CD93923" w14:textId="77777777" w:rsidR="000B3C5C" w:rsidRDefault="00ED192D">
            <w:pPr>
              <w:spacing w:after="101" w:line="259" w:lineRule="auto"/>
              <w:ind w:left="1073" w:firstLine="0"/>
            </w:pPr>
            <w:r>
              <w:rPr>
                <w:rFonts w:ascii="Arial" w:eastAsia="Arial" w:hAnsi="Arial" w:cs="Arial"/>
                <w:b/>
                <w:sz w:val="20"/>
              </w:rPr>
              <w:t xml:space="preserve">Primary </w:t>
            </w:r>
          </w:p>
          <w:p w14:paraId="2471B26F" w14:textId="77777777" w:rsidR="000B3C5C" w:rsidRDefault="00ED192D">
            <w:pPr>
              <w:spacing w:after="0" w:line="259" w:lineRule="auto"/>
              <w:ind w:left="242" w:firstLine="0"/>
            </w:pPr>
            <w:r>
              <w:rPr>
                <w:rFonts w:ascii="Arial" w:eastAsia="Arial" w:hAnsi="Arial" w:cs="Arial"/>
                <w:sz w:val="20"/>
              </w:rPr>
              <w:t xml:space="preserve">RR for HCC, SCCHN and EOC </w:t>
            </w:r>
          </w:p>
        </w:tc>
        <w:tc>
          <w:tcPr>
            <w:tcW w:w="6277" w:type="dxa"/>
            <w:tcBorders>
              <w:top w:val="single" w:sz="4" w:space="0" w:color="000000"/>
              <w:left w:val="nil"/>
              <w:bottom w:val="nil"/>
              <w:right w:val="nil"/>
            </w:tcBorders>
          </w:tcPr>
          <w:p w14:paraId="38D70113" w14:textId="77777777" w:rsidR="000B3C5C" w:rsidRDefault="00ED192D">
            <w:pPr>
              <w:spacing w:after="101" w:line="259" w:lineRule="auto"/>
              <w:ind w:left="0" w:right="489" w:firstLine="0"/>
              <w:jc w:val="center"/>
            </w:pPr>
            <w:r>
              <w:rPr>
                <w:rFonts w:ascii="Arial" w:eastAsia="Arial" w:hAnsi="Arial" w:cs="Arial"/>
                <w:sz w:val="20"/>
              </w:rPr>
              <w:t xml:space="preserve"> </w:t>
            </w:r>
          </w:p>
          <w:p w14:paraId="2B510AF3" w14:textId="77777777" w:rsidR="000B3C5C" w:rsidRDefault="00ED192D">
            <w:pPr>
              <w:spacing w:after="0" w:line="259" w:lineRule="auto"/>
              <w:ind w:left="972" w:firstLine="0"/>
            </w:pPr>
            <w:r>
              <w:rPr>
                <w:rFonts w:ascii="Arial" w:eastAsia="Arial" w:hAnsi="Arial" w:cs="Arial"/>
                <w:sz w:val="20"/>
              </w:rPr>
              <w:t xml:space="preserve">Descriptive statistics and Clopper-Pearson method </w:t>
            </w:r>
          </w:p>
        </w:tc>
      </w:tr>
      <w:tr w:rsidR="000B3C5C" w14:paraId="1961C334" w14:textId="77777777">
        <w:trPr>
          <w:trHeight w:val="350"/>
        </w:trPr>
        <w:tc>
          <w:tcPr>
            <w:tcW w:w="3409" w:type="dxa"/>
            <w:tcBorders>
              <w:top w:val="nil"/>
              <w:left w:val="nil"/>
              <w:bottom w:val="nil"/>
              <w:right w:val="nil"/>
            </w:tcBorders>
          </w:tcPr>
          <w:p w14:paraId="1440B60E" w14:textId="77777777" w:rsidR="000B3C5C" w:rsidRDefault="00ED192D">
            <w:pPr>
              <w:spacing w:after="0" w:line="259" w:lineRule="auto"/>
              <w:ind w:left="816" w:firstLine="0"/>
            </w:pPr>
            <w:r>
              <w:rPr>
                <w:rFonts w:ascii="Arial" w:eastAsia="Arial" w:hAnsi="Arial" w:cs="Arial"/>
                <w:sz w:val="20"/>
              </w:rPr>
              <w:t xml:space="preserve">PFS-6 for GBM </w:t>
            </w:r>
          </w:p>
        </w:tc>
        <w:tc>
          <w:tcPr>
            <w:tcW w:w="6277" w:type="dxa"/>
            <w:tcBorders>
              <w:top w:val="nil"/>
              <w:left w:val="nil"/>
              <w:bottom w:val="nil"/>
              <w:right w:val="nil"/>
            </w:tcBorders>
          </w:tcPr>
          <w:p w14:paraId="1194ED56" w14:textId="77777777" w:rsidR="000B3C5C" w:rsidRDefault="00ED192D">
            <w:pPr>
              <w:spacing w:after="0" w:line="259" w:lineRule="auto"/>
              <w:ind w:left="0" w:right="534" w:firstLine="0"/>
              <w:jc w:val="center"/>
            </w:pPr>
            <w:r>
              <w:rPr>
                <w:rFonts w:ascii="Arial" w:eastAsia="Arial" w:hAnsi="Arial" w:cs="Arial"/>
                <w:sz w:val="20"/>
              </w:rPr>
              <w:t xml:space="preserve">Kaplan-Meier method </w:t>
            </w:r>
          </w:p>
        </w:tc>
      </w:tr>
      <w:tr w:rsidR="000B3C5C" w14:paraId="752287DA" w14:textId="77777777">
        <w:trPr>
          <w:trHeight w:val="698"/>
        </w:trPr>
        <w:tc>
          <w:tcPr>
            <w:tcW w:w="3409" w:type="dxa"/>
            <w:tcBorders>
              <w:top w:val="nil"/>
              <w:left w:val="nil"/>
              <w:bottom w:val="nil"/>
              <w:right w:val="nil"/>
            </w:tcBorders>
          </w:tcPr>
          <w:p w14:paraId="568A55E4" w14:textId="77777777" w:rsidR="000B3C5C" w:rsidRDefault="00ED192D">
            <w:pPr>
              <w:spacing w:after="0" w:line="259" w:lineRule="auto"/>
              <w:ind w:left="571" w:right="978" w:firstLine="386"/>
            </w:pPr>
            <w:r>
              <w:rPr>
                <w:rFonts w:ascii="Arial" w:eastAsia="Arial" w:hAnsi="Arial" w:cs="Arial"/>
                <w:b/>
                <w:sz w:val="20"/>
              </w:rPr>
              <w:t xml:space="preserve">Secondary </w:t>
            </w:r>
            <w:r>
              <w:rPr>
                <w:rFonts w:ascii="Arial" w:eastAsia="Arial" w:hAnsi="Arial" w:cs="Arial"/>
                <w:sz w:val="20"/>
              </w:rPr>
              <w:t xml:space="preserve">Tumor burden change </w:t>
            </w:r>
          </w:p>
        </w:tc>
        <w:tc>
          <w:tcPr>
            <w:tcW w:w="6277" w:type="dxa"/>
            <w:tcBorders>
              <w:top w:val="nil"/>
              <w:left w:val="nil"/>
              <w:bottom w:val="nil"/>
              <w:right w:val="nil"/>
            </w:tcBorders>
          </w:tcPr>
          <w:p w14:paraId="140DE7EB" w14:textId="77777777" w:rsidR="000B3C5C" w:rsidRDefault="00ED192D">
            <w:pPr>
              <w:spacing w:after="101" w:line="259" w:lineRule="auto"/>
              <w:ind w:left="0" w:right="489" w:firstLine="0"/>
              <w:jc w:val="center"/>
            </w:pPr>
            <w:r>
              <w:rPr>
                <w:rFonts w:ascii="Arial" w:eastAsia="Arial" w:hAnsi="Arial" w:cs="Arial"/>
                <w:sz w:val="20"/>
              </w:rPr>
              <w:t xml:space="preserve"> </w:t>
            </w:r>
          </w:p>
          <w:p w14:paraId="7486DEE9" w14:textId="77777777" w:rsidR="000B3C5C" w:rsidRDefault="00ED192D">
            <w:pPr>
              <w:spacing w:after="0" w:line="259" w:lineRule="auto"/>
              <w:ind w:left="0" w:right="536" w:firstLine="0"/>
              <w:jc w:val="center"/>
            </w:pPr>
            <w:r>
              <w:rPr>
                <w:rFonts w:ascii="Arial" w:eastAsia="Arial" w:hAnsi="Arial" w:cs="Arial"/>
                <w:sz w:val="20"/>
              </w:rPr>
              <w:t xml:space="preserve">Descriptive statistics </w:t>
            </w:r>
          </w:p>
        </w:tc>
      </w:tr>
      <w:tr w:rsidR="000B3C5C" w14:paraId="12624945" w14:textId="77777777">
        <w:trPr>
          <w:trHeight w:val="350"/>
        </w:trPr>
        <w:tc>
          <w:tcPr>
            <w:tcW w:w="3409" w:type="dxa"/>
            <w:tcBorders>
              <w:top w:val="nil"/>
              <w:left w:val="nil"/>
              <w:bottom w:val="nil"/>
              <w:right w:val="nil"/>
            </w:tcBorders>
          </w:tcPr>
          <w:p w14:paraId="48C2B619" w14:textId="77777777" w:rsidR="000B3C5C" w:rsidRDefault="00ED192D">
            <w:pPr>
              <w:spacing w:after="0" w:line="259" w:lineRule="auto"/>
              <w:ind w:left="852" w:firstLine="0"/>
            </w:pPr>
            <w:r>
              <w:rPr>
                <w:rFonts w:ascii="Arial" w:eastAsia="Arial" w:hAnsi="Arial" w:cs="Arial"/>
                <w:sz w:val="20"/>
              </w:rPr>
              <w:t xml:space="preserve">DOR and PFS </w:t>
            </w:r>
          </w:p>
        </w:tc>
        <w:tc>
          <w:tcPr>
            <w:tcW w:w="6277" w:type="dxa"/>
            <w:tcBorders>
              <w:top w:val="nil"/>
              <w:left w:val="nil"/>
              <w:bottom w:val="nil"/>
              <w:right w:val="nil"/>
            </w:tcBorders>
          </w:tcPr>
          <w:p w14:paraId="70D0B951" w14:textId="77777777" w:rsidR="000B3C5C" w:rsidRDefault="00ED192D">
            <w:pPr>
              <w:spacing w:after="0" w:line="259" w:lineRule="auto"/>
              <w:ind w:left="0" w:right="534" w:firstLine="0"/>
              <w:jc w:val="center"/>
            </w:pPr>
            <w:r>
              <w:rPr>
                <w:rFonts w:ascii="Arial" w:eastAsia="Arial" w:hAnsi="Arial" w:cs="Arial"/>
                <w:sz w:val="20"/>
              </w:rPr>
              <w:t xml:space="preserve">Kaplan-Meier method </w:t>
            </w:r>
          </w:p>
        </w:tc>
      </w:tr>
      <w:tr w:rsidR="000B3C5C" w14:paraId="7BED852D" w14:textId="77777777">
        <w:trPr>
          <w:trHeight w:val="349"/>
        </w:trPr>
        <w:tc>
          <w:tcPr>
            <w:tcW w:w="3409" w:type="dxa"/>
            <w:tcBorders>
              <w:top w:val="nil"/>
              <w:left w:val="nil"/>
              <w:bottom w:val="nil"/>
              <w:right w:val="nil"/>
            </w:tcBorders>
          </w:tcPr>
          <w:p w14:paraId="5FA1A4AC" w14:textId="77777777" w:rsidR="000B3C5C" w:rsidRDefault="00ED192D">
            <w:pPr>
              <w:spacing w:after="0" w:line="259" w:lineRule="auto"/>
              <w:ind w:left="571" w:firstLine="0"/>
            </w:pPr>
            <w:r>
              <w:rPr>
                <w:rFonts w:ascii="Arial" w:eastAsia="Arial" w:hAnsi="Arial" w:cs="Arial"/>
                <w:sz w:val="20"/>
              </w:rPr>
              <w:t xml:space="preserve">RR for GBM and DCR </w:t>
            </w:r>
          </w:p>
        </w:tc>
        <w:tc>
          <w:tcPr>
            <w:tcW w:w="6277" w:type="dxa"/>
            <w:tcBorders>
              <w:top w:val="nil"/>
              <w:left w:val="nil"/>
              <w:bottom w:val="nil"/>
              <w:right w:val="nil"/>
            </w:tcBorders>
          </w:tcPr>
          <w:p w14:paraId="573734B2" w14:textId="77777777" w:rsidR="000B3C5C" w:rsidRDefault="00ED192D">
            <w:pPr>
              <w:spacing w:after="0" w:line="259" w:lineRule="auto"/>
              <w:ind w:left="0" w:right="536" w:firstLine="0"/>
              <w:jc w:val="center"/>
            </w:pPr>
            <w:r>
              <w:rPr>
                <w:rFonts w:ascii="Arial" w:eastAsia="Arial" w:hAnsi="Arial" w:cs="Arial"/>
                <w:sz w:val="20"/>
              </w:rPr>
              <w:t xml:space="preserve">Descriptive statistics </w:t>
            </w:r>
          </w:p>
        </w:tc>
      </w:tr>
      <w:tr w:rsidR="000B3C5C" w14:paraId="2777A04E" w14:textId="77777777">
        <w:trPr>
          <w:trHeight w:val="343"/>
        </w:trPr>
        <w:tc>
          <w:tcPr>
            <w:tcW w:w="3409" w:type="dxa"/>
            <w:tcBorders>
              <w:top w:val="nil"/>
              <w:left w:val="nil"/>
              <w:bottom w:val="single" w:sz="12" w:space="0" w:color="000000"/>
              <w:right w:val="nil"/>
            </w:tcBorders>
          </w:tcPr>
          <w:p w14:paraId="621AFA7E" w14:textId="77777777" w:rsidR="000B3C5C" w:rsidRDefault="00ED192D">
            <w:pPr>
              <w:spacing w:after="0" w:line="259" w:lineRule="auto"/>
              <w:ind w:left="922" w:firstLine="0"/>
            </w:pPr>
            <w:r>
              <w:rPr>
                <w:rFonts w:ascii="Arial" w:eastAsia="Arial" w:hAnsi="Arial" w:cs="Arial"/>
                <w:b/>
                <w:sz w:val="20"/>
              </w:rPr>
              <w:t xml:space="preserve">Exploratory </w:t>
            </w:r>
          </w:p>
        </w:tc>
        <w:tc>
          <w:tcPr>
            <w:tcW w:w="6277" w:type="dxa"/>
            <w:tcBorders>
              <w:top w:val="nil"/>
              <w:left w:val="nil"/>
              <w:bottom w:val="single" w:sz="12" w:space="0" w:color="000000"/>
              <w:right w:val="nil"/>
            </w:tcBorders>
          </w:tcPr>
          <w:p w14:paraId="4008AA3C" w14:textId="77777777" w:rsidR="000B3C5C" w:rsidRDefault="00ED192D">
            <w:pPr>
              <w:spacing w:after="0" w:line="259" w:lineRule="auto"/>
              <w:ind w:left="0" w:firstLine="0"/>
            </w:pPr>
            <w:r>
              <w:rPr>
                <w:rFonts w:ascii="Arial" w:eastAsia="Arial" w:hAnsi="Arial" w:cs="Arial"/>
                <w:sz w:val="20"/>
              </w:rPr>
              <w:t xml:space="preserve">Will be described in the statistical analysis plan finalized before database lock </w:t>
            </w:r>
          </w:p>
        </w:tc>
      </w:tr>
    </w:tbl>
    <w:p w14:paraId="334DA861" w14:textId="77777777" w:rsidR="000B3C5C" w:rsidRDefault="00ED192D">
      <w:pPr>
        <w:spacing w:after="411"/>
        <w:ind w:left="-5" w:right="2"/>
      </w:pPr>
      <w:r>
        <w:rPr>
          <w:rFonts w:ascii="Arial" w:eastAsia="Arial" w:hAnsi="Arial" w:cs="Arial"/>
          <w:sz w:val="18"/>
        </w:rPr>
        <w:t xml:space="preserve">Abbreviations: </w:t>
      </w:r>
      <w:r>
        <w:rPr>
          <w:rFonts w:ascii="Arial" w:eastAsia="Arial" w:hAnsi="Arial" w:cs="Arial"/>
          <w:sz w:val="18"/>
        </w:rPr>
        <w:t xml:space="preserve">DCR=Disease control rate; DOR=Duration of response; EOC=Epithelial ovarian cancer; GBM=Glioblastoma multiforme; HCC=Hepatocellular carcinoma; PFS=Progression free survival rate; PFS-6=Progression free survival rate at 6 months; RR=Response rate; SCCHN=Sqamous cell carcinoma of the head and neck. </w:t>
      </w:r>
    </w:p>
    <w:p w14:paraId="45415520" w14:textId="77777777" w:rsidR="000B3C5C" w:rsidRDefault="00ED192D">
      <w:pPr>
        <w:pStyle w:val="Heading5"/>
        <w:spacing w:after="249" w:line="249" w:lineRule="auto"/>
        <w:ind w:left="-5"/>
      </w:pPr>
      <w:r>
        <w:rPr>
          <w:i w:val="0"/>
        </w:rPr>
        <w:t xml:space="preserve">9.4.2 Safety analyses  </w:t>
      </w:r>
    </w:p>
    <w:p w14:paraId="766B75D4" w14:textId="77777777" w:rsidR="000B3C5C" w:rsidRDefault="00ED192D">
      <w:pPr>
        <w:spacing w:after="310"/>
        <w:ind w:left="-3" w:right="14"/>
      </w:pPr>
      <w:r>
        <w:t xml:space="preserve">All safety analyses will be performed on the all-treated population.  </w:t>
      </w:r>
    </w:p>
    <w:p w14:paraId="1394319E" w14:textId="77777777" w:rsidR="000B3C5C" w:rsidRDefault="00ED192D">
      <w:pPr>
        <w:spacing w:after="4" w:line="250" w:lineRule="auto"/>
        <w:ind w:left="15" w:right="71"/>
        <w:jc w:val="center"/>
      </w:pPr>
      <w:r>
        <w:rPr>
          <w:rFonts w:ascii="Arial" w:eastAsia="Arial" w:hAnsi="Arial" w:cs="Arial"/>
          <w:b/>
          <w:sz w:val="20"/>
        </w:rPr>
        <w:t xml:space="preserve">Table 9 - Safety analyses  </w:t>
      </w:r>
    </w:p>
    <w:tbl>
      <w:tblPr>
        <w:tblStyle w:val="TableGrid"/>
        <w:tblW w:w="9686" w:type="dxa"/>
        <w:tblInd w:w="-108" w:type="dxa"/>
        <w:tblCellMar>
          <w:top w:w="81" w:type="dxa"/>
          <w:left w:w="0" w:type="dxa"/>
          <w:bottom w:w="0" w:type="dxa"/>
          <w:right w:w="115" w:type="dxa"/>
        </w:tblCellMar>
        <w:tblLook w:val="04A0" w:firstRow="1" w:lastRow="0" w:firstColumn="1" w:lastColumn="0" w:noHBand="0" w:noVBand="1"/>
      </w:tblPr>
      <w:tblGrid>
        <w:gridCol w:w="4818"/>
        <w:gridCol w:w="4868"/>
      </w:tblGrid>
      <w:tr w:rsidR="000B3C5C" w14:paraId="48DACFF1" w14:textId="77777777">
        <w:trPr>
          <w:trHeight w:val="360"/>
        </w:trPr>
        <w:tc>
          <w:tcPr>
            <w:tcW w:w="4818" w:type="dxa"/>
            <w:tcBorders>
              <w:top w:val="single" w:sz="4" w:space="0" w:color="000000"/>
              <w:left w:val="nil"/>
              <w:bottom w:val="single" w:sz="4" w:space="0" w:color="000000"/>
              <w:right w:val="nil"/>
            </w:tcBorders>
          </w:tcPr>
          <w:p w14:paraId="37402795" w14:textId="77777777" w:rsidR="000B3C5C" w:rsidRDefault="00ED192D">
            <w:pPr>
              <w:spacing w:after="0" w:line="259" w:lineRule="auto"/>
              <w:ind w:left="0" w:right="194" w:firstLine="0"/>
              <w:jc w:val="center"/>
            </w:pPr>
            <w:r>
              <w:rPr>
                <w:rFonts w:ascii="Arial" w:eastAsia="Arial" w:hAnsi="Arial" w:cs="Arial"/>
                <w:b/>
                <w:sz w:val="20"/>
              </w:rPr>
              <w:t xml:space="preserve">Endpoint </w:t>
            </w:r>
          </w:p>
        </w:tc>
        <w:tc>
          <w:tcPr>
            <w:tcW w:w="4868" w:type="dxa"/>
            <w:tcBorders>
              <w:top w:val="single" w:sz="4" w:space="0" w:color="000000"/>
              <w:left w:val="nil"/>
              <w:bottom w:val="single" w:sz="4" w:space="0" w:color="000000"/>
              <w:right w:val="nil"/>
            </w:tcBorders>
            <w:vAlign w:val="bottom"/>
          </w:tcPr>
          <w:p w14:paraId="333B46E9" w14:textId="77777777" w:rsidR="000B3C5C" w:rsidRDefault="00ED192D">
            <w:pPr>
              <w:spacing w:after="0" w:line="259" w:lineRule="auto"/>
              <w:ind w:left="934" w:firstLine="0"/>
            </w:pPr>
            <w:r>
              <w:rPr>
                <w:rFonts w:ascii="Arial" w:eastAsia="Arial" w:hAnsi="Arial" w:cs="Arial"/>
                <w:b/>
                <w:sz w:val="20"/>
              </w:rPr>
              <w:t xml:space="preserve">Statistical Analysis Methods </w:t>
            </w:r>
          </w:p>
          <w:p w14:paraId="041C32F0" w14:textId="77777777" w:rsidR="000B3C5C" w:rsidRDefault="00ED192D">
            <w:pPr>
              <w:spacing w:after="0" w:line="259" w:lineRule="auto"/>
              <w:ind w:left="0" w:right="132" w:firstLine="0"/>
              <w:jc w:val="center"/>
            </w:pPr>
            <w:r>
              <w:rPr>
                <w:rFonts w:ascii="Arial" w:eastAsia="Arial" w:hAnsi="Arial" w:cs="Arial"/>
                <w:b/>
                <w:sz w:val="20"/>
              </w:rPr>
              <w:t xml:space="preserve"> </w:t>
            </w:r>
          </w:p>
        </w:tc>
      </w:tr>
      <w:tr w:rsidR="000B3C5C" w14:paraId="68841726" w14:textId="77777777">
        <w:trPr>
          <w:trHeight w:val="957"/>
        </w:trPr>
        <w:tc>
          <w:tcPr>
            <w:tcW w:w="4818" w:type="dxa"/>
            <w:tcBorders>
              <w:top w:val="single" w:sz="4" w:space="0" w:color="000000"/>
              <w:left w:val="nil"/>
              <w:bottom w:val="nil"/>
              <w:right w:val="nil"/>
            </w:tcBorders>
          </w:tcPr>
          <w:p w14:paraId="0D683795" w14:textId="77777777" w:rsidR="000B3C5C" w:rsidRDefault="00ED192D">
            <w:pPr>
              <w:spacing w:after="101" w:line="259" w:lineRule="auto"/>
              <w:ind w:left="0" w:right="189" w:firstLine="0"/>
              <w:jc w:val="center"/>
            </w:pPr>
            <w:r>
              <w:rPr>
                <w:rFonts w:ascii="Arial" w:eastAsia="Arial" w:hAnsi="Arial" w:cs="Arial"/>
                <w:b/>
                <w:sz w:val="20"/>
              </w:rPr>
              <w:t xml:space="preserve">Primary </w:t>
            </w:r>
          </w:p>
          <w:p w14:paraId="7228F93C" w14:textId="77777777" w:rsidR="000B3C5C" w:rsidRDefault="00ED192D">
            <w:pPr>
              <w:spacing w:after="0" w:line="259" w:lineRule="auto"/>
              <w:ind w:left="1954" w:hanging="1731"/>
            </w:pPr>
            <w:r>
              <w:rPr>
                <w:rFonts w:ascii="Arial" w:eastAsia="Arial" w:hAnsi="Arial" w:cs="Arial"/>
                <w:sz w:val="20"/>
              </w:rPr>
              <w:t xml:space="preserve">DLTs, AEs/Serious AEs, and laboratory abnormalities in Phase 1 </w:t>
            </w:r>
          </w:p>
        </w:tc>
        <w:tc>
          <w:tcPr>
            <w:tcW w:w="4868" w:type="dxa"/>
            <w:tcBorders>
              <w:top w:val="single" w:sz="4" w:space="0" w:color="000000"/>
              <w:left w:val="nil"/>
              <w:bottom w:val="nil"/>
              <w:right w:val="nil"/>
            </w:tcBorders>
            <w:vAlign w:val="bottom"/>
          </w:tcPr>
          <w:p w14:paraId="28EE7626" w14:textId="77777777" w:rsidR="000B3C5C" w:rsidRDefault="00ED192D">
            <w:pPr>
              <w:spacing w:after="87" w:line="259" w:lineRule="auto"/>
              <w:ind w:left="0" w:right="187" w:firstLine="0"/>
              <w:jc w:val="center"/>
            </w:pPr>
            <w:r>
              <w:rPr>
                <w:rFonts w:ascii="Arial" w:eastAsia="Arial" w:hAnsi="Arial" w:cs="Arial"/>
                <w:sz w:val="20"/>
              </w:rPr>
              <w:t xml:space="preserve">Descriptive statistics </w:t>
            </w:r>
          </w:p>
          <w:p w14:paraId="5F375350" w14:textId="77777777" w:rsidR="000B3C5C" w:rsidRDefault="00ED192D">
            <w:pPr>
              <w:spacing w:after="0" w:line="259" w:lineRule="auto"/>
              <w:ind w:left="0" w:right="142" w:firstLine="0"/>
              <w:jc w:val="center"/>
            </w:pPr>
            <w:r>
              <w:rPr>
                <w:rFonts w:ascii="Arial" w:eastAsia="Arial" w:hAnsi="Arial" w:cs="Arial"/>
                <w:sz w:val="20"/>
              </w:rPr>
              <w:t xml:space="preserve"> </w:t>
            </w:r>
          </w:p>
        </w:tc>
      </w:tr>
      <w:tr w:rsidR="000B3C5C" w14:paraId="215A0CB7" w14:textId="77777777">
        <w:trPr>
          <w:trHeight w:val="698"/>
        </w:trPr>
        <w:tc>
          <w:tcPr>
            <w:tcW w:w="4818" w:type="dxa"/>
            <w:tcBorders>
              <w:top w:val="nil"/>
              <w:left w:val="nil"/>
              <w:bottom w:val="nil"/>
              <w:right w:val="nil"/>
            </w:tcBorders>
          </w:tcPr>
          <w:p w14:paraId="2E790D02" w14:textId="77777777" w:rsidR="000B3C5C" w:rsidRDefault="00ED192D">
            <w:pPr>
              <w:spacing w:after="101" w:line="259" w:lineRule="auto"/>
              <w:ind w:left="0" w:right="190" w:firstLine="0"/>
              <w:jc w:val="center"/>
            </w:pPr>
            <w:r>
              <w:rPr>
                <w:rFonts w:ascii="Arial" w:eastAsia="Arial" w:hAnsi="Arial" w:cs="Arial"/>
                <w:b/>
                <w:sz w:val="20"/>
              </w:rPr>
              <w:t xml:space="preserve">Secondary </w:t>
            </w:r>
          </w:p>
          <w:p w14:paraId="74F4D765" w14:textId="77777777" w:rsidR="000B3C5C" w:rsidRDefault="00ED192D">
            <w:pPr>
              <w:spacing w:after="0" w:line="259" w:lineRule="auto"/>
              <w:ind w:left="408" w:firstLine="0"/>
            </w:pPr>
            <w:r>
              <w:rPr>
                <w:rFonts w:ascii="Arial" w:eastAsia="Arial" w:hAnsi="Arial" w:cs="Arial"/>
                <w:sz w:val="20"/>
              </w:rPr>
              <w:t xml:space="preserve">AEs/SAEs and laboratory abnormalities in Phase 2 </w:t>
            </w:r>
          </w:p>
        </w:tc>
        <w:tc>
          <w:tcPr>
            <w:tcW w:w="4868" w:type="dxa"/>
            <w:tcBorders>
              <w:top w:val="nil"/>
              <w:left w:val="nil"/>
              <w:bottom w:val="nil"/>
              <w:right w:val="nil"/>
            </w:tcBorders>
            <w:vAlign w:val="bottom"/>
          </w:tcPr>
          <w:p w14:paraId="6FF83D71" w14:textId="77777777" w:rsidR="000B3C5C" w:rsidRDefault="00ED192D">
            <w:pPr>
              <w:spacing w:after="0" w:line="259" w:lineRule="auto"/>
              <w:ind w:left="0" w:right="187" w:firstLine="0"/>
              <w:jc w:val="center"/>
            </w:pPr>
            <w:r>
              <w:rPr>
                <w:rFonts w:ascii="Arial" w:eastAsia="Arial" w:hAnsi="Arial" w:cs="Arial"/>
                <w:sz w:val="20"/>
              </w:rPr>
              <w:t xml:space="preserve">Descriptive statistics </w:t>
            </w:r>
          </w:p>
        </w:tc>
      </w:tr>
      <w:tr w:rsidR="000B3C5C" w14:paraId="5BD3A788" w14:textId="77777777">
        <w:trPr>
          <w:trHeight w:val="349"/>
        </w:trPr>
        <w:tc>
          <w:tcPr>
            <w:tcW w:w="4818" w:type="dxa"/>
            <w:tcBorders>
              <w:top w:val="nil"/>
              <w:left w:val="nil"/>
              <w:bottom w:val="nil"/>
              <w:right w:val="nil"/>
            </w:tcBorders>
          </w:tcPr>
          <w:p w14:paraId="16A69B47" w14:textId="77777777" w:rsidR="000B3C5C" w:rsidRDefault="00ED192D">
            <w:pPr>
              <w:spacing w:after="0" w:line="259" w:lineRule="auto"/>
              <w:ind w:left="432" w:firstLine="0"/>
            </w:pPr>
            <w:r>
              <w:rPr>
                <w:rFonts w:ascii="Arial" w:eastAsia="Arial" w:hAnsi="Arial" w:cs="Arial"/>
                <w:sz w:val="20"/>
              </w:rPr>
              <w:t xml:space="preserve">ADA against isatuximab and against atezolizumab </w:t>
            </w:r>
          </w:p>
        </w:tc>
        <w:tc>
          <w:tcPr>
            <w:tcW w:w="4868" w:type="dxa"/>
            <w:tcBorders>
              <w:top w:val="nil"/>
              <w:left w:val="nil"/>
              <w:bottom w:val="nil"/>
              <w:right w:val="nil"/>
            </w:tcBorders>
          </w:tcPr>
          <w:p w14:paraId="109FC19F" w14:textId="77777777" w:rsidR="000B3C5C" w:rsidRDefault="00ED192D">
            <w:pPr>
              <w:spacing w:after="0" w:line="259" w:lineRule="auto"/>
              <w:ind w:left="0" w:right="189" w:firstLine="0"/>
              <w:jc w:val="center"/>
            </w:pPr>
            <w:r>
              <w:rPr>
                <w:rFonts w:ascii="Arial" w:eastAsia="Arial" w:hAnsi="Arial" w:cs="Arial"/>
                <w:sz w:val="20"/>
              </w:rPr>
              <w:t xml:space="preserve">Descriptive analysis </w:t>
            </w:r>
          </w:p>
        </w:tc>
      </w:tr>
      <w:tr w:rsidR="000B3C5C" w14:paraId="40F6F3BC" w14:textId="77777777">
        <w:trPr>
          <w:trHeight w:val="574"/>
        </w:trPr>
        <w:tc>
          <w:tcPr>
            <w:tcW w:w="4818" w:type="dxa"/>
            <w:tcBorders>
              <w:top w:val="nil"/>
              <w:left w:val="nil"/>
              <w:bottom w:val="single" w:sz="12" w:space="0" w:color="000000"/>
              <w:right w:val="nil"/>
            </w:tcBorders>
          </w:tcPr>
          <w:p w14:paraId="61CF0424" w14:textId="77777777" w:rsidR="000B3C5C" w:rsidRDefault="00ED192D">
            <w:pPr>
              <w:spacing w:after="0" w:line="259" w:lineRule="auto"/>
              <w:ind w:left="0" w:right="192" w:firstLine="0"/>
              <w:jc w:val="center"/>
            </w:pPr>
            <w:r>
              <w:rPr>
                <w:rFonts w:ascii="Arial" w:eastAsia="Arial" w:hAnsi="Arial" w:cs="Arial"/>
                <w:b/>
                <w:sz w:val="20"/>
              </w:rPr>
              <w:t xml:space="preserve">Exploratory </w:t>
            </w:r>
          </w:p>
          <w:p w14:paraId="5DDEBCF5" w14:textId="77777777" w:rsidR="000B3C5C" w:rsidRDefault="00ED192D">
            <w:pPr>
              <w:spacing w:after="0" w:line="259" w:lineRule="auto"/>
              <w:ind w:left="0" w:right="144" w:firstLine="0"/>
              <w:jc w:val="center"/>
            </w:pPr>
            <w:r>
              <w:rPr>
                <w:rFonts w:ascii="Arial" w:eastAsia="Arial" w:hAnsi="Arial" w:cs="Arial"/>
                <w:b/>
                <w:sz w:val="20"/>
              </w:rPr>
              <w:t xml:space="preserve"> </w:t>
            </w:r>
          </w:p>
        </w:tc>
        <w:tc>
          <w:tcPr>
            <w:tcW w:w="4868" w:type="dxa"/>
            <w:tcBorders>
              <w:top w:val="nil"/>
              <w:left w:val="nil"/>
              <w:bottom w:val="single" w:sz="12" w:space="0" w:color="000000"/>
              <w:right w:val="nil"/>
            </w:tcBorders>
          </w:tcPr>
          <w:p w14:paraId="4503E1B7" w14:textId="77777777" w:rsidR="000B3C5C" w:rsidRDefault="00ED192D">
            <w:pPr>
              <w:spacing w:after="0" w:line="259" w:lineRule="auto"/>
              <w:ind w:left="1777" w:hanging="1777"/>
            </w:pPr>
            <w:r>
              <w:rPr>
                <w:rFonts w:ascii="Arial" w:eastAsia="Arial" w:hAnsi="Arial" w:cs="Arial"/>
                <w:sz w:val="20"/>
              </w:rPr>
              <w:t xml:space="preserve">Will be described in the statistical analysis plan finalized before database lock </w:t>
            </w:r>
          </w:p>
        </w:tc>
      </w:tr>
    </w:tbl>
    <w:p w14:paraId="5CF14D5C" w14:textId="77777777" w:rsidR="000B3C5C" w:rsidRDefault="00ED192D">
      <w:pPr>
        <w:spacing w:after="12"/>
        <w:ind w:left="-5" w:right="2"/>
      </w:pPr>
      <w:r>
        <w:rPr>
          <w:rFonts w:ascii="Arial" w:eastAsia="Arial" w:hAnsi="Arial" w:cs="Arial"/>
          <w:sz w:val="18"/>
        </w:rPr>
        <w:t xml:space="preserve">Abbreviations: AE=Adverse event; ADA=Anti-drug antibody; </w:t>
      </w:r>
      <w:r>
        <w:rPr>
          <w:rFonts w:ascii="Arial" w:eastAsia="Arial" w:hAnsi="Arial" w:cs="Arial"/>
          <w:sz w:val="18"/>
        </w:rPr>
        <w:t>DLT=Dose limiting toxicity; SAE=Serious adverse event.</w:t>
      </w:r>
      <w:r>
        <w:rPr>
          <w:rFonts w:ascii="Arial" w:eastAsia="Arial" w:hAnsi="Arial" w:cs="Arial"/>
          <w:b/>
          <w:sz w:val="18"/>
        </w:rPr>
        <w:t xml:space="preserve"> </w:t>
      </w:r>
    </w:p>
    <w:p w14:paraId="3031A900" w14:textId="77777777" w:rsidR="000B3C5C" w:rsidRDefault="00ED192D">
      <w:pPr>
        <w:spacing w:after="236" w:line="259" w:lineRule="auto"/>
        <w:ind w:left="-5"/>
      </w:pPr>
      <w:r>
        <w:rPr>
          <w:rFonts w:ascii="Arial" w:eastAsia="Arial" w:hAnsi="Arial" w:cs="Arial"/>
          <w:b/>
          <w:i/>
          <w:sz w:val="22"/>
        </w:rPr>
        <w:t xml:space="preserve">9.4.2.1 Dose limiting toxicities  </w:t>
      </w:r>
    </w:p>
    <w:p w14:paraId="7C2D3206" w14:textId="77777777" w:rsidR="000B3C5C" w:rsidRDefault="00ED192D">
      <w:pPr>
        <w:spacing w:after="330"/>
        <w:ind w:left="-3" w:right="14"/>
      </w:pPr>
      <w:r>
        <w:t xml:space="preserve">In Phase 1, the DLTs will be listed by participant using the DLT evaluable population. </w:t>
      </w:r>
    </w:p>
    <w:p w14:paraId="6CE505E4" w14:textId="77777777" w:rsidR="000B3C5C" w:rsidRDefault="00ED192D">
      <w:pPr>
        <w:pStyle w:val="Heading6"/>
        <w:ind w:left="-5"/>
      </w:pPr>
      <w:r>
        <w:t xml:space="preserve">9.4.2.2 Analyses of adverse events  </w:t>
      </w:r>
    </w:p>
    <w:p w14:paraId="291FE375" w14:textId="77777777" w:rsidR="000B3C5C" w:rsidRDefault="00ED192D">
      <w:pPr>
        <w:spacing w:after="132"/>
        <w:ind w:left="-3" w:right="14"/>
      </w:pPr>
      <w:r>
        <w:t xml:space="preserve">The observation period will be divided into 3 segments: screening, TEAE and post-treatment: </w:t>
      </w:r>
    </w:p>
    <w:p w14:paraId="4765BB12" w14:textId="77777777" w:rsidR="000B3C5C" w:rsidRDefault="00ED192D">
      <w:pPr>
        <w:numPr>
          <w:ilvl w:val="0"/>
          <w:numId w:val="48"/>
        </w:numPr>
        <w:spacing w:after="135"/>
        <w:ind w:right="14" w:hanging="358"/>
      </w:pPr>
      <w:r>
        <w:t xml:space="preserve">The screening period is defined as the time informed consent is signed until the first dose of study treatment administration. </w:t>
      </w:r>
    </w:p>
    <w:p w14:paraId="24C68AE4" w14:textId="77777777" w:rsidR="000B3C5C" w:rsidRDefault="00ED192D">
      <w:pPr>
        <w:numPr>
          <w:ilvl w:val="0"/>
          <w:numId w:val="48"/>
        </w:numPr>
        <w:spacing w:after="135"/>
        <w:ind w:right="14" w:hanging="358"/>
      </w:pPr>
      <w:r>
        <w:t xml:space="preserve">The TEAE period is defined as the time from the first dose of study treatments up to 30 days after last dose of study treatments.   </w:t>
      </w:r>
    </w:p>
    <w:p w14:paraId="6FCB0F23" w14:textId="77777777" w:rsidR="000B3C5C" w:rsidRDefault="00ED192D">
      <w:pPr>
        <w:numPr>
          <w:ilvl w:val="0"/>
          <w:numId w:val="48"/>
        </w:numPr>
        <w:ind w:right="14" w:hanging="358"/>
      </w:pPr>
      <w:r>
        <w:t xml:space="preserve">The post-treatment period is defined as the time starting 31 days after the last dose of study treatments to study closure or death, whichever occurs first. </w:t>
      </w:r>
    </w:p>
    <w:p w14:paraId="5C10A866" w14:textId="77777777" w:rsidR="000B3C5C" w:rsidRDefault="00ED192D">
      <w:pPr>
        <w:ind w:left="-3" w:right="14"/>
      </w:pPr>
      <w:r>
        <w:t xml:space="preserve">Pre-treatment AEs are defined as any AE during the screening period. Treatment-emergent AEs are defined as AEs that develop, worsen (according to the Investigator’s opinion) or become serious during the TEAE period. Post-treatment AEs are defined as AEs that are reported during the post-treatment period. The primary focus of AE reporting will be on TEAEs. Pre-treatment and post-treatment AEs will be described separately. </w:t>
      </w:r>
    </w:p>
    <w:p w14:paraId="06194679" w14:textId="77777777" w:rsidR="000B3C5C" w:rsidRDefault="00ED192D">
      <w:pPr>
        <w:spacing w:after="11"/>
        <w:ind w:left="-3" w:right="14"/>
      </w:pPr>
      <w:r>
        <w:t xml:space="preserve">The TEAEs will be coded according to MedDRA. AEs will be graded according to the </w:t>
      </w:r>
    </w:p>
    <w:p w14:paraId="12B13546" w14:textId="77777777" w:rsidR="000B3C5C" w:rsidRDefault="00ED192D">
      <w:pPr>
        <w:ind w:left="-3" w:right="14"/>
      </w:pPr>
      <w:r>
        <w:t xml:space="preserve">NCI-CTCAE version 4.03. The grade will be taken into account in the summary. For participants with multiple occurrences of the same PT, the maximum grade will be used. </w:t>
      </w:r>
    </w:p>
    <w:p w14:paraId="33558371" w14:textId="77777777" w:rsidR="000B3C5C" w:rsidRDefault="00ED192D">
      <w:pPr>
        <w:spacing w:after="74"/>
        <w:ind w:left="-3" w:right="14"/>
      </w:pPr>
      <w:r>
        <w:t xml:space="preserve">An overall summary of TEAEs will be provided. The number and percentage of participants who experience any of the following will be provided: </w:t>
      </w:r>
    </w:p>
    <w:p w14:paraId="72A044B0" w14:textId="77777777" w:rsidR="000B3C5C" w:rsidRDefault="00ED192D">
      <w:pPr>
        <w:numPr>
          <w:ilvl w:val="0"/>
          <w:numId w:val="48"/>
        </w:numPr>
        <w:spacing w:after="28"/>
        <w:ind w:right="14" w:hanging="358"/>
      </w:pPr>
      <w:r>
        <w:t xml:space="preserve">TEAEs. </w:t>
      </w:r>
    </w:p>
    <w:p w14:paraId="09780E73" w14:textId="77777777" w:rsidR="000B3C5C" w:rsidRDefault="00ED192D">
      <w:pPr>
        <w:numPr>
          <w:ilvl w:val="0"/>
          <w:numId w:val="48"/>
        </w:numPr>
        <w:spacing w:after="28"/>
        <w:ind w:right="14" w:hanging="358"/>
      </w:pPr>
      <w:r>
        <w:t xml:space="preserve">TEAEs of ≥Grade 3. </w:t>
      </w:r>
    </w:p>
    <w:p w14:paraId="5DCF04A7" w14:textId="77777777" w:rsidR="000B3C5C" w:rsidRDefault="00ED192D">
      <w:pPr>
        <w:numPr>
          <w:ilvl w:val="0"/>
          <w:numId w:val="48"/>
        </w:numPr>
        <w:spacing w:after="30"/>
        <w:ind w:right="14" w:hanging="358"/>
      </w:pPr>
      <w:r>
        <w:t xml:space="preserve">TEAEs Grade 3 or 4. </w:t>
      </w:r>
    </w:p>
    <w:p w14:paraId="69F26151" w14:textId="77777777" w:rsidR="000B3C5C" w:rsidRDefault="00ED192D">
      <w:pPr>
        <w:numPr>
          <w:ilvl w:val="0"/>
          <w:numId w:val="48"/>
        </w:numPr>
        <w:spacing w:after="28"/>
        <w:ind w:right="14" w:hanging="358"/>
      </w:pPr>
      <w:r>
        <w:t xml:space="preserve">Grade 5 TEAE (any TEAE with a fatal outcome during the treatment period). </w:t>
      </w:r>
    </w:p>
    <w:p w14:paraId="128C5AC9" w14:textId="77777777" w:rsidR="000B3C5C" w:rsidRDefault="00ED192D">
      <w:pPr>
        <w:numPr>
          <w:ilvl w:val="0"/>
          <w:numId w:val="48"/>
        </w:numPr>
        <w:spacing w:after="28"/>
        <w:ind w:right="14" w:hanging="358"/>
      </w:pPr>
      <w:r>
        <w:t xml:space="preserve">Serious TEAEs. </w:t>
      </w:r>
    </w:p>
    <w:p w14:paraId="2D839C40" w14:textId="77777777" w:rsidR="000B3C5C" w:rsidRDefault="00ED192D">
      <w:pPr>
        <w:numPr>
          <w:ilvl w:val="0"/>
          <w:numId w:val="48"/>
        </w:numPr>
        <w:spacing w:after="28"/>
        <w:ind w:right="14" w:hanging="358"/>
      </w:pPr>
      <w:r>
        <w:t xml:space="preserve">Serious treatment-related TEAEs. </w:t>
      </w:r>
    </w:p>
    <w:p w14:paraId="2D0E04D0" w14:textId="77777777" w:rsidR="000B3C5C" w:rsidRDefault="00ED192D">
      <w:pPr>
        <w:numPr>
          <w:ilvl w:val="0"/>
          <w:numId w:val="48"/>
        </w:numPr>
        <w:spacing w:after="75"/>
        <w:ind w:right="14" w:hanging="358"/>
      </w:pPr>
      <w:r>
        <w:t xml:space="preserve">TEAE leading to permanent (full study treatment) discontinuation/premature (partial study treatment) discontinuation. </w:t>
      </w:r>
    </w:p>
    <w:p w14:paraId="0DDB76EF" w14:textId="77777777" w:rsidR="000B3C5C" w:rsidRDefault="00ED192D">
      <w:pPr>
        <w:numPr>
          <w:ilvl w:val="0"/>
          <w:numId w:val="48"/>
        </w:numPr>
        <w:spacing w:after="28"/>
        <w:ind w:right="14" w:hanging="358"/>
      </w:pPr>
      <w:r>
        <w:t xml:space="preserve">AESIs, and IARs in particular. </w:t>
      </w:r>
    </w:p>
    <w:p w14:paraId="376E5A5C" w14:textId="77777777" w:rsidR="000B3C5C" w:rsidRDefault="00ED192D">
      <w:pPr>
        <w:numPr>
          <w:ilvl w:val="0"/>
          <w:numId w:val="48"/>
        </w:numPr>
        <w:spacing w:after="65"/>
        <w:ind w:right="14" w:hanging="358"/>
      </w:pPr>
      <w:r>
        <w:t xml:space="preserve">Treatment-related TEAEs. </w:t>
      </w:r>
    </w:p>
    <w:p w14:paraId="1F8D435B" w14:textId="77777777" w:rsidR="000B3C5C" w:rsidRDefault="00ED192D">
      <w:pPr>
        <w:spacing w:after="106"/>
        <w:ind w:left="-3" w:right="14"/>
      </w:pPr>
      <w:r>
        <w:t xml:space="preserve">Treatment-related TEAEs of ≥Grade 3. </w:t>
      </w:r>
    </w:p>
    <w:p w14:paraId="095DBBED" w14:textId="77777777" w:rsidR="000B3C5C" w:rsidRDefault="00ED192D">
      <w:pPr>
        <w:ind w:left="-3" w:right="14"/>
      </w:pPr>
      <w:r>
        <w:t xml:space="preserve">The number and percentage of participants experiencing TEAEs by primary system organ class (SOC) and PT will be summarized by NCI-CTCAE grade (all grades and ≥Grade 3). Similar tables will be prepared for treatment-related TEAEs, AESIs, TEAEs leading to permanent or premature discontinuation, TEAEs leading to dose modification, serious TEAEs, TEAEs with fatal outcome and AEs/SAEs occurring during the post-treatment dosing period. </w:t>
      </w:r>
    </w:p>
    <w:p w14:paraId="6BFF199C" w14:textId="77777777" w:rsidR="000B3C5C" w:rsidRDefault="00ED192D">
      <w:pPr>
        <w:spacing w:after="273"/>
        <w:ind w:left="-3" w:right="14"/>
      </w:pPr>
      <w:r>
        <w:t xml:space="preserve">Sorting within tables should ensure the same presentation for the set of all AEs within the observation period (screening, on-treatment, and post-treatment). For that purpose, the table of all TEAEs will be presented by SOC and PT sorted by internationally agreed order unless otherwise specified. </w:t>
      </w:r>
    </w:p>
    <w:p w14:paraId="34865D73" w14:textId="77777777" w:rsidR="000B3C5C" w:rsidRDefault="00ED192D">
      <w:pPr>
        <w:pStyle w:val="Heading6"/>
        <w:spacing w:after="194"/>
        <w:ind w:left="-5"/>
      </w:pPr>
      <w:r>
        <w:rPr>
          <w:b w:val="0"/>
          <w:i w:val="0"/>
        </w:rPr>
        <w:t xml:space="preserve">9.4.2.3 </w:t>
      </w:r>
      <w:r>
        <w:t xml:space="preserve">Clinical laboratory evaluations </w:t>
      </w:r>
      <w:r>
        <w:rPr>
          <w:b w:val="0"/>
          <w:i w:val="0"/>
        </w:rPr>
        <w:t xml:space="preserve"> </w:t>
      </w:r>
    </w:p>
    <w:p w14:paraId="21BBCE49" w14:textId="77777777" w:rsidR="000B3C5C" w:rsidRDefault="00ED192D">
      <w:pPr>
        <w:spacing w:after="189"/>
        <w:ind w:left="-3" w:right="411"/>
      </w:pPr>
      <w:r>
        <w:t xml:space="preserve">All the laboratory abnormalities will be graded according to NCI-CTCAE version 4.03, when applicable.  Number (%) of participants with laboratory abnormalities (ie, all grades and Grade ≥3) using the worst grade during the TEAE period will be provided for the all-treated population. </w:t>
      </w:r>
    </w:p>
    <w:p w14:paraId="3CE58144" w14:textId="77777777" w:rsidR="000B3C5C" w:rsidRDefault="00ED192D">
      <w:pPr>
        <w:spacing w:after="333"/>
        <w:ind w:left="-3" w:right="14"/>
      </w:pPr>
      <w:r>
        <w:t xml:space="preserve">When the NCI-CTCAE version 4.03 scale is not applicable, the number of participants with laboratory abnormality out-of-normal laboratory range value will be displayed. </w:t>
      </w:r>
    </w:p>
    <w:p w14:paraId="4B9CD0C3" w14:textId="77777777" w:rsidR="000B3C5C" w:rsidRDefault="00ED192D">
      <w:pPr>
        <w:pStyle w:val="Heading6"/>
        <w:spacing w:after="194"/>
        <w:ind w:left="-5"/>
      </w:pPr>
      <w:r>
        <w:rPr>
          <w:b w:val="0"/>
          <w:i w:val="0"/>
        </w:rPr>
        <w:t xml:space="preserve">9.4.2.4 </w:t>
      </w:r>
      <w:r>
        <w:t xml:space="preserve">Immunogenicity </w:t>
      </w:r>
      <w:r>
        <w:rPr>
          <w:b w:val="0"/>
          <w:i w:val="0"/>
        </w:rPr>
        <w:t xml:space="preserve"> </w:t>
      </w:r>
    </w:p>
    <w:p w14:paraId="5A01B87B" w14:textId="77777777" w:rsidR="000B3C5C" w:rsidRDefault="00ED192D">
      <w:pPr>
        <w:spacing w:after="333"/>
        <w:ind w:left="-3" w:right="14"/>
      </w:pPr>
      <w:r>
        <w:t xml:space="preserve">The findings from the analyses of immunogenicity for isatuximab and atezolizumab will be summarized. </w:t>
      </w:r>
    </w:p>
    <w:p w14:paraId="0F0F3941" w14:textId="77777777" w:rsidR="000B3C5C" w:rsidRDefault="00ED192D">
      <w:pPr>
        <w:pStyle w:val="Heading5"/>
        <w:spacing w:after="203" w:line="249" w:lineRule="auto"/>
        <w:ind w:left="-5"/>
      </w:pPr>
      <w:r>
        <w:rPr>
          <w:i w:val="0"/>
        </w:rPr>
        <w:t xml:space="preserve">9.4.3 Other analyses  </w:t>
      </w:r>
    </w:p>
    <w:p w14:paraId="56141BAC" w14:textId="77777777" w:rsidR="000B3C5C" w:rsidRDefault="00ED192D">
      <w:pPr>
        <w:spacing w:after="333"/>
        <w:ind w:left="-3" w:right="14"/>
      </w:pPr>
      <w:r>
        <w:t xml:space="preserve">Pharmacokinetics, pharmacodynamic, and biomarker exploratory analyses will be described in the statistical analysis plan finalized before database lock. The population PK analysis and pharmacodynamic analyses will be presented separately from the CSR.  </w:t>
      </w:r>
    </w:p>
    <w:p w14:paraId="5C768401" w14:textId="77777777" w:rsidR="000B3C5C" w:rsidRDefault="00ED192D">
      <w:pPr>
        <w:pStyle w:val="Heading6"/>
        <w:spacing w:after="196"/>
        <w:ind w:left="-5"/>
      </w:pPr>
      <w:r>
        <w:rPr>
          <w:b w:val="0"/>
          <w:i w:val="0"/>
        </w:rPr>
        <w:t xml:space="preserve">9.4.3.1 </w:t>
      </w:r>
      <w:r>
        <w:t xml:space="preserve">Analysis of PK endpoints </w:t>
      </w:r>
      <w:r>
        <w:rPr>
          <w:b w:val="0"/>
          <w:i w:val="0"/>
        </w:rPr>
        <w:t xml:space="preserve"> </w:t>
      </w:r>
    </w:p>
    <w:p w14:paraId="49B2F121" w14:textId="77777777" w:rsidR="000B3C5C" w:rsidRDefault="00ED192D">
      <w:pPr>
        <w:spacing w:after="333"/>
        <w:ind w:left="-3" w:right="14"/>
      </w:pPr>
      <w:r>
        <w:t xml:space="preserve">Individual concentrations and non-compartmental PK parameters of isatuximab </w:t>
      </w:r>
      <w:r>
        <w:t xml:space="preserve">will be summarized by descriptive statistics (such as mean, geometric mean, median, standard deviation, standard error of the mean, coefficient of variation, and minimum and maximum) under the responsibility of Sanofi, Pharmacokinetic, Dynamic, and Metabolism department.). Individual and mean profiles will be presented graphically. </w:t>
      </w:r>
    </w:p>
    <w:p w14:paraId="70D965DD" w14:textId="77777777" w:rsidR="000B3C5C" w:rsidRDefault="00ED192D">
      <w:pPr>
        <w:spacing w:after="194" w:line="259" w:lineRule="auto"/>
        <w:ind w:left="-5"/>
      </w:pPr>
      <w:r>
        <w:rPr>
          <w:rFonts w:ascii="Arial" w:eastAsia="Arial" w:hAnsi="Arial" w:cs="Arial"/>
          <w:sz w:val="22"/>
        </w:rPr>
        <w:t xml:space="preserve">9.4.3.2 </w:t>
      </w:r>
      <w:r>
        <w:rPr>
          <w:rFonts w:ascii="Arial" w:eastAsia="Arial" w:hAnsi="Arial" w:cs="Arial"/>
          <w:b/>
          <w:i/>
          <w:sz w:val="22"/>
        </w:rPr>
        <w:t xml:space="preserve">Analysis of pharmacodynamic endpoints </w:t>
      </w:r>
      <w:r>
        <w:rPr>
          <w:rFonts w:ascii="Arial" w:eastAsia="Arial" w:hAnsi="Arial" w:cs="Arial"/>
          <w:sz w:val="22"/>
        </w:rPr>
        <w:t xml:space="preserve"> </w:t>
      </w:r>
    </w:p>
    <w:p w14:paraId="5F25B82F" w14:textId="77777777" w:rsidR="000B3C5C" w:rsidRDefault="00ED192D">
      <w:pPr>
        <w:spacing w:after="393"/>
        <w:ind w:left="-3" w:right="14"/>
      </w:pPr>
      <w:r>
        <w:t xml:space="preserve">Findings from pharmacodynamics markers will be descriptively summarized and tabulated. </w:t>
      </w:r>
    </w:p>
    <w:p w14:paraId="4517C84D" w14:textId="77777777" w:rsidR="000B3C5C" w:rsidRDefault="00ED192D">
      <w:pPr>
        <w:pStyle w:val="Heading4"/>
        <w:tabs>
          <w:tab w:val="center" w:pos="1760"/>
        </w:tabs>
        <w:spacing w:after="210"/>
        <w:ind w:left="-15" w:firstLine="0"/>
      </w:pPr>
      <w:r>
        <w:t xml:space="preserve">9.5 </w:t>
      </w:r>
      <w:r>
        <w:tab/>
        <w:t xml:space="preserve">INTERIM ANALYSES  </w:t>
      </w:r>
    </w:p>
    <w:p w14:paraId="3C6C1B06" w14:textId="77777777" w:rsidR="000B3C5C" w:rsidRDefault="00ED192D">
      <w:pPr>
        <w:spacing w:after="11"/>
        <w:ind w:left="-3" w:right="14"/>
      </w:pPr>
      <w:r>
        <w:t xml:space="preserve">The Statistical Analysis Plan will describe the planned interim analyses in greater detail. </w:t>
      </w:r>
    </w:p>
    <w:p w14:paraId="1A5581FC" w14:textId="77777777" w:rsidR="000B3C5C" w:rsidRDefault="00ED192D">
      <w:pPr>
        <w:ind w:left="-3" w:right="105"/>
      </w:pPr>
      <w:r>
        <w:t xml:space="preserve">An interim analysis for each cohort will be performed for HCC, SCCHN, EOC, and GBM cohorts after the last participants remaining in the treatment period among the first 26, 26, 17 and 31 participants, respectively, in Phase 2 have completed approximately 6 months of study treatment or permanently discontinued both atezolizumab and isatuximab, whichever comes first. The interim analysis may be conducted earlier if the required number of responses for proceeding to Phase 2 Stage 2 is achieved for HCC, SCCHN, </w:t>
      </w:r>
      <w:r>
        <w:t xml:space="preserve">and EOC cohorts. </w:t>
      </w:r>
    </w:p>
    <w:p w14:paraId="5D685AFD" w14:textId="77777777" w:rsidR="000B3C5C" w:rsidRDefault="00ED192D">
      <w:pPr>
        <w:pStyle w:val="Heading1"/>
        <w:spacing w:after="410"/>
        <w:ind w:left="-3"/>
      </w:pPr>
      <w:r>
        <w:t xml:space="preserve">10 </w:t>
      </w:r>
      <w:r>
        <w:tab/>
        <w:t xml:space="preserve">SUPPORTING DOCUMENTATION AND OPERATIONAL CONSIDERATIONS  </w:t>
      </w:r>
    </w:p>
    <w:p w14:paraId="07778FD4" w14:textId="77777777" w:rsidR="000B3C5C" w:rsidRDefault="00ED192D">
      <w:pPr>
        <w:pStyle w:val="Heading2"/>
        <w:spacing w:after="349"/>
        <w:ind w:left="664" w:hanging="679"/>
      </w:pPr>
      <w:r>
        <w:rPr>
          <w:rFonts w:ascii="Arial" w:eastAsia="Arial" w:hAnsi="Arial" w:cs="Arial"/>
          <w:sz w:val="22"/>
        </w:rPr>
        <w:t xml:space="preserve">10.1 </w:t>
      </w:r>
      <w:r>
        <w:rPr>
          <w:rFonts w:ascii="Arial" w:eastAsia="Arial" w:hAnsi="Arial" w:cs="Arial"/>
          <w:sz w:val="22"/>
        </w:rPr>
        <w:tab/>
        <w:t xml:space="preserve">APPENDIX 1: REGULATORY, ETHICAL, AND STUDY OVERSIGHT CONSIDERATIONS  </w:t>
      </w:r>
    </w:p>
    <w:p w14:paraId="10D56B6B" w14:textId="77777777" w:rsidR="000B3C5C" w:rsidRDefault="00ED192D">
      <w:pPr>
        <w:pStyle w:val="Heading3"/>
        <w:spacing w:after="152"/>
        <w:ind w:left="-5"/>
      </w:pPr>
      <w:r>
        <w:t xml:space="preserve">10.1.1 Regulatory and Ethical Considerations  </w:t>
      </w:r>
    </w:p>
    <w:p w14:paraId="6686B293" w14:textId="77777777" w:rsidR="000B3C5C" w:rsidRDefault="00ED192D">
      <w:pPr>
        <w:numPr>
          <w:ilvl w:val="0"/>
          <w:numId w:val="49"/>
        </w:numPr>
        <w:spacing w:after="33"/>
        <w:ind w:right="14" w:hanging="358"/>
      </w:pPr>
      <w:r>
        <w:t xml:space="preserve">This study will be conducted in accordance with the protocol and with the following: </w:t>
      </w:r>
    </w:p>
    <w:p w14:paraId="587D8EE9" w14:textId="77777777" w:rsidR="000B3C5C" w:rsidRDefault="00ED192D">
      <w:pPr>
        <w:numPr>
          <w:ilvl w:val="1"/>
          <w:numId w:val="49"/>
        </w:numPr>
        <w:spacing w:after="11"/>
        <w:ind w:right="14" w:hanging="362"/>
      </w:pPr>
      <w:r>
        <w:t xml:space="preserve">Consensus ethical principles derived from international guidelines including the </w:t>
      </w:r>
    </w:p>
    <w:p w14:paraId="63E074DB" w14:textId="77777777" w:rsidR="000B3C5C" w:rsidRDefault="00ED192D">
      <w:pPr>
        <w:spacing w:after="79"/>
        <w:ind w:left="1092" w:right="14"/>
      </w:pPr>
      <w:r>
        <w:t xml:space="preserve">Declaration of Helsinki and Council for International Organizations of Medical Sciences (CIOMS) International Ethical Guidelines, </w:t>
      </w:r>
    </w:p>
    <w:p w14:paraId="34EFEB32" w14:textId="77777777" w:rsidR="000B3C5C" w:rsidRDefault="00ED192D">
      <w:pPr>
        <w:numPr>
          <w:ilvl w:val="1"/>
          <w:numId w:val="49"/>
        </w:numPr>
        <w:spacing w:after="78"/>
        <w:ind w:right="14" w:hanging="362"/>
      </w:pPr>
      <w:r>
        <w:t xml:space="preserve">Applicable International Council for Harmonisation (ICH) Good Clinical Practice (GCP) Guidelines, </w:t>
      </w:r>
    </w:p>
    <w:p w14:paraId="731EBDBE" w14:textId="77777777" w:rsidR="000B3C5C" w:rsidRDefault="00ED192D">
      <w:pPr>
        <w:numPr>
          <w:ilvl w:val="1"/>
          <w:numId w:val="49"/>
        </w:numPr>
        <w:spacing w:after="138"/>
        <w:ind w:right="14" w:hanging="362"/>
      </w:pPr>
      <w:r>
        <w:t xml:space="preserve">Applicable laws and regulations. </w:t>
      </w:r>
    </w:p>
    <w:p w14:paraId="7D622764" w14:textId="77777777" w:rsidR="000B3C5C" w:rsidRDefault="00ED192D">
      <w:pPr>
        <w:numPr>
          <w:ilvl w:val="0"/>
          <w:numId w:val="49"/>
        </w:numPr>
        <w:spacing w:after="135"/>
        <w:ind w:right="14" w:hanging="358"/>
      </w:pPr>
      <w:r>
        <w:t xml:space="preserve">The protocol, protocol amendments, ICF, Investigator’s Brochure, and other relevant documents (eg, advertisements) must be submitted to an IRB/IEC by the Investigator and reviewed and approved by the IRB/IEC before the study is initiated.  </w:t>
      </w:r>
    </w:p>
    <w:p w14:paraId="398E33D2" w14:textId="77777777" w:rsidR="000B3C5C" w:rsidRDefault="00ED192D">
      <w:pPr>
        <w:numPr>
          <w:ilvl w:val="0"/>
          <w:numId w:val="49"/>
        </w:numPr>
        <w:spacing w:after="135"/>
        <w:ind w:right="14" w:hanging="358"/>
      </w:pPr>
      <w:r>
        <w:t xml:space="preserve">Any amendments to the protocol will require IRB/IEC approval before implementation of changes made to the study design, except for changes necessary to eliminate an immediate hazard to study participants.  </w:t>
      </w:r>
    </w:p>
    <w:p w14:paraId="1F66C8F2" w14:textId="77777777" w:rsidR="000B3C5C" w:rsidRDefault="00ED192D">
      <w:pPr>
        <w:numPr>
          <w:ilvl w:val="0"/>
          <w:numId w:val="49"/>
        </w:numPr>
        <w:spacing w:after="32"/>
        <w:ind w:right="14" w:hanging="358"/>
      </w:pPr>
      <w:r>
        <w:t xml:space="preserve">The Investigator will be responsible for the following: </w:t>
      </w:r>
    </w:p>
    <w:p w14:paraId="4537B498" w14:textId="77777777" w:rsidR="000B3C5C" w:rsidRDefault="00ED192D">
      <w:pPr>
        <w:numPr>
          <w:ilvl w:val="1"/>
          <w:numId w:val="49"/>
        </w:numPr>
        <w:spacing w:after="79"/>
        <w:ind w:right="14" w:hanging="362"/>
      </w:pPr>
      <w:r>
        <w:t xml:space="preserve">Providing written summaries of the status of the study to the IRB/IEC annually or more frequently in accordance with the requirements, policies, and procedures established by the IRB/IEC, </w:t>
      </w:r>
    </w:p>
    <w:p w14:paraId="05180C68" w14:textId="77777777" w:rsidR="000B3C5C" w:rsidRDefault="00ED192D">
      <w:pPr>
        <w:numPr>
          <w:ilvl w:val="1"/>
          <w:numId w:val="49"/>
        </w:numPr>
        <w:spacing w:after="78"/>
        <w:ind w:right="14" w:hanging="362"/>
      </w:pPr>
      <w:r>
        <w:t xml:space="preserve">Notifying the IRB/IEC of SAEs or other significant safety findings as required by IRB/IEC procedures, </w:t>
      </w:r>
    </w:p>
    <w:p w14:paraId="06A09573" w14:textId="77777777" w:rsidR="000B3C5C" w:rsidRDefault="00ED192D">
      <w:pPr>
        <w:numPr>
          <w:ilvl w:val="1"/>
          <w:numId w:val="49"/>
        </w:numPr>
        <w:spacing w:after="333"/>
        <w:ind w:right="14" w:hanging="362"/>
      </w:pPr>
      <w:r>
        <w:t xml:space="preserve">Providing oversight of the conduct of the study at the site and adherence to requirements of 21 CFR, ICH guidelines, the IRB/IEC, European regulation 536/2014 for clinical studies (if applicable), and all other applicable local regulations. </w:t>
      </w:r>
    </w:p>
    <w:p w14:paraId="599221EF" w14:textId="77777777" w:rsidR="000B3C5C" w:rsidRDefault="00ED192D">
      <w:pPr>
        <w:pStyle w:val="Heading3"/>
        <w:spacing w:after="150"/>
        <w:ind w:left="-5"/>
      </w:pPr>
      <w:r>
        <w:t xml:space="preserve">10.1.2 Informed Consent Process  </w:t>
      </w:r>
    </w:p>
    <w:p w14:paraId="562CC0C3" w14:textId="77777777" w:rsidR="000B3C5C" w:rsidRDefault="00ED192D">
      <w:pPr>
        <w:numPr>
          <w:ilvl w:val="0"/>
          <w:numId w:val="50"/>
        </w:numPr>
        <w:spacing w:after="135"/>
        <w:ind w:right="14" w:hanging="358"/>
      </w:pPr>
      <w:r>
        <w:t xml:space="preserve">The Investigator or his/her representative will explain the nature of the study to the participant or his/her legally authorized representative and answer all questions regarding the study.  </w:t>
      </w:r>
    </w:p>
    <w:p w14:paraId="0DEBEB1C" w14:textId="77777777" w:rsidR="000B3C5C" w:rsidRDefault="00ED192D">
      <w:pPr>
        <w:numPr>
          <w:ilvl w:val="0"/>
          <w:numId w:val="50"/>
        </w:numPr>
        <w:ind w:right="14" w:hanging="358"/>
      </w:pPr>
      <w:r>
        <w:t>Participants must be informed that their participation is voluntary. Participants or their legally authorized representative</w:t>
      </w:r>
      <w:r>
        <w:rPr>
          <w:color w:val="FF00FF"/>
        </w:rPr>
        <w:t xml:space="preserve"> </w:t>
      </w:r>
      <w:r>
        <w:t xml:space="preserve">will be required to sign a statement of informed consent that meets the requirements of 21 CFR 50, local regulations, ICH guidelines, Health Insurance Portability and Accountability Act (HIPAA) requirements, where applicable, and the IRB/IEC or study center.  </w:t>
      </w:r>
    </w:p>
    <w:p w14:paraId="2EA744B9" w14:textId="77777777" w:rsidR="000B3C5C" w:rsidRDefault="00ED192D">
      <w:pPr>
        <w:numPr>
          <w:ilvl w:val="0"/>
          <w:numId w:val="50"/>
        </w:numPr>
        <w:spacing w:after="135"/>
        <w:ind w:right="14" w:hanging="358"/>
      </w:pPr>
      <w:r>
        <w:t xml:space="preserve">The medical record must include a statement that written informed consent was obtained before the participant was enrolled in the study and the date the written consent was obtained. The authorized person obtaining the informed consent must also sign the ICF. </w:t>
      </w:r>
    </w:p>
    <w:p w14:paraId="620445D8" w14:textId="77777777" w:rsidR="000B3C5C" w:rsidRDefault="00ED192D">
      <w:pPr>
        <w:numPr>
          <w:ilvl w:val="0"/>
          <w:numId w:val="50"/>
        </w:numPr>
        <w:spacing w:after="135"/>
        <w:ind w:right="14" w:hanging="358"/>
      </w:pPr>
      <w:r>
        <w:t xml:space="preserve">Participants must be re-consented to the most current version of the ICF(s) during their participation in the study.  </w:t>
      </w:r>
    </w:p>
    <w:p w14:paraId="58F86B19" w14:textId="77777777" w:rsidR="000B3C5C" w:rsidRDefault="00ED192D">
      <w:pPr>
        <w:numPr>
          <w:ilvl w:val="0"/>
          <w:numId w:val="50"/>
        </w:numPr>
        <w:spacing w:after="135"/>
        <w:ind w:right="14" w:hanging="358"/>
      </w:pPr>
      <w:r>
        <w:t xml:space="preserve">A copy of the ICF(s) must be provided to the participant or the participant’s legally authorized representative.  </w:t>
      </w:r>
    </w:p>
    <w:p w14:paraId="4D31930B" w14:textId="77777777" w:rsidR="000B3C5C" w:rsidRDefault="00ED192D">
      <w:pPr>
        <w:numPr>
          <w:ilvl w:val="0"/>
          <w:numId w:val="50"/>
        </w:numPr>
        <w:spacing w:after="90"/>
        <w:ind w:right="14" w:hanging="358"/>
      </w:pPr>
      <w:r>
        <w:t xml:space="preserve">Participants who are rescreened are required to sign a new ICF. </w:t>
      </w:r>
    </w:p>
    <w:p w14:paraId="01E2FB98" w14:textId="77777777" w:rsidR="000B3C5C" w:rsidRDefault="00ED192D">
      <w:pPr>
        <w:numPr>
          <w:ilvl w:val="0"/>
          <w:numId w:val="50"/>
        </w:numPr>
        <w:spacing w:after="333"/>
        <w:ind w:right="14" w:hanging="358"/>
      </w:pPr>
      <w:r>
        <w:t>The ICF will contain a separate section that addresses the participation in the post-dose PK assessment sub-study. The Investigator or authorized designee will explain to each participant the objectives of the exploratory research. Participants will be told that they are free to refuse to participate and may withdraw their consent at any time and for any reason during the storage period. A separate signature will be required to document a participant's agreement to allow any remaining specimens to be used f</w:t>
      </w:r>
      <w:r>
        <w:t xml:space="preserve">or exploratory research. Participants who decline to participate in this optional research will not provide this separate signature </w:t>
      </w:r>
    </w:p>
    <w:p w14:paraId="7BDAAD96" w14:textId="77777777" w:rsidR="000B3C5C" w:rsidRDefault="00ED192D">
      <w:pPr>
        <w:pStyle w:val="Heading3"/>
        <w:spacing w:after="89"/>
        <w:ind w:left="-5"/>
      </w:pPr>
      <w:r>
        <w:t xml:space="preserve">10.1.3 Data Protection  </w:t>
      </w:r>
    </w:p>
    <w:p w14:paraId="0F425C9E" w14:textId="77777777" w:rsidR="000B3C5C" w:rsidRDefault="00ED192D">
      <w:pPr>
        <w:numPr>
          <w:ilvl w:val="0"/>
          <w:numId w:val="51"/>
        </w:numPr>
        <w:spacing w:after="75"/>
        <w:ind w:right="14" w:hanging="358"/>
      </w:pPr>
      <w:r>
        <w:t xml:space="preserve">Participants will be assigned a unique identifier by the Sponsor. Any participant records or datasets that are transferred to the Sponsor will contain the identifier only; participant names or any information which would make the participant identifiable will not be transferred.  </w:t>
      </w:r>
    </w:p>
    <w:p w14:paraId="7FE7CCDF" w14:textId="77777777" w:rsidR="000B3C5C" w:rsidRDefault="00ED192D">
      <w:pPr>
        <w:numPr>
          <w:ilvl w:val="0"/>
          <w:numId w:val="51"/>
        </w:numPr>
        <w:spacing w:after="75"/>
        <w:ind w:right="14" w:hanging="358"/>
      </w:pPr>
      <w:r>
        <w:t xml:space="preserve">The participant must be informed that his/her personal study-related data will be used by the Sponsor in accordance with local data protection law. The level of disclosure must also be explained to the participant.  </w:t>
      </w:r>
    </w:p>
    <w:p w14:paraId="7AAB7F0B" w14:textId="77777777" w:rsidR="000B3C5C" w:rsidRDefault="00ED192D">
      <w:pPr>
        <w:numPr>
          <w:ilvl w:val="0"/>
          <w:numId w:val="51"/>
        </w:numPr>
        <w:spacing w:after="0"/>
        <w:ind w:right="14" w:hanging="358"/>
      </w:pPr>
      <w:r>
        <w:t xml:space="preserve">The participant must be informed that his/her medical records may be examined by Clinical Quality Assurance auditors or other authorized personnel appointed by the </w:t>
      </w:r>
    </w:p>
    <w:p w14:paraId="2035C8C0" w14:textId="77777777" w:rsidR="000B3C5C" w:rsidRDefault="00ED192D">
      <w:pPr>
        <w:spacing w:after="319" w:line="259" w:lineRule="auto"/>
        <w:ind w:left="0" w:right="156" w:firstLine="0"/>
        <w:jc w:val="right"/>
      </w:pPr>
      <w:r>
        <w:t xml:space="preserve">Sponsor, by appropriate IRB/IEC members, and by inspectors from regulatory authorities. </w:t>
      </w:r>
    </w:p>
    <w:p w14:paraId="4A633C0D" w14:textId="77777777" w:rsidR="000B3C5C" w:rsidRDefault="00ED192D">
      <w:pPr>
        <w:pStyle w:val="Heading3"/>
        <w:ind w:left="-5"/>
      </w:pPr>
      <w:r>
        <w:t xml:space="preserve">10.1.4 Committees Structure  </w:t>
      </w:r>
    </w:p>
    <w:p w14:paraId="5C039171" w14:textId="77777777" w:rsidR="000B3C5C" w:rsidRDefault="00ED192D">
      <w:pPr>
        <w:ind w:left="-3" w:right="14"/>
      </w:pPr>
      <w:r>
        <w:rPr>
          <w:b/>
        </w:rPr>
        <w:t xml:space="preserve">Data Monitoring Committee: </w:t>
      </w:r>
      <w:r>
        <w:t>An independent Data Monitoring Committee (DMC) will periodically evaluate ongoing safety data at intervals planned to be no longer than 3 months (starting from the confirmation of recommended Phase 2 dose) and make appropriate recommendations regarding the conduct of Phase 2 of this study.</w:t>
      </w:r>
      <w:r>
        <w:rPr>
          <w:b/>
        </w:rPr>
        <w:t xml:space="preserve"> </w:t>
      </w:r>
    </w:p>
    <w:p w14:paraId="0FEF8A46" w14:textId="77777777" w:rsidR="000B3C5C" w:rsidRDefault="00ED192D">
      <w:pPr>
        <w:ind w:left="-3" w:right="14"/>
      </w:pPr>
      <w:r>
        <w:rPr>
          <w:b/>
        </w:rPr>
        <w:t xml:space="preserve">Study committee: </w:t>
      </w:r>
      <w:r>
        <w:t xml:space="preserve">Composition of the Study Committee will vary based on the matter discussed, but it will generally include Sponsor representatives and at least 2 Investigators responsible for the indication in matter. Sponsor representatives and Investigators who have enrolled at least 1 patient will review clinical data approximately every 2 weeks during the course of the Phase 1 part. Then Study Committee will convene regularly or ad hoc when required, to review data and provide strategic recommendations on study medical </w:t>
      </w:r>
      <w:r>
        <w:t xml:space="preserve">decisions such as at the end of the Stage 1 of each cohorts and Stage 2 of Cohort A to D-2. </w:t>
      </w:r>
    </w:p>
    <w:p w14:paraId="73985A52" w14:textId="77777777" w:rsidR="000B3C5C" w:rsidRDefault="00ED192D">
      <w:pPr>
        <w:pStyle w:val="Heading3"/>
        <w:ind w:left="-5"/>
      </w:pPr>
      <w:r>
        <w:t xml:space="preserve">10.1.5 Dissemination of Clinical Study Data  </w:t>
      </w:r>
    </w:p>
    <w:p w14:paraId="36CDF327" w14:textId="77777777" w:rsidR="000B3C5C" w:rsidRDefault="00ED192D">
      <w:pPr>
        <w:ind w:left="-3" w:right="14"/>
      </w:pPr>
      <w:r>
        <w:t xml:space="preserve">Sanofi shares information about clinical trials and results on publicly accessible websites, based on company commitments, international and local legal and regulatory requirements, and other clinical trial disclosure commitments established by pharmaceutical industry associations. These websites include clinicaltrials.gov, EU clinical trial register (eu.ctr), and sanofi.com, as well as some national registries. </w:t>
      </w:r>
    </w:p>
    <w:p w14:paraId="15F5E049" w14:textId="77777777" w:rsidR="000B3C5C" w:rsidRDefault="00ED192D">
      <w:pPr>
        <w:ind w:left="-3" w:right="14"/>
      </w:pPr>
      <w:r>
        <w:t xml:space="preserve">In addition, results from clinical trials in patients are required to be submitted to peer-reviewed journals following internal company review for accuracy, fair balance and intellectual property. For those journals that request sharing of the analyzable data sets that are reported in the publication, interested researchers are directed to submit their request to clinicalstudydatarequest.com. </w:t>
      </w:r>
    </w:p>
    <w:p w14:paraId="14A9FE14" w14:textId="77777777" w:rsidR="000B3C5C" w:rsidRDefault="00ED192D">
      <w:pPr>
        <w:spacing w:after="333"/>
        <w:ind w:left="-3" w:right="14"/>
      </w:pPr>
      <w:r>
        <w:t xml:space="preserve">Individual participant data and supporting clinical documents are available for request at clinicalstudydatarequest.com. While making information available we continue to protect the privacy of participants in our clinical trials. Details on data sharing criteria and process for requesting access can be found at this web address: clinicalstudydatarequest.com. </w:t>
      </w:r>
    </w:p>
    <w:p w14:paraId="58850986" w14:textId="77777777" w:rsidR="000B3C5C" w:rsidRDefault="00ED192D">
      <w:pPr>
        <w:pStyle w:val="Heading3"/>
        <w:spacing w:after="152"/>
        <w:ind w:left="-5"/>
      </w:pPr>
      <w:r>
        <w:t xml:space="preserve">10.1.6 Data Quality Assurance  </w:t>
      </w:r>
    </w:p>
    <w:p w14:paraId="02CB45BB" w14:textId="77777777" w:rsidR="000B3C5C" w:rsidRDefault="00ED192D">
      <w:pPr>
        <w:numPr>
          <w:ilvl w:val="0"/>
          <w:numId w:val="52"/>
        </w:numPr>
        <w:spacing w:after="135"/>
        <w:ind w:right="14" w:hanging="358"/>
      </w:pPr>
      <w:r>
        <w:t xml:space="preserve">All participant data relating to the study will be recorded on eCRF unless transmitted to the Sponsor or designee electronically (eg, laboratory data). The Investigator is responsible for verifying that data entries are accurate and correct by physically or electronically signing the eCRF.  </w:t>
      </w:r>
    </w:p>
    <w:p w14:paraId="4B3EC790" w14:textId="77777777" w:rsidR="000B3C5C" w:rsidRDefault="00ED192D">
      <w:pPr>
        <w:numPr>
          <w:ilvl w:val="0"/>
          <w:numId w:val="52"/>
        </w:numPr>
        <w:spacing w:after="135"/>
        <w:ind w:right="14" w:hanging="358"/>
      </w:pPr>
      <w:r>
        <w:t xml:space="preserve">The Investigator must maintain accurate documentation (source data) that supports the information entered in the eCRF. </w:t>
      </w:r>
    </w:p>
    <w:p w14:paraId="427AB4BC" w14:textId="77777777" w:rsidR="000B3C5C" w:rsidRDefault="00ED192D">
      <w:pPr>
        <w:numPr>
          <w:ilvl w:val="0"/>
          <w:numId w:val="52"/>
        </w:numPr>
        <w:spacing w:after="135"/>
        <w:ind w:right="14" w:hanging="358"/>
      </w:pPr>
      <w:r>
        <w:t xml:space="preserve">The Investigator must permit study-related monitoring, audits, IRB/IEC review, and regulatory agency inspections and provide direct access to source data documents.  </w:t>
      </w:r>
    </w:p>
    <w:p w14:paraId="78745D78" w14:textId="77777777" w:rsidR="000B3C5C" w:rsidRDefault="00ED192D">
      <w:pPr>
        <w:numPr>
          <w:ilvl w:val="0"/>
          <w:numId w:val="52"/>
        </w:numPr>
        <w:spacing w:after="135"/>
        <w:ind w:right="14" w:hanging="358"/>
      </w:pPr>
      <w:r>
        <w:t xml:space="preserve">The Sponsor or designee is responsible for the data management of this study including quality checking of the data.  </w:t>
      </w:r>
    </w:p>
    <w:p w14:paraId="2332C83F" w14:textId="77777777" w:rsidR="000B3C5C" w:rsidRDefault="00ED192D">
      <w:pPr>
        <w:numPr>
          <w:ilvl w:val="0"/>
          <w:numId w:val="52"/>
        </w:numPr>
        <w:spacing w:after="135"/>
        <w:ind w:right="14" w:hanging="358"/>
      </w:pPr>
      <w:r>
        <w:t xml:space="preserve">Study monitors will perform ongoing source data verification to confirm that data entered into the eCRF by authorized site personnel are accurate, complete, and verifiable from source documents; that the safety and rights of participants are being protected; and that the study is being conducted in accordance with the currently approved protocol and any other study agreements, ICH GCP, and all applicable regulatory requirements.  </w:t>
      </w:r>
    </w:p>
    <w:p w14:paraId="6E38D1E8" w14:textId="77777777" w:rsidR="000B3C5C" w:rsidRDefault="00ED192D">
      <w:pPr>
        <w:numPr>
          <w:ilvl w:val="0"/>
          <w:numId w:val="52"/>
        </w:numPr>
        <w:ind w:right="14" w:hanging="358"/>
      </w:pPr>
      <w:r>
        <w:t xml:space="preserve">Records and documents, including signed ICFs, pertaining to the conduct of this study must be retained by the Investigator for 25 years after study completion unless local regulations or institutional policies require a longer retention period. No records may be destroyed during the retention period without the written approval of the Sponsor. No records may be transferred to another location or party without written notification to the Sponsor. </w:t>
      </w:r>
    </w:p>
    <w:p w14:paraId="14D993E4" w14:textId="77777777" w:rsidR="000B3C5C" w:rsidRDefault="00ED192D">
      <w:pPr>
        <w:pStyle w:val="Heading3"/>
        <w:spacing w:after="149"/>
        <w:ind w:left="-5"/>
      </w:pPr>
      <w:r>
        <w:t xml:space="preserve">10.1.7 Source documents  </w:t>
      </w:r>
    </w:p>
    <w:p w14:paraId="7A0B46CD" w14:textId="77777777" w:rsidR="000B3C5C" w:rsidRDefault="00ED192D">
      <w:pPr>
        <w:numPr>
          <w:ilvl w:val="0"/>
          <w:numId w:val="53"/>
        </w:numPr>
        <w:spacing w:after="134"/>
        <w:ind w:right="14" w:hanging="358"/>
      </w:pPr>
      <w:r>
        <w:t xml:space="preserve">Source documents provide evidence for the existence of the participant and substantiate the integrity of the data collected. Source documents are filed at the Investigator’s site. </w:t>
      </w:r>
    </w:p>
    <w:p w14:paraId="1DA8106C" w14:textId="77777777" w:rsidR="000B3C5C" w:rsidRDefault="00ED192D">
      <w:pPr>
        <w:numPr>
          <w:ilvl w:val="0"/>
          <w:numId w:val="53"/>
        </w:numPr>
        <w:spacing w:after="135"/>
        <w:ind w:right="14" w:hanging="358"/>
      </w:pPr>
      <w:r>
        <w:t xml:space="preserve">Data entered in the eCRF that are transcribed from source documents must be consistent with the source documents or the discrepancies must be explained. The Investigator may need to request previous medical records or transfer records, depending on the study. Also, current medical records must be available. </w:t>
      </w:r>
    </w:p>
    <w:p w14:paraId="538AD2EE" w14:textId="77777777" w:rsidR="000B3C5C" w:rsidRDefault="00ED192D">
      <w:pPr>
        <w:numPr>
          <w:ilvl w:val="0"/>
          <w:numId w:val="53"/>
        </w:numPr>
        <w:spacing w:after="333"/>
        <w:ind w:right="14" w:hanging="358"/>
      </w:pPr>
      <w:r>
        <w:t>The informed consent form will include a statement by which the patient allowing the Sponsor’s duly authorized personnel, the ethics committee (IRB/IEC), and the regulatory authorities to have direct access to original medical records which support the data in the eCRF (eg, patient's medical file, appointment books, and original laboratory records). These personnel, bound by professional secrecy, must maintain the confidentiality of all personal identity or personal medical information (according to confide</w:t>
      </w:r>
      <w:r>
        <w:t xml:space="preserve">ntiality rules). </w:t>
      </w:r>
    </w:p>
    <w:p w14:paraId="0FCACA2F" w14:textId="77777777" w:rsidR="000B3C5C" w:rsidRDefault="00ED192D">
      <w:pPr>
        <w:pStyle w:val="Heading3"/>
        <w:ind w:left="-5"/>
      </w:pPr>
      <w:r>
        <w:t xml:space="preserve">10.1.8 Study and Site Closure  </w:t>
      </w:r>
    </w:p>
    <w:p w14:paraId="71BB18C1" w14:textId="77777777" w:rsidR="000B3C5C" w:rsidRDefault="00ED192D">
      <w:pPr>
        <w:ind w:left="-3" w:right="14"/>
      </w:pPr>
      <w:r>
        <w:t xml:space="preserve">The Sponsor designee reserves the right to close the study site or terminate the study at any time for any reason at the sole discretion of the Sponsor. Study sites will be closed upon study completion. A study site is considered closed when all required documents and study supplies have been collected and a study site closure visit has been performed. </w:t>
      </w:r>
    </w:p>
    <w:p w14:paraId="31B1A058" w14:textId="77777777" w:rsidR="000B3C5C" w:rsidRDefault="00ED192D">
      <w:pPr>
        <w:ind w:left="-3" w:right="14"/>
      </w:pPr>
      <w:r>
        <w:t xml:space="preserve">The Investigator may initiate study site closure at any time, provided there is reasonable cause and sufficient notice is given in advance of the intended termination. </w:t>
      </w:r>
    </w:p>
    <w:p w14:paraId="06612FF5" w14:textId="77777777" w:rsidR="000B3C5C" w:rsidRDefault="00ED192D">
      <w:pPr>
        <w:spacing w:after="135"/>
        <w:ind w:left="-3" w:right="14"/>
      </w:pPr>
      <w:r>
        <w:t xml:space="preserve">Reasons for the early closure of a study site by the Sponsor or Investigator may include but are not limited to: </w:t>
      </w:r>
    </w:p>
    <w:p w14:paraId="59797144" w14:textId="77777777" w:rsidR="000B3C5C" w:rsidRDefault="00ED192D">
      <w:pPr>
        <w:numPr>
          <w:ilvl w:val="0"/>
          <w:numId w:val="54"/>
        </w:numPr>
        <w:spacing w:after="135"/>
        <w:ind w:right="14" w:hanging="358"/>
      </w:pPr>
      <w:r>
        <w:t xml:space="preserve">Failure of the Investigator to comply with the protocol, the requirements of the IRB/IEC or local health authorities, the Sponsor's procedures, or GCP guidelines. </w:t>
      </w:r>
    </w:p>
    <w:p w14:paraId="22FB1E70" w14:textId="77777777" w:rsidR="000B3C5C" w:rsidRDefault="00ED192D">
      <w:pPr>
        <w:numPr>
          <w:ilvl w:val="0"/>
          <w:numId w:val="54"/>
        </w:numPr>
        <w:spacing w:after="88"/>
        <w:ind w:right="14" w:hanging="358"/>
      </w:pPr>
      <w:r>
        <w:t xml:space="preserve">Inadequate recruitment of participants by the Investigator. </w:t>
      </w:r>
    </w:p>
    <w:p w14:paraId="16CB7546" w14:textId="77777777" w:rsidR="000B3C5C" w:rsidRDefault="00ED192D">
      <w:pPr>
        <w:numPr>
          <w:ilvl w:val="0"/>
          <w:numId w:val="54"/>
        </w:numPr>
        <w:spacing w:after="288"/>
        <w:ind w:right="14" w:hanging="358"/>
      </w:pPr>
      <w:r>
        <w:t xml:space="preserve">Discontinuation of further study intervention development. </w:t>
      </w:r>
    </w:p>
    <w:p w14:paraId="165EB5F4" w14:textId="77777777" w:rsidR="000B3C5C" w:rsidRDefault="00ED192D">
      <w:pPr>
        <w:pStyle w:val="Heading3"/>
        <w:spacing w:after="157"/>
        <w:ind w:left="-5"/>
      </w:pPr>
      <w:r>
        <w:t xml:space="preserve">10.1.9 Publication Policy  </w:t>
      </w:r>
    </w:p>
    <w:p w14:paraId="4A771BF8" w14:textId="77777777" w:rsidR="000B3C5C" w:rsidRDefault="00ED192D">
      <w:pPr>
        <w:numPr>
          <w:ilvl w:val="0"/>
          <w:numId w:val="55"/>
        </w:numPr>
        <w:spacing w:after="19"/>
        <w:ind w:right="14" w:hanging="355"/>
      </w:pPr>
      <w:r>
        <w:t xml:space="preserve">The results of this study may be published or presented at scientific meetings. If this is foreseen, the Investigator agrees to submit all manuscripts or abstracts to the Sponsor before submission. This allows the Sponsor to protect proprietary information and to provide comments.  </w:t>
      </w:r>
    </w:p>
    <w:p w14:paraId="5678DA20" w14:textId="77777777" w:rsidR="000B3C5C" w:rsidRDefault="00ED192D">
      <w:pPr>
        <w:numPr>
          <w:ilvl w:val="0"/>
          <w:numId w:val="55"/>
        </w:numPr>
        <w:spacing w:after="19"/>
        <w:ind w:right="14" w:hanging="355"/>
      </w:pPr>
      <w:r>
        <w:t xml:space="preserve">The Sponsor </w:t>
      </w:r>
      <w:r>
        <w:t xml:space="preserve">will comply with the requirements for publication of study results. In accordance with standard editorial and ethical practice, the Sponsor will generally support publication of multicenter studies only in their entirety and not as individual site data. In this case, a coordinating Investigator will be designated by mutual agreement. </w:t>
      </w:r>
    </w:p>
    <w:p w14:paraId="7554E014" w14:textId="77777777" w:rsidR="000B3C5C" w:rsidRDefault="00ED192D">
      <w:pPr>
        <w:numPr>
          <w:ilvl w:val="0"/>
          <w:numId w:val="55"/>
        </w:numPr>
        <w:ind w:right="14" w:hanging="355"/>
      </w:pPr>
      <w:r>
        <w:t xml:space="preserve">Authorship will be determined by mutual agreement and in line with International Committee of Medical Journal Editors authorship requirements. </w:t>
      </w:r>
    </w:p>
    <w:p w14:paraId="54255307" w14:textId="77777777" w:rsidR="000B3C5C" w:rsidRDefault="00ED192D">
      <w:pPr>
        <w:spacing w:after="249" w:line="249" w:lineRule="auto"/>
        <w:ind w:left="664" w:hanging="679"/>
      </w:pPr>
      <w:r>
        <w:rPr>
          <w:rFonts w:ascii="Arial" w:eastAsia="Arial" w:hAnsi="Arial" w:cs="Arial"/>
          <w:b/>
          <w:sz w:val="22"/>
        </w:rPr>
        <w:t xml:space="preserve">10.2 </w:t>
      </w:r>
      <w:r>
        <w:rPr>
          <w:rFonts w:ascii="Arial" w:eastAsia="Arial" w:hAnsi="Arial" w:cs="Arial"/>
          <w:b/>
          <w:sz w:val="22"/>
        </w:rPr>
        <w:tab/>
        <w:t xml:space="preserve">APPENDIX 2: ADVERSE EVENTS: DEFINITIONS AND PROCEDURES FOR RECORDING, EVALUATING, FOLLOW-UP, AND REPORTING  </w:t>
      </w:r>
    </w:p>
    <w:p w14:paraId="36EF25CF" w14:textId="77777777" w:rsidR="000B3C5C" w:rsidRDefault="00ED192D">
      <w:pPr>
        <w:spacing w:line="249" w:lineRule="auto"/>
        <w:ind w:left="-5" w:right="51"/>
      </w:pPr>
      <w:r>
        <w:rPr>
          <w:b/>
        </w:rPr>
        <w:t xml:space="preserve">DEFINITION OF AE </w:t>
      </w:r>
    </w:p>
    <w:p w14:paraId="0F8A501E" w14:textId="77777777" w:rsidR="000B3C5C" w:rsidRDefault="00ED192D">
      <w:pPr>
        <w:pStyle w:val="Heading2"/>
        <w:spacing w:after="131"/>
        <w:ind w:left="-5" w:right="51"/>
      </w:pPr>
      <w:r>
        <w:t xml:space="preserve">AE definition </w:t>
      </w:r>
    </w:p>
    <w:p w14:paraId="4830412D" w14:textId="77777777" w:rsidR="000B3C5C" w:rsidRDefault="00ED192D">
      <w:pPr>
        <w:numPr>
          <w:ilvl w:val="0"/>
          <w:numId w:val="56"/>
        </w:numPr>
        <w:spacing w:after="135"/>
        <w:ind w:right="14" w:hanging="358"/>
      </w:pPr>
      <w:r>
        <w:t xml:space="preserve">An AE is any untoward medical occurrence in a patient or clinical study participant, temporally associated with the use of study intervention, whether or not considered related to the study intervention. </w:t>
      </w:r>
    </w:p>
    <w:p w14:paraId="7E41309D" w14:textId="77777777" w:rsidR="000B3C5C" w:rsidRDefault="00ED192D">
      <w:pPr>
        <w:numPr>
          <w:ilvl w:val="0"/>
          <w:numId w:val="56"/>
        </w:numPr>
        <w:ind w:right="14" w:hanging="358"/>
      </w:pPr>
      <w:r>
        <w:t xml:space="preserve">NOTE: An AE can therefore be any unfavorable and unintended sign (including an abnormal laboratory finding), symptom, or disease (new or exacerbated) temporally associated with the use of study intervention. </w:t>
      </w:r>
    </w:p>
    <w:p w14:paraId="25F2EC00" w14:textId="77777777" w:rsidR="000B3C5C" w:rsidRDefault="00ED192D">
      <w:pPr>
        <w:pStyle w:val="Heading2"/>
        <w:spacing w:after="131"/>
        <w:ind w:left="-5" w:right="51"/>
      </w:pPr>
      <w:r>
        <w:t xml:space="preserve">Events </w:t>
      </w:r>
      <w:r>
        <w:rPr>
          <w:u w:val="single" w:color="000000"/>
        </w:rPr>
        <w:t>meeting</w:t>
      </w:r>
      <w:r>
        <w:t xml:space="preserve"> the AE definition </w:t>
      </w:r>
    </w:p>
    <w:p w14:paraId="7354844E" w14:textId="77777777" w:rsidR="000B3C5C" w:rsidRDefault="00ED192D">
      <w:pPr>
        <w:numPr>
          <w:ilvl w:val="0"/>
          <w:numId w:val="57"/>
        </w:numPr>
        <w:spacing w:after="135"/>
        <w:ind w:right="14" w:hanging="358"/>
      </w:pPr>
      <w:r>
        <w:t xml:space="preserve">Any abnormal laboratory test results (hematology, clinical chemistry, or urinalysis) </w:t>
      </w:r>
      <w:r>
        <w:t xml:space="preserve">impacting study intervention (leading to discontinuation or dose modification.  </w:t>
      </w:r>
    </w:p>
    <w:p w14:paraId="0C64890B" w14:textId="77777777" w:rsidR="000B3C5C" w:rsidRDefault="00ED192D">
      <w:pPr>
        <w:numPr>
          <w:ilvl w:val="0"/>
          <w:numId w:val="57"/>
        </w:numPr>
        <w:spacing w:after="135"/>
        <w:ind w:right="14" w:hanging="358"/>
      </w:pPr>
      <w:r>
        <w:t xml:space="preserve">Other safety assessments (eg, ECG, radiological scans, and vital signs measurements), including those that worsen from baseline, considered clinically significant in the medical and scientific judgment of the Investigator (ie, not related to progression of underlying disease). </w:t>
      </w:r>
    </w:p>
    <w:p w14:paraId="07EA2345" w14:textId="77777777" w:rsidR="000B3C5C" w:rsidRDefault="00ED192D">
      <w:pPr>
        <w:numPr>
          <w:ilvl w:val="0"/>
          <w:numId w:val="57"/>
        </w:numPr>
        <w:spacing w:after="134"/>
        <w:ind w:right="14" w:hanging="358"/>
      </w:pPr>
      <w:r>
        <w:t xml:space="preserve">Exacerbation of a chronic or intermittent pre-existing condition including either an increase in frequency and/or intensity of the condition. </w:t>
      </w:r>
    </w:p>
    <w:p w14:paraId="3C57D15A" w14:textId="77777777" w:rsidR="000B3C5C" w:rsidRDefault="00ED192D">
      <w:pPr>
        <w:numPr>
          <w:ilvl w:val="0"/>
          <w:numId w:val="57"/>
        </w:numPr>
        <w:spacing w:after="135"/>
        <w:ind w:right="14" w:hanging="358"/>
      </w:pPr>
      <w:r>
        <w:t xml:space="preserve">New conditions detected or diagnosed after study intervention administration even though it may have been present before the start of the study. </w:t>
      </w:r>
    </w:p>
    <w:p w14:paraId="100747E2" w14:textId="77777777" w:rsidR="000B3C5C" w:rsidRDefault="00ED192D">
      <w:pPr>
        <w:numPr>
          <w:ilvl w:val="0"/>
          <w:numId w:val="57"/>
        </w:numPr>
        <w:spacing w:after="88"/>
        <w:ind w:right="14" w:hanging="358"/>
      </w:pPr>
      <w:r>
        <w:t xml:space="preserve">Signs, symptoms, or the clinical sequelae of a suspected drug-drug interaction. </w:t>
      </w:r>
    </w:p>
    <w:p w14:paraId="025D68F2" w14:textId="77777777" w:rsidR="000B3C5C" w:rsidRDefault="00ED192D">
      <w:pPr>
        <w:numPr>
          <w:ilvl w:val="0"/>
          <w:numId w:val="57"/>
        </w:numPr>
        <w:spacing w:after="135"/>
        <w:ind w:right="14" w:hanging="358"/>
      </w:pPr>
      <w:r>
        <w:t xml:space="preserve">Signs, symptoms, or the clinical sequelae of a suspected overdose of either study intervention or a concomitant medication. </w:t>
      </w:r>
    </w:p>
    <w:p w14:paraId="548FB619" w14:textId="77777777" w:rsidR="000B3C5C" w:rsidRDefault="00ED192D">
      <w:pPr>
        <w:numPr>
          <w:ilvl w:val="0"/>
          <w:numId w:val="57"/>
        </w:numPr>
        <w:ind w:right="14" w:hanging="358"/>
      </w:pPr>
      <w:r>
        <w:t xml:space="preserve">"Lack of efficacy" or "failure of expected pharmacological action" per se will not be reported as an AE or SAE. Such instances will be captured in the efficacy assessments. However, the signs, symptoms, and/or clinical sequelae resulting from lack of efficacy will be reported as an AE or SAE if they fulfill the definition of an AE or SAE.  </w:t>
      </w:r>
    </w:p>
    <w:p w14:paraId="2849C10A" w14:textId="77777777" w:rsidR="000B3C5C" w:rsidRDefault="00ED192D">
      <w:pPr>
        <w:pStyle w:val="Heading2"/>
        <w:spacing w:after="131"/>
        <w:ind w:left="-5" w:right="51"/>
      </w:pPr>
      <w:r>
        <w:t xml:space="preserve">Events NOT meeting the AE definition </w:t>
      </w:r>
    </w:p>
    <w:p w14:paraId="307F72F4" w14:textId="77777777" w:rsidR="000B3C5C" w:rsidRDefault="00ED192D">
      <w:pPr>
        <w:numPr>
          <w:ilvl w:val="0"/>
          <w:numId w:val="58"/>
        </w:numPr>
        <w:spacing w:after="135"/>
        <w:ind w:right="14" w:hanging="358"/>
      </w:pPr>
      <w:r>
        <w:t xml:space="preserve">Any clinically significant abnormal laboratory findings or other abnormal safety assessments which are associated with the underlying disease, unless judged by the Investigator to be more severe than expected for the participant’s condition. </w:t>
      </w:r>
    </w:p>
    <w:p w14:paraId="2469B7B6" w14:textId="77777777" w:rsidR="000B3C5C" w:rsidRDefault="00ED192D">
      <w:pPr>
        <w:numPr>
          <w:ilvl w:val="0"/>
          <w:numId w:val="58"/>
        </w:numPr>
        <w:spacing w:after="135"/>
        <w:ind w:right="14" w:hanging="358"/>
      </w:pPr>
      <w:r>
        <w:t xml:space="preserve">The disease/disorder being studied or expected progression, signs, or symptoms of the disease/disorder being studied, unless more severe than expected for the participant’s condition. </w:t>
      </w:r>
    </w:p>
    <w:p w14:paraId="06B97605" w14:textId="77777777" w:rsidR="000B3C5C" w:rsidRDefault="00ED192D">
      <w:pPr>
        <w:numPr>
          <w:ilvl w:val="0"/>
          <w:numId w:val="58"/>
        </w:numPr>
        <w:ind w:right="14" w:hanging="358"/>
      </w:pPr>
      <w:r>
        <w:t xml:space="preserve">Medical or surgical procedure (eg, endoscopy, appendectomy): the condition that leads to the procedure is the AE. </w:t>
      </w:r>
    </w:p>
    <w:p w14:paraId="13F15A70" w14:textId="77777777" w:rsidR="000B3C5C" w:rsidRDefault="00ED192D">
      <w:pPr>
        <w:numPr>
          <w:ilvl w:val="0"/>
          <w:numId w:val="58"/>
        </w:numPr>
        <w:spacing w:after="75"/>
        <w:ind w:right="14" w:hanging="358"/>
      </w:pPr>
      <w:r>
        <w:t xml:space="preserve">Situations in which an untoward medical occurrence did not occur (social and/or convenience admission to a hospital). </w:t>
      </w:r>
    </w:p>
    <w:p w14:paraId="2D272C24" w14:textId="77777777" w:rsidR="000B3C5C" w:rsidRDefault="00ED192D">
      <w:pPr>
        <w:numPr>
          <w:ilvl w:val="0"/>
          <w:numId w:val="58"/>
        </w:numPr>
        <w:ind w:right="14" w:hanging="358"/>
      </w:pPr>
      <w:r>
        <w:t>Anticipated day-to-day fluctuations of pre-existing disease(s) or condition(s) present or detected at the start of the study that do not worsen.</w:t>
      </w:r>
      <w:r>
        <w:rPr>
          <w:b/>
        </w:rPr>
        <w:t xml:space="preserve"> </w:t>
      </w:r>
    </w:p>
    <w:p w14:paraId="52D5366C" w14:textId="77777777" w:rsidR="000B3C5C" w:rsidRDefault="00ED192D">
      <w:pPr>
        <w:pStyle w:val="Heading2"/>
        <w:ind w:left="-5" w:right="51"/>
      </w:pPr>
      <w:r>
        <w:t xml:space="preserve">DEFINITION OF SAE </w:t>
      </w:r>
    </w:p>
    <w:p w14:paraId="5895A2CD" w14:textId="77777777" w:rsidR="000B3C5C" w:rsidRDefault="00ED192D">
      <w:pPr>
        <w:ind w:left="-3" w:right="14"/>
      </w:pPr>
      <w:r>
        <w:t xml:space="preserve">If an event is not an AE per definition above, then it cannot be an SAE even if serious conditions are met (eg, hospitalization for signs/symptoms of the disease under study, death due to progression of disease). </w:t>
      </w:r>
    </w:p>
    <w:p w14:paraId="7F937CF1" w14:textId="77777777" w:rsidR="000B3C5C" w:rsidRDefault="00ED192D">
      <w:pPr>
        <w:spacing w:after="119" w:line="249" w:lineRule="auto"/>
        <w:ind w:left="-5" w:right="51"/>
      </w:pPr>
      <w:r>
        <w:rPr>
          <w:b/>
        </w:rPr>
        <w:t xml:space="preserve">A SAE is defined as any untoward medical occurrence that, at any dose: </w:t>
      </w:r>
    </w:p>
    <w:p w14:paraId="582D2E06" w14:textId="77777777" w:rsidR="000B3C5C" w:rsidRDefault="00ED192D">
      <w:pPr>
        <w:numPr>
          <w:ilvl w:val="0"/>
          <w:numId w:val="59"/>
        </w:numPr>
        <w:spacing w:line="249" w:lineRule="auto"/>
        <w:ind w:right="51" w:hanging="360"/>
      </w:pPr>
      <w:r>
        <w:rPr>
          <w:b/>
        </w:rPr>
        <w:t xml:space="preserve">Results in death. </w:t>
      </w:r>
    </w:p>
    <w:p w14:paraId="584B7B6A" w14:textId="77777777" w:rsidR="000B3C5C" w:rsidRDefault="00ED192D">
      <w:pPr>
        <w:numPr>
          <w:ilvl w:val="0"/>
          <w:numId w:val="59"/>
        </w:numPr>
        <w:spacing w:after="46" w:line="249" w:lineRule="auto"/>
        <w:ind w:right="51" w:hanging="360"/>
      </w:pPr>
      <w:r>
        <w:rPr>
          <w:b/>
        </w:rPr>
        <w:t xml:space="preserve">Is life-threatening: </w:t>
      </w:r>
    </w:p>
    <w:p w14:paraId="62CA662D" w14:textId="77777777" w:rsidR="000B3C5C" w:rsidRDefault="00ED192D">
      <w:pPr>
        <w:ind w:left="730" w:right="14"/>
      </w:pPr>
      <w:r>
        <w:t xml:space="preserve">The term 'life-threatening' in the definition of 'serious' refers to an event in which the participant was at risk of death at the time of the event. It does not refer to an event, which hypothetically might have caused death, if it were more severe. </w:t>
      </w:r>
    </w:p>
    <w:p w14:paraId="09BEAFEE" w14:textId="77777777" w:rsidR="000B3C5C" w:rsidRDefault="00ED192D">
      <w:pPr>
        <w:numPr>
          <w:ilvl w:val="0"/>
          <w:numId w:val="59"/>
        </w:numPr>
        <w:spacing w:after="46" w:line="249" w:lineRule="auto"/>
        <w:ind w:right="51" w:hanging="360"/>
      </w:pPr>
      <w:r>
        <w:rPr>
          <w:b/>
        </w:rPr>
        <w:t xml:space="preserve">Requires inpatient hospitalization or prolongation of existing hospitalization: </w:t>
      </w:r>
    </w:p>
    <w:p w14:paraId="7370004B" w14:textId="77777777" w:rsidR="000B3C5C" w:rsidRDefault="00ED192D">
      <w:pPr>
        <w:spacing w:after="50"/>
        <w:ind w:left="730" w:right="14"/>
      </w:pPr>
      <w:r>
        <w:t xml:space="preserve">In general, hospitalization signifies that the participant has been detained (usually involving at least an overnight stay) at the hospital or emergency ward for observation and/or treatment that would not have been appropriate in the physician’s office or outpatient setting. Complications that occur during hospitalization are AEs. If a complication prolongs hospitalization or fulfills any other serious criteria, the event is serious. When in doubt as to whether “hospitalization” occurred or was necessary, </w:t>
      </w:r>
      <w:r>
        <w:t xml:space="preserve">the AE should be considered serious. </w:t>
      </w:r>
    </w:p>
    <w:p w14:paraId="2AC83E59" w14:textId="77777777" w:rsidR="000B3C5C" w:rsidRDefault="00ED192D">
      <w:pPr>
        <w:ind w:left="730" w:right="14"/>
      </w:pPr>
      <w:r>
        <w:t xml:space="preserve">Hospitalization for elective treatment of a pre-existing condition that did not worsen from baseline is not considered an AE. </w:t>
      </w:r>
    </w:p>
    <w:p w14:paraId="5F0CB4F8" w14:textId="77777777" w:rsidR="000B3C5C" w:rsidRDefault="00ED192D">
      <w:pPr>
        <w:numPr>
          <w:ilvl w:val="0"/>
          <w:numId w:val="59"/>
        </w:numPr>
        <w:spacing w:after="71" w:line="249" w:lineRule="auto"/>
        <w:ind w:right="51" w:hanging="360"/>
      </w:pPr>
      <w:r>
        <w:rPr>
          <w:b/>
        </w:rPr>
        <w:t xml:space="preserve">Results in persistent disability/incapacity: </w:t>
      </w:r>
    </w:p>
    <w:p w14:paraId="058789BB" w14:textId="77777777" w:rsidR="000B3C5C" w:rsidRDefault="00ED192D">
      <w:pPr>
        <w:numPr>
          <w:ilvl w:val="0"/>
          <w:numId w:val="60"/>
        </w:numPr>
        <w:spacing w:after="75"/>
        <w:ind w:right="14" w:hanging="358"/>
      </w:pPr>
      <w:r>
        <w:t xml:space="preserve">The term disability means a substantial disruption of a person’s ability to conduct normal life functions. </w:t>
      </w:r>
    </w:p>
    <w:p w14:paraId="3BBB732C" w14:textId="77777777" w:rsidR="000B3C5C" w:rsidRDefault="00ED192D">
      <w:pPr>
        <w:numPr>
          <w:ilvl w:val="0"/>
          <w:numId w:val="60"/>
        </w:numPr>
        <w:ind w:right="14" w:hanging="358"/>
      </w:pPr>
      <w:r>
        <w:t xml:space="preserve">This definition is not intended to include experiences of relatively minor medical significance such as uncomplicated headache, nausea, vomiting, diarrhea, influenza, and accidental trauma (eg, sprained ankle) which may interfere with or prevent everyday life functions but do not constitute a substantial disruption. </w:t>
      </w:r>
    </w:p>
    <w:p w14:paraId="213E2738" w14:textId="77777777" w:rsidR="000B3C5C" w:rsidRDefault="00ED192D">
      <w:pPr>
        <w:numPr>
          <w:ilvl w:val="0"/>
          <w:numId w:val="59"/>
        </w:numPr>
        <w:spacing w:after="10" w:line="249" w:lineRule="auto"/>
        <w:ind w:right="51" w:hanging="360"/>
      </w:pPr>
      <w:r>
        <w:rPr>
          <w:b/>
        </w:rPr>
        <w:t xml:space="preserve">Is a congenital anomaly/birth defect. </w:t>
      </w:r>
    </w:p>
    <w:p w14:paraId="687346B7" w14:textId="77777777" w:rsidR="000B3C5C" w:rsidRDefault="00ED192D">
      <w:pPr>
        <w:numPr>
          <w:ilvl w:val="0"/>
          <w:numId w:val="59"/>
        </w:numPr>
        <w:spacing w:after="131" w:line="249" w:lineRule="auto"/>
        <w:ind w:right="51" w:hanging="360"/>
      </w:pPr>
      <w:r>
        <w:rPr>
          <w:b/>
        </w:rPr>
        <w:t xml:space="preserve">Other situations: </w:t>
      </w:r>
    </w:p>
    <w:p w14:paraId="296CBD3D" w14:textId="77777777" w:rsidR="000B3C5C" w:rsidRDefault="00ED192D">
      <w:pPr>
        <w:ind w:left="720" w:right="14" w:hanging="358"/>
      </w:pPr>
      <w:r>
        <w:rPr>
          <w:rFonts w:ascii="Segoe UI Symbol" w:eastAsia="Segoe UI Symbol" w:hAnsi="Segoe UI Symbol" w:cs="Segoe UI Symbol"/>
        </w:rPr>
        <w:t>•</w:t>
      </w:r>
      <w:r>
        <w:rPr>
          <w:rFonts w:ascii="Arial" w:eastAsia="Arial" w:hAnsi="Arial" w:cs="Arial"/>
        </w:rPr>
        <w:t xml:space="preserve"> </w:t>
      </w:r>
      <w:r>
        <w:t>Medical or scientific judgment should be exercised in deciding whether SAE reporting is appropriate in other situations such as important medical events that may not be immediately life-threatening or result in death or hospitalization but may jeopardize the participant or may require medical or surgical intervention to prevent one of the other outcomes listed in the above definition. These events should usually be considered serious.</w:t>
      </w:r>
      <w:r>
        <w:rPr>
          <w:b/>
        </w:rPr>
        <w:t xml:space="preserve"> </w:t>
      </w:r>
    </w:p>
    <w:p w14:paraId="4BA49012" w14:textId="77777777" w:rsidR="000B3C5C" w:rsidRDefault="00ED192D">
      <w:pPr>
        <w:ind w:left="1119" w:right="14"/>
      </w:pPr>
      <w:r>
        <w:t xml:space="preserve">Examples of such events include invasive or malignant cancers, intensive treatment in an emergency room or at home for allergic bronchospasm, blood dyscrasias, or convulsions that do not result in hospitalization, or development of drug dependency or drug abuse. </w:t>
      </w:r>
    </w:p>
    <w:p w14:paraId="0337E440" w14:textId="77777777" w:rsidR="000B3C5C" w:rsidRDefault="00ED192D">
      <w:pPr>
        <w:spacing w:line="249" w:lineRule="auto"/>
        <w:ind w:left="-5" w:right="51"/>
      </w:pPr>
      <w:r>
        <w:rPr>
          <w:b/>
        </w:rPr>
        <w:t xml:space="preserve">RECORDING AND FOLLOW-UP OF AE AND/OR SAE </w:t>
      </w:r>
    </w:p>
    <w:p w14:paraId="123C1956" w14:textId="77777777" w:rsidR="000B3C5C" w:rsidRDefault="00ED192D">
      <w:pPr>
        <w:pStyle w:val="Heading2"/>
        <w:spacing w:after="131"/>
        <w:ind w:left="-5" w:right="51"/>
      </w:pPr>
      <w:r>
        <w:t xml:space="preserve">AE and SAE recording </w:t>
      </w:r>
    </w:p>
    <w:p w14:paraId="26A4A08F" w14:textId="77777777" w:rsidR="000B3C5C" w:rsidRDefault="00ED192D">
      <w:pPr>
        <w:numPr>
          <w:ilvl w:val="0"/>
          <w:numId w:val="61"/>
        </w:numPr>
        <w:spacing w:after="135"/>
        <w:ind w:right="14" w:hanging="360"/>
      </w:pPr>
      <w:r>
        <w:t>When an AE/SAE occurs, it is the responsibility of the Investigator to review all</w:t>
      </w:r>
      <w:r>
        <w:rPr>
          <w:sz w:val="22"/>
        </w:rPr>
        <w:t xml:space="preserve"> </w:t>
      </w:r>
      <w:r>
        <w:t xml:space="preserve">documentation (eg, hospital progress notes, laboratory reports, and diagnostics reports) related to the event. </w:t>
      </w:r>
    </w:p>
    <w:p w14:paraId="14B04DCB" w14:textId="77777777" w:rsidR="000B3C5C" w:rsidRDefault="00ED192D">
      <w:pPr>
        <w:numPr>
          <w:ilvl w:val="0"/>
          <w:numId w:val="61"/>
        </w:numPr>
        <w:spacing w:after="88"/>
        <w:ind w:right="14" w:hanging="360"/>
      </w:pPr>
      <w:r>
        <w:t xml:space="preserve">The Investigator will then record all relevant AE/SAE information in the eCRF. </w:t>
      </w:r>
    </w:p>
    <w:p w14:paraId="4AA50EEE" w14:textId="77777777" w:rsidR="000B3C5C" w:rsidRDefault="00ED192D">
      <w:pPr>
        <w:numPr>
          <w:ilvl w:val="0"/>
          <w:numId w:val="61"/>
        </w:numPr>
        <w:ind w:right="14" w:hanging="360"/>
      </w:pPr>
      <w:r>
        <w:t>The Investigator will attempt to establish a diagnosis of the event based on signs, symptoms, and/or other clinical information. Whenever possible, the diagnosis (not the individual signs/symptoms) will be documented as the AE/SAE.</w:t>
      </w:r>
      <w:r>
        <w:rPr>
          <w:b/>
        </w:rPr>
        <w:t xml:space="preserve"> </w:t>
      </w:r>
    </w:p>
    <w:p w14:paraId="393AA46B" w14:textId="77777777" w:rsidR="000B3C5C" w:rsidRDefault="00ED192D">
      <w:pPr>
        <w:pStyle w:val="Heading2"/>
        <w:spacing w:after="71"/>
        <w:ind w:left="-5" w:right="51"/>
      </w:pPr>
      <w:r>
        <w:t xml:space="preserve">Assessment of causal relationship </w:t>
      </w:r>
    </w:p>
    <w:p w14:paraId="19C25C30" w14:textId="77777777" w:rsidR="000B3C5C" w:rsidRDefault="00ED192D">
      <w:pPr>
        <w:numPr>
          <w:ilvl w:val="0"/>
          <w:numId w:val="62"/>
        </w:numPr>
        <w:spacing w:after="84" w:line="239" w:lineRule="auto"/>
        <w:ind w:right="14" w:hanging="358"/>
      </w:pPr>
      <w:r>
        <w:t xml:space="preserve">The Investigator is obligated to assess the causal relationship between study intervention and each occurrence of each AE/SAE; the causal relationship must be reported as YES or NO. </w:t>
      </w:r>
    </w:p>
    <w:p w14:paraId="50576392" w14:textId="77777777" w:rsidR="000B3C5C" w:rsidRDefault="00ED192D">
      <w:pPr>
        <w:numPr>
          <w:ilvl w:val="0"/>
          <w:numId w:val="62"/>
        </w:numPr>
        <w:spacing w:after="75"/>
        <w:ind w:right="14" w:hanging="358"/>
      </w:pPr>
      <w:r>
        <w:t xml:space="preserve">A "reasonable possibility" of a causal relationship conveys that there are facts, evidence, and/or arguments to suggest a causal relationship, rather than a causal relationship cannot be ruled out. </w:t>
      </w:r>
    </w:p>
    <w:p w14:paraId="4393B27A" w14:textId="77777777" w:rsidR="000B3C5C" w:rsidRDefault="00ED192D">
      <w:pPr>
        <w:numPr>
          <w:ilvl w:val="0"/>
          <w:numId w:val="62"/>
        </w:numPr>
        <w:spacing w:after="28"/>
        <w:ind w:right="14" w:hanging="358"/>
      </w:pPr>
      <w:r>
        <w:t xml:space="preserve">The Investigator will use clinical judgment to determine the causal relationship. </w:t>
      </w:r>
    </w:p>
    <w:p w14:paraId="1432D561" w14:textId="77777777" w:rsidR="000B3C5C" w:rsidRDefault="00ED192D">
      <w:pPr>
        <w:numPr>
          <w:ilvl w:val="0"/>
          <w:numId w:val="62"/>
        </w:numPr>
        <w:spacing w:after="75"/>
        <w:ind w:right="14" w:hanging="358"/>
      </w:pPr>
      <w:r>
        <w:t xml:space="preserve">Alternative etiologies, such as underlying disease(s), concomitant therapy, and other risk factors, as well as the temporal relationship of the AE to study intervention administration will be investigated and considered. </w:t>
      </w:r>
    </w:p>
    <w:p w14:paraId="7D30A2A8" w14:textId="77777777" w:rsidR="000B3C5C" w:rsidRDefault="00ED192D">
      <w:pPr>
        <w:numPr>
          <w:ilvl w:val="0"/>
          <w:numId w:val="62"/>
        </w:numPr>
        <w:spacing w:after="75"/>
        <w:ind w:right="14" w:hanging="358"/>
      </w:pPr>
      <w:r>
        <w:t xml:space="preserve">The Investigator will also consult the Investigator’s Brochure (IB), and/or Labeling Information for marketed products, in his/her assessment. </w:t>
      </w:r>
    </w:p>
    <w:p w14:paraId="4DDCFE9E" w14:textId="77777777" w:rsidR="000B3C5C" w:rsidRDefault="00ED192D">
      <w:pPr>
        <w:numPr>
          <w:ilvl w:val="0"/>
          <w:numId w:val="62"/>
        </w:numPr>
        <w:spacing w:after="75"/>
        <w:ind w:right="14" w:hanging="358"/>
      </w:pPr>
      <w:r>
        <w:t xml:space="preserve">For each AE/SAE, the Investigator must document in the medical notes that he/she has reviewed the AE/SAE and has provided an assessment of causal relationship. </w:t>
      </w:r>
    </w:p>
    <w:p w14:paraId="3220C958" w14:textId="77777777" w:rsidR="000B3C5C" w:rsidRDefault="00ED192D">
      <w:pPr>
        <w:numPr>
          <w:ilvl w:val="0"/>
          <w:numId w:val="62"/>
        </w:numPr>
        <w:spacing w:after="75"/>
        <w:ind w:right="14" w:hanging="358"/>
      </w:pPr>
      <w:r>
        <w:t xml:space="preserve">There may be situations in which an SAE has occurred and the Investigator has minimal information to include in the initial report to Monitoring team. However, it is necessary that the Investigator always make an assessment of causal relationship for every AE before the initial transmission of the SAE data to Monitoring team. </w:t>
      </w:r>
    </w:p>
    <w:p w14:paraId="2ED8F58F" w14:textId="77777777" w:rsidR="000B3C5C" w:rsidRDefault="00ED192D">
      <w:pPr>
        <w:numPr>
          <w:ilvl w:val="0"/>
          <w:numId w:val="62"/>
        </w:numPr>
        <w:spacing w:after="75"/>
        <w:ind w:right="14" w:hanging="358"/>
      </w:pPr>
      <w:r>
        <w:t xml:space="preserve">The Investigator may change his/her opinion regarding causal relationship in light of follow-up information, and send an SAE follow-up report with the updated causal relationship assessment. </w:t>
      </w:r>
    </w:p>
    <w:p w14:paraId="54513874" w14:textId="77777777" w:rsidR="000B3C5C" w:rsidRDefault="00ED192D">
      <w:pPr>
        <w:numPr>
          <w:ilvl w:val="0"/>
          <w:numId w:val="62"/>
        </w:numPr>
        <w:ind w:right="14" w:hanging="358"/>
      </w:pPr>
      <w:r>
        <w:t xml:space="preserve">The causal relationship assessment is one of the criteria used when determining regulatory reporting requirements. </w:t>
      </w:r>
    </w:p>
    <w:p w14:paraId="4AEF9B3F" w14:textId="77777777" w:rsidR="000B3C5C" w:rsidRDefault="00ED192D">
      <w:pPr>
        <w:pStyle w:val="Heading2"/>
        <w:spacing w:after="131"/>
        <w:ind w:left="-5" w:right="51"/>
      </w:pPr>
      <w:r>
        <w:t xml:space="preserve">Follow-up of AEs and SAEs </w:t>
      </w:r>
    </w:p>
    <w:p w14:paraId="6523A94F" w14:textId="77777777" w:rsidR="000B3C5C" w:rsidRDefault="00ED192D">
      <w:pPr>
        <w:numPr>
          <w:ilvl w:val="0"/>
          <w:numId w:val="63"/>
        </w:numPr>
        <w:spacing w:after="135"/>
        <w:ind w:right="14" w:hanging="360"/>
      </w:pPr>
      <w:r>
        <w:t xml:space="preserve">The Investigator is obligated to perform or arrange for the conduct of supplemental measurements and/or evaluations as medically indicated or as requested by monitoring team to elucidate the nature and/or causal relationship of AEs as fully as possible. This may include additional laboratory tests or investigations, histopathological examinations, or consultation with other health care professionals. </w:t>
      </w:r>
    </w:p>
    <w:p w14:paraId="24232B58" w14:textId="77777777" w:rsidR="000B3C5C" w:rsidRDefault="00ED192D">
      <w:pPr>
        <w:numPr>
          <w:ilvl w:val="0"/>
          <w:numId w:val="63"/>
        </w:numPr>
        <w:spacing w:after="88"/>
        <w:ind w:right="14" w:hanging="360"/>
      </w:pPr>
      <w:r>
        <w:t xml:space="preserve">New or updated information will be recorded in the originally completed eCRF. </w:t>
      </w:r>
    </w:p>
    <w:p w14:paraId="74429B2B" w14:textId="77777777" w:rsidR="000B3C5C" w:rsidRDefault="00ED192D">
      <w:pPr>
        <w:numPr>
          <w:ilvl w:val="0"/>
          <w:numId w:val="63"/>
        </w:numPr>
        <w:ind w:right="14" w:hanging="360"/>
      </w:pPr>
      <w:r>
        <w:t>The Investigator will submit any updated SAE or AESI data to the monitoring team within 24 hours of receipt of the information.</w:t>
      </w:r>
      <w:r>
        <w:rPr>
          <w:b/>
        </w:rPr>
        <w:t xml:space="preserve"> </w:t>
      </w:r>
    </w:p>
    <w:p w14:paraId="3A47B669" w14:textId="77777777" w:rsidR="000B3C5C" w:rsidRDefault="00ED192D">
      <w:pPr>
        <w:spacing w:line="249" w:lineRule="auto"/>
        <w:ind w:left="-5" w:right="51"/>
      </w:pPr>
      <w:r>
        <w:rPr>
          <w:b/>
        </w:rPr>
        <w:t xml:space="preserve">REPORTING OF SAEs </w:t>
      </w:r>
    </w:p>
    <w:p w14:paraId="6C2DA24C" w14:textId="77777777" w:rsidR="000B3C5C" w:rsidRDefault="00ED192D">
      <w:pPr>
        <w:pStyle w:val="Heading2"/>
        <w:spacing w:after="131"/>
        <w:ind w:left="-5" w:right="51"/>
      </w:pPr>
      <w:r>
        <w:t xml:space="preserve">SAE reporting to Monitoring team via an electronic data collection tool </w:t>
      </w:r>
    </w:p>
    <w:p w14:paraId="2DB83ABE" w14:textId="77777777" w:rsidR="000B3C5C" w:rsidRDefault="00ED192D">
      <w:pPr>
        <w:numPr>
          <w:ilvl w:val="0"/>
          <w:numId w:val="64"/>
        </w:numPr>
        <w:spacing w:after="134"/>
        <w:ind w:right="14" w:hanging="360"/>
      </w:pPr>
      <w:r>
        <w:t xml:space="preserve">The primary mechanism for reporting an SAE or AESI to Monitoring team will be the electronic data collection tool. </w:t>
      </w:r>
    </w:p>
    <w:p w14:paraId="0FB24B8A" w14:textId="77777777" w:rsidR="000B3C5C" w:rsidRDefault="00ED192D">
      <w:pPr>
        <w:numPr>
          <w:ilvl w:val="0"/>
          <w:numId w:val="64"/>
        </w:numPr>
        <w:spacing w:after="135"/>
        <w:ind w:right="14" w:hanging="360"/>
      </w:pPr>
      <w:r>
        <w:t xml:space="preserve">If the electronic system is unavailable for more than 24 hours, then the site will use the paper SAE/AESI data collection tool (see next section). </w:t>
      </w:r>
    </w:p>
    <w:p w14:paraId="4608AFAB" w14:textId="77777777" w:rsidR="000B3C5C" w:rsidRDefault="00ED192D">
      <w:pPr>
        <w:numPr>
          <w:ilvl w:val="0"/>
          <w:numId w:val="64"/>
        </w:numPr>
        <w:spacing w:after="135"/>
        <w:ind w:right="14" w:hanging="360"/>
      </w:pPr>
      <w:r>
        <w:t xml:space="preserve">The site will subsequently enter the SAE/AESI data into the electronic system as soon as it becomes available again. </w:t>
      </w:r>
    </w:p>
    <w:p w14:paraId="56481859" w14:textId="77777777" w:rsidR="000B3C5C" w:rsidRDefault="00ED192D">
      <w:pPr>
        <w:numPr>
          <w:ilvl w:val="0"/>
          <w:numId w:val="64"/>
        </w:numPr>
        <w:spacing w:after="135"/>
        <w:ind w:right="14" w:hanging="360"/>
      </w:pPr>
      <w:r>
        <w:t xml:space="preserve">After the study is completed at a given site, the electronic data collection tool will be taken off-line to prevent the entry of new data or changes to existing data. </w:t>
      </w:r>
    </w:p>
    <w:p w14:paraId="26DAF762" w14:textId="77777777" w:rsidR="000B3C5C" w:rsidRDefault="00ED192D">
      <w:pPr>
        <w:numPr>
          <w:ilvl w:val="0"/>
          <w:numId w:val="64"/>
        </w:numPr>
        <w:spacing w:after="135"/>
        <w:ind w:right="14" w:hanging="360"/>
      </w:pPr>
      <w:r>
        <w:t>If a site receives a report of a new SAE/AESI from a study participant or receives updated data on a previously reported SAE / AESI after the electronic data collection tool has been taken off-line, then the site can report this information on a paper SAE / AESI form or to the monitoring team</w:t>
      </w:r>
      <w:r>
        <w:rPr>
          <w:color w:val="FF00FF"/>
        </w:rPr>
        <w:t xml:space="preserve"> </w:t>
      </w:r>
      <w:r>
        <w:t xml:space="preserve">by fax or email. </w:t>
      </w:r>
    </w:p>
    <w:p w14:paraId="39513767" w14:textId="77777777" w:rsidR="000B3C5C" w:rsidRDefault="00ED192D">
      <w:pPr>
        <w:numPr>
          <w:ilvl w:val="0"/>
          <w:numId w:val="64"/>
        </w:numPr>
        <w:spacing w:after="425"/>
        <w:ind w:right="14" w:hanging="360"/>
      </w:pPr>
      <w:r>
        <w:t>Contact information for SAE/AESI reporting can be found in study reference manual.</w:t>
      </w:r>
      <w:r>
        <w:rPr>
          <w:b/>
        </w:rPr>
        <w:t xml:space="preserve"> </w:t>
      </w:r>
    </w:p>
    <w:p w14:paraId="7BC74B39" w14:textId="77777777" w:rsidR="000B3C5C" w:rsidRDefault="00ED192D">
      <w:pPr>
        <w:pStyle w:val="Heading3"/>
        <w:tabs>
          <w:tab w:val="center" w:pos="3106"/>
        </w:tabs>
        <w:ind w:left="-15" w:firstLine="0"/>
      </w:pPr>
      <w:r>
        <w:t xml:space="preserve">10.3 </w:t>
      </w:r>
      <w:r>
        <w:tab/>
        <w:t xml:space="preserve">APPENDIX 3: CLINICAL LABORATORY TESTS  </w:t>
      </w:r>
    </w:p>
    <w:p w14:paraId="279DBD9F" w14:textId="77777777" w:rsidR="000B3C5C" w:rsidRDefault="00ED192D">
      <w:pPr>
        <w:spacing w:after="131"/>
        <w:ind w:left="-3" w:right="14"/>
      </w:pPr>
      <w:r>
        <w:t xml:space="preserve">The tests detailed in </w:t>
      </w:r>
      <w:r>
        <w:rPr>
          <w:color w:val="0000FF"/>
        </w:rPr>
        <w:t>Table 10</w:t>
      </w:r>
      <w:r>
        <w:t xml:space="preserve"> will be performed </w:t>
      </w:r>
      <w:r>
        <w:rPr>
          <w:i/>
        </w:rPr>
        <w:t>by the local laboratory.</w:t>
      </w:r>
      <w:r>
        <w:t xml:space="preserve"> </w:t>
      </w:r>
    </w:p>
    <w:p w14:paraId="69805699" w14:textId="77777777" w:rsidR="000B3C5C" w:rsidRDefault="00ED192D">
      <w:pPr>
        <w:numPr>
          <w:ilvl w:val="0"/>
          <w:numId w:val="65"/>
        </w:numPr>
        <w:spacing w:after="88"/>
        <w:ind w:right="14" w:hanging="358"/>
      </w:pPr>
      <w:r>
        <w:t xml:space="preserve">The results must be entered into the eCRF. </w:t>
      </w:r>
    </w:p>
    <w:p w14:paraId="7B87239D" w14:textId="77777777" w:rsidR="000B3C5C" w:rsidRDefault="00ED192D">
      <w:pPr>
        <w:numPr>
          <w:ilvl w:val="0"/>
          <w:numId w:val="65"/>
        </w:numPr>
        <w:spacing w:after="135"/>
        <w:ind w:right="14" w:hanging="358"/>
      </w:pPr>
      <w:r>
        <w:t xml:space="preserve">Protocol-specific requirements for inclusion or exclusion of participants are detailed in </w:t>
      </w:r>
      <w:r>
        <w:rPr>
          <w:color w:val="0000FF"/>
        </w:rPr>
        <w:t>Section</w:t>
      </w:r>
      <w:r>
        <w:t xml:space="preserve"> </w:t>
      </w:r>
      <w:r>
        <w:rPr>
          <w:color w:val="0000FF"/>
        </w:rPr>
        <w:t>5</w:t>
      </w:r>
      <w:r>
        <w:t xml:space="preserve"> of the protocol. </w:t>
      </w:r>
    </w:p>
    <w:p w14:paraId="0A6E3DCB" w14:textId="77777777" w:rsidR="000B3C5C" w:rsidRDefault="00ED192D">
      <w:pPr>
        <w:numPr>
          <w:ilvl w:val="0"/>
          <w:numId w:val="65"/>
        </w:numPr>
        <w:ind w:right="14" w:hanging="358"/>
      </w:pPr>
      <w:r>
        <w:t xml:space="preserve">Additional tests may be performed at any time during the study as determined necessary by the Investigator or required by local regulations. </w:t>
      </w:r>
    </w:p>
    <w:p w14:paraId="42453CAF" w14:textId="77777777" w:rsidR="000B3C5C" w:rsidRDefault="00ED192D">
      <w:pPr>
        <w:pStyle w:val="Heading4"/>
        <w:spacing w:after="3" w:line="259" w:lineRule="auto"/>
        <w:ind w:left="1926"/>
      </w:pPr>
      <w:r>
        <w:rPr>
          <w:sz w:val="20"/>
        </w:rPr>
        <w:t xml:space="preserve">Table 10 - Protocol-required safety laboratory assessments  </w:t>
      </w:r>
    </w:p>
    <w:p w14:paraId="7535D84B" w14:textId="77777777" w:rsidR="000B3C5C" w:rsidRDefault="00ED192D">
      <w:pPr>
        <w:spacing w:after="102" w:line="259" w:lineRule="auto"/>
        <w:ind w:left="0" w:firstLine="0"/>
      </w:pPr>
      <w:r>
        <w:rPr>
          <w:rFonts w:ascii="Calibri" w:eastAsia="Calibri" w:hAnsi="Calibri" w:cs="Calibri"/>
          <w:noProof/>
          <w:sz w:val="22"/>
        </w:rPr>
        <mc:AlternateContent>
          <mc:Choice Requires="wpg">
            <w:drawing>
              <wp:inline distT="0" distB="0" distL="0" distR="0" wp14:anchorId="670807C2" wp14:editId="3A1E83E7">
                <wp:extent cx="6002732" cy="6096"/>
                <wp:effectExtent l="0" t="0" r="0" b="0"/>
                <wp:docPr id="273927" name="Group 273927"/>
                <wp:cNvGraphicFramePr/>
                <a:graphic xmlns:a="http://schemas.openxmlformats.org/drawingml/2006/main">
                  <a:graphicData uri="http://schemas.microsoft.com/office/word/2010/wordprocessingGroup">
                    <wpg:wgp>
                      <wpg:cNvGrpSpPr/>
                      <wpg:grpSpPr>
                        <a:xfrm>
                          <a:off x="0" y="0"/>
                          <a:ext cx="6002732" cy="6096"/>
                          <a:chOff x="0" y="0"/>
                          <a:chExt cx="6002732" cy="6096"/>
                        </a:xfrm>
                      </wpg:grpSpPr>
                      <wps:wsp>
                        <wps:cNvPr id="315814" name="Shape 315814"/>
                        <wps:cNvSpPr/>
                        <wps:spPr>
                          <a:xfrm>
                            <a:off x="0" y="0"/>
                            <a:ext cx="1196645" cy="9144"/>
                          </a:xfrm>
                          <a:custGeom>
                            <a:avLst/>
                            <a:gdLst/>
                            <a:ahLst/>
                            <a:cxnLst/>
                            <a:rect l="0" t="0" r="0" b="0"/>
                            <a:pathLst>
                              <a:path w="1196645" h="9144">
                                <a:moveTo>
                                  <a:pt x="0" y="0"/>
                                </a:moveTo>
                                <a:lnTo>
                                  <a:pt x="1196645" y="0"/>
                                </a:lnTo>
                                <a:lnTo>
                                  <a:pt x="11966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15" name="Shape 315815"/>
                        <wps:cNvSpPr/>
                        <wps:spPr>
                          <a:xfrm>
                            <a:off x="11966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16" name="Shape 315816"/>
                        <wps:cNvSpPr/>
                        <wps:spPr>
                          <a:xfrm>
                            <a:off x="1202766" y="0"/>
                            <a:ext cx="4799965" cy="9144"/>
                          </a:xfrm>
                          <a:custGeom>
                            <a:avLst/>
                            <a:gdLst/>
                            <a:ahLst/>
                            <a:cxnLst/>
                            <a:rect l="0" t="0" r="0" b="0"/>
                            <a:pathLst>
                              <a:path w="4799965" h="9144">
                                <a:moveTo>
                                  <a:pt x="0" y="0"/>
                                </a:moveTo>
                                <a:lnTo>
                                  <a:pt x="4799965" y="0"/>
                                </a:lnTo>
                                <a:lnTo>
                                  <a:pt x="47999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927" style="width:472.656pt;height:0.47998pt;mso-position-horizontal-relative:char;mso-position-vertical-relative:line" coordsize="60027,60">
                <v:shape id="Shape 315817" style="position:absolute;width:11966;height:91;left:0;top:0;" coordsize="1196645,9144" path="m0,0l1196645,0l1196645,9144l0,9144l0,0">
                  <v:stroke weight="0pt" endcap="flat" joinstyle="miter" miterlimit="10" on="false" color="#000000" opacity="0"/>
                  <v:fill on="true" color="#000000"/>
                </v:shape>
                <v:shape id="Shape 315818" style="position:absolute;width:91;height:91;left:11966;top:0;" coordsize="9144,9144" path="m0,0l9144,0l9144,9144l0,9144l0,0">
                  <v:stroke weight="0pt" endcap="flat" joinstyle="miter" miterlimit="10" on="false" color="#000000" opacity="0"/>
                  <v:fill on="true" color="#000000"/>
                </v:shape>
                <v:shape id="Shape 315819" style="position:absolute;width:47999;height:91;left:12027;top:0;" coordsize="4799965,9144" path="m0,0l4799965,0l4799965,9144l0,9144l0,0">
                  <v:stroke weight="0pt" endcap="flat" joinstyle="miter" miterlimit="10" on="false" color="#000000" opacity="0"/>
                  <v:fill on="true" color="#000000"/>
                </v:shape>
              </v:group>
            </w:pict>
          </mc:Fallback>
        </mc:AlternateContent>
      </w:r>
    </w:p>
    <w:p w14:paraId="2DB7A378" w14:textId="77777777" w:rsidR="000B3C5C" w:rsidRDefault="00ED192D">
      <w:pPr>
        <w:pStyle w:val="Heading4"/>
        <w:spacing w:after="3" w:line="259" w:lineRule="auto"/>
        <w:ind w:left="118"/>
      </w:pPr>
      <w:r>
        <w:rPr>
          <w:sz w:val="20"/>
        </w:rPr>
        <w:t xml:space="preserve">Laboratory </w:t>
      </w:r>
      <w:r>
        <w:rPr>
          <w:sz w:val="20"/>
        </w:rPr>
        <w:tab/>
        <w:t xml:space="preserve">Parameters assessments </w:t>
      </w:r>
    </w:p>
    <w:tbl>
      <w:tblPr>
        <w:tblStyle w:val="TableGrid"/>
        <w:tblW w:w="9453" w:type="dxa"/>
        <w:tblInd w:w="0" w:type="dxa"/>
        <w:tblCellMar>
          <w:top w:w="22" w:type="dxa"/>
          <w:left w:w="0" w:type="dxa"/>
          <w:bottom w:w="0" w:type="dxa"/>
          <w:right w:w="0" w:type="dxa"/>
        </w:tblCellMar>
        <w:tblLook w:val="04A0" w:firstRow="1" w:lastRow="0" w:firstColumn="1" w:lastColumn="0" w:noHBand="0" w:noVBand="1"/>
      </w:tblPr>
      <w:tblGrid>
        <w:gridCol w:w="1994"/>
        <w:gridCol w:w="1815"/>
        <w:gridCol w:w="1795"/>
        <w:gridCol w:w="1237"/>
        <w:gridCol w:w="828"/>
        <w:gridCol w:w="1784"/>
      </w:tblGrid>
      <w:tr w:rsidR="000B3C5C" w14:paraId="59031CD0" w14:textId="77777777">
        <w:trPr>
          <w:trHeight w:val="1615"/>
        </w:trPr>
        <w:tc>
          <w:tcPr>
            <w:tcW w:w="1995" w:type="dxa"/>
            <w:tcBorders>
              <w:top w:val="single" w:sz="4" w:space="0" w:color="000000"/>
              <w:left w:val="nil"/>
              <w:bottom w:val="single" w:sz="4" w:space="0" w:color="000000"/>
              <w:right w:val="nil"/>
            </w:tcBorders>
          </w:tcPr>
          <w:p w14:paraId="7906ED8F" w14:textId="77777777" w:rsidR="000B3C5C" w:rsidRDefault="00ED192D">
            <w:pPr>
              <w:spacing w:after="0" w:line="259" w:lineRule="auto"/>
              <w:ind w:left="108" w:firstLine="0"/>
            </w:pPr>
            <w:r>
              <w:rPr>
                <w:rFonts w:ascii="Arial" w:eastAsia="Arial" w:hAnsi="Arial" w:cs="Arial"/>
                <w:sz w:val="20"/>
              </w:rPr>
              <w:t xml:space="preserve">Hematology </w:t>
            </w:r>
          </w:p>
        </w:tc>
        <w:tc>
          <w:tcPr>
            <w:tcW w:w="1815" w:type="dxa"/>
            <w:tcBorders>
              <w:top w:val="single" w:sz="4" w:space="0" w:color="000000"/>
              <w:left w:val="nil"/>
              <w:bottom w:val="single" w:sz="4" w:space="0" w:color="000000"/>
              <w:right w:val="nil"/>
            </w:tcBorders>
          </w:tcPr>
          <w:p w14:paraId="19D48548" w14:textId="77777777" w:rsidR="000B3C5C" w:rsidRDefault="00ED192D">
            <w:pPr>
              <w:spacing w:after="0" w:line="259" w:lineRule="auto"/>
              <w:ind w:left="0" w:firstLine="0"/>
            </w:pPr>
            <w:r>
              <w:rPr>
                <w:rFonts w:ascii="Arial" w:eastAsia="Arial" w:hAnsi="Arial" w:cs="Arial"/>
                <w:sz w:val="20"/>
              </w:rPr>
              <w:t>Platelet count</w:t>
            </w:r>
            <w:r>
              <w:rPr>
                <w:rFonts w:ascii="Arial" w:eastAsia="Arial" w:hAnsi="Arial" w:cs="Arial"/>
                <w:i/>
                <w:sz w:val="20"/>
              </w:rPr>
              <w:t xml:space="preserve"> </w:t>
            </w:r>
            <w:r>
              <w:rPr>
                <w:rFonts w:ascii="Arial" w:eastAsia="Arial" w:hAnsi="Arial" w:cs="Arial"/>
                <w:sz w:val="20"/>
              </w:rPr>
              <w:t xml:space="preserve"> </w:t>
            </w:r>
          </w:p>
          <w:p w14:paraId="0909D814" w14:textId="77777777" w:rsidR="000B3C5C" w:rsidRDefault="00ED192D">
            <w:pPr>
              <w:spacing w:after="0" w:line="259" w:lineRule="auto"/>
              <w:ind w:left="0" w:right="-169" w:firstLine="0"/>
            </w:pPr>
            <w:r>
              <w:rPr>
                <w:rFonts w:ascii="Arial" w:eastAsia="Arial" w:hAnsi="Arial" w:cs="Arial"/>
                <w:sz w:val="20"/>
              </w:rPr>
              <w:t>Red blood cell (RBC) count</w:t>
            </w:r>
          </w:p>
          <w:p w14:paraId="59B31E3A" w14:textId="77777777" w:rsidR="000B3C5C" w:rsidRDefault="00ED192D">
            <w:pPr>
              <w:spacing w:after="0" w:line="259" w:lineRule="auto"/>
              <w:ind w:left="0" w:firstLine="0"/>
            </w:pPr>
            <w:r>
              <w:rPr>
                <w:rFonts w:ascii="Arial" w:eastAsia="Arial" w:hAnsi="Arial" w:cs="Arial"/>
                <w:sz w:val="20"/>
              </w:rPr>
              <w:t xml:space="preserve">Hemoglobin </w:t>
            </w:r>
          </w:p>
          <w:p w14:paraId="479B824B" w14:textId="77777777" w:rsidR="000B3C5C" w:rsidRDefault="00ED192D">
            <w:pPr>
              <w:spacing w:after="0" w:line="259" w:lineRule="auto"/>
              <w:ind w:left="0" w:firstLine="0"/>
            </w:pPr>
            <w:r>
              <w:rPr>
                <w:rFonts w:ascii="Arial" w:eastAsia="Arial" w:hAnsi="Arial" w:cs="Arial"/>
                <w:sz w:val="20"/>
              </w:rPr>
              <w:t xml:space="preserve">Hematocrit </w:t>
            </w:r>
          </w:p>
        </w:tc>
        <w:tc>
          <w:tcPr>
            <w:tcW w:w="1795" w:type="dxa"/>
            <w:tcBorders>
              <w:top w:val="single" w:sz="4" w:space="0" w:color="000000"/>
              <w:left w:val="nil"/>
              <w:bottom w:val="single" w:sz="4" w:space="0" w:color="000000"/>
              <w:right w:val="nil"/>
            </w:tcBorders>
          </w:tcPr>
          <w:p w14:paraId="33E24E50" w14:textId="77777777" w:rsidR="000B3C5C" w:rsidRDefault="00ED192D">
            <w:pPr>
              <w:spacing w:after="0" w:line="259" w:lineRule="auto"/>
              <w:ind w:left="612" w:firstLine="0"/>
            </w:pPr>
            <w:r>
              <w:rPr>
                <w:rFonts w:ascii="Arial" w:eastAsia="Arial" w:hAnsi="Arial" w:cs="Arial"/>
                <w:sz w:val="20"/>
              </w:rPr>
              <w:t xml:space="preserve"> </w:t>
            </w:r>
          </w:p>
          <w:p w14:paraId="0BE32F74" w14:textId="77777777" w:rsidR="000B3C5C" w:rsidRDefault="00ED192D">
            <w:pPr>
              <w:spacing w:after="0" w:line="259" w:lineRule="auto"/>
              <w:ind w:left="173" w:firstLine="0"/>
            </w:pPr>
            <w:r>
              <w:rPr>
                <w:rFonts w:ascii="Arial" w:eastAsia="Arial" w:hAnsi="Arial" w:cs="Arial"/>
                <w:sz w:val="20"/>
              </w:rPr>
              <w:t xml:space="preserve"> </w:t>
            </w:r>
          </w:p>
        </w:tc>
        <w:tc>
          <w:tcPr>
            <w:tcW w:w="1237" w:type="dxa"/>
            <w:tcBorders>
              <w:top w:val="single" w:sz="4" w:space="0" w:color="000000"/>
              <w:left w:val="nil"/>
              <w:bottom w:val="single" w:sz="4" w:space="0" w:color="000000"/>
              <w:right w:val="nil"/>
            </w:tcBorders>
          </w:tcPr>
          <w:p w14:paraId="25A02732" w14:textId="77777777" w:rsidR="000B3C5C" w:rsidRDefault="000B3C5C">
            <w:pPr>
              <w:spacing w:after="160" w:line="259" w:lineRule="auto"/>
              <w:ind w:left="0" w:firstLine="0"/>
            </w:pPr>
          </w:p>
        </w:tc>
        <w:tc>
          <w:tcPr>
            <w:tcW w:w="2612" w:type="dxa"/>
            <w:gridSpan w:val="2"/>
            <w:tcBorders>
              <w:top w:val="single" w:sz="4" w:space="0" w:color="000000"/>
              <w:left w:val="nil"/>
              <w:bottom w:val="single" w:sz="4" w:space="0" w:color="000000"/>
              <w:right w:val="nil"/>
            </w:tcBorders>
          </w:tcPr>
          <w:p w14:paraId="0C0C6988" w14:textId="77777777" w:rsidR="000B3C5C" w:rsidRDefault="00ED192D">
            <w:pPr>
              <w:spacing w:after="0" w:line="241" w:lineRule="auto"/>
              <w:ind w:left="0" w:right="133" w:firstLine="0"/>
            </w:pPr>
            <w:r>
              <w:rPr>
                <w:rFonts w:ascii="Arial" w:eastAsia="Arial" w:hAnsi="Arial" w:cs="Arial"/>
                <w:sz w:val="20"/>
                <w:u w:val="single" w:color="000000"/>
              </w:rPr>
              <w:t>White blood cell (WBC) count with</w:t>
            </w:r>
            <w:r>
              <w:rPr>
                <w:rFonts w:ascii="Arial" w:eastAsia="Arial" w:hAnsi="Arial" w:cs="Arial"/>
                <w:sz w:val="20"/>
              </w:rPr>
              <w:t xml:space="preserve"> </w:t>
            </w:r>
            <w:r>
              <w:rPr>
                <w:rFonts w:ascii="Arial" w:eastAsia="Arial" w:hAnsi="Arial" w:cs="Arial"/>
                <w:sz w:val="20"/>
                <w:u w:val="single" w:color="000000"/>
              </w:rPr>
              <w:t>differential</w:t>
            </w:r>
            <w:r>
              <w:rPr>
                <w:rFonts w:ascii="Arial" w:eastAsia="Arial" w:hAnsi="Arial" w:cs="Arial"/>
                <w:sz w:val="20"/>
              </w:rPr>
              <w:t xml:space="preserve">: Neutrophils </w:t>
            </w:r>
          </w:p>
          <w:p w14:paraId="53393B01" w14:textId="77777777" w:rsidR="000B3C5C" w:rsidRDefault="00ED192D">
            <w:pPr>
              <w:spacing w:after="0" w:line="259" w:lineRule="auto"/>
              <w:ind w:left="0" w:firstLine="0"/>
            </w:pPr>
            <w:r>
              <w:rPr>
                <w:rFonts w:ascii="Arial" w:eastAsia="Arial" w:hAnsi="Arial" w:cs="Arial"/>
                <w:sz w:val="20"/>
              </w:rPr>
              <w:t xml:space="preserve">Lymphocytes </w:t>
            </w:r>
          </w:p>
          <w:p w14:paraId="559982D5" w14:textId="77777777" w:rsidR="000B3C5C" w:rsidRDefault="00ED192D">
            <w:pPr>
              <w:spacing w:after="0" w:line="259" w:lineRule="auto"/>
              <w:ind w:left="0" w:firstLine="0"/>
            </w:pPr>
            <w:r>
              <w:rPr>
                <w:rFonts w:ascii="Arial" w:eastAsia="Arial" w:hAnsi="Arial" w:cs="Arial"/>
                <w:sz w:val="20"/>
              </w:rPr>
              <w:t xml:space="preserve">Monocytes </w:t>
            </w:r>
          </w:p>
          <w:p w14:paraId="7D3D0DAD" w14:textId="77777777" w:rsidR="000B3C5C" w:rsidRDefault="00ED192D">
            <w:pPr>
              <w:spacing w:after="0" w:line="259" w:lineRule="auto"/>
              <w:ind w:left="0" w:firstLine="0"/>
            </w:pPr>
            <w:r>
              <w:rPr>
                <w:rFonts w:ascii="Arial" w:eastAsia="Arial" w:hAnsi="Arial" w:cs="Arial"/>
                <w:sz w:val="20"/>
              </w:rPr>
              <w:t xml:space="preserve">Eosinophils </w:t>
            </w:r>
          </w:p>
          <w:p w14:paraId="2A42A00F" w14:textId="77777777" w:rsidR="000B3C5C" w:rsidRDefault="00ED192D">
            <w:pPr>
              <w:spacing w:after="0" w:line="259" w:lineRule="auto"/>
              <w:ind w:left="0" w:firstLine="0"/>
            </w:pPr>
            <w:r>
              <w:rPr>
                <w:rFonts w:ascii="Arial" w:eastAsia="Arial" w:hAnsi="Arial" w:cs="Arial"/>
                <w:sz w:val="20"/>
              </w:rPr>
              <w:t xml:space="preserve">Basophils </w:t>
            </w:r>
          </w:p>
        </w:tc>
      </w:tr>
      <w:tr w:rsidR="000B3C5C" w14:paraId="1217BD50" w14:textId="77777777">
        <w:trPr>
          <w:trHeight w:val="1173"/>
        </w:trPr>
        <w:tc>
          <w:tcPr>
            <w:tcW w:w="1995" w:type="dxa"/>
            <w:tcBorders>
              <w:top w:val="single" w:sz="4" w:space="0" w:color="000000"/>
              <w:left w:val="nil"/>
              <w:bottom w:val="nil"/>
              <w:right w:val="nil"/>
            </w:tcBorders>
          </w:tcPr>
          <w:p w14:paraId="67754EB2" w14:textId="77777777" w:rsidR="000B3C5C" w:rsidRDefault="00ED192D">
            <w:pPr>
              <w:spacing w:after="0" w:line="259" w:lineRule="auto"/>
              <w:ind w:left="108" w:firstLine="0"/>
            </w:pPr>
            <w:r>
              <w:rPr>
                <w:rFonts w:ascii="Arial" w:eastAsia="Arial" w:hAnsi="Arial" w:cs="Arial"/>
                <w:sz w:val="20"/>
              </w:rPr>
              <w:t xml:space="preserve">Clinical chemistry </w:t>
            </w:r>
          </w:p>
        </w:tc>
        <w:tc>
          <w:tcPr>
            <w:tcW w:w="1815" w:type="dxa"/>
            <w:tcBorders>
              <w:top w:val="single" w:sz="4" w:space="0" w:color="000000"/>
              <w:left w:val="nil"/>
              <w:bottom w:val="nil"/>
              <w:right w:val="nil"/>
            </w:tcBorders>
          </w:tcPr>
          <w:p w14:paraId="1A58FB87" w14:textId="77777777" w:rsidR="000B3C5C" w:rsidRDefault="00ED192D">
            <w:pPr>
              <w:spacing w:after="0" w:line="259" w:lineRule="auto"/>
              <w:ind w:left="0" w:firstLine="0"/>
            </w:pPr>
            <w:r>
              <w:rPr>
                <w:rFonts w:ascii="Arial" w:eastAsia="Arial" w:hAnsi="Arial" w:cs="Arial"/>
                <w:sz w:val="20"/>
              </w:rPr>
              <w:t xml:space="preserve">Urea or  </w:t>
            </w:r>
          </w:p>
          <w:p w14:paraId="62B61CFE" w14:textId="77777777" w:rsidR="000B3C5C" w:rsidRDefault="00ED192D">
            <w:pPr>
              <w:spacing w:after="0" w:line="259" w:lineRule="auto"/>
              <w:ind w:left="0" w:firstLine="0"/>
            </w:pPr>
            <w:r>
              <w:rPr>
                <w:rFonts w:ascii="Arial" w:eastAsia="Arial" w:hAnsi="Arial" w:cs="Arial"/>
                <w:sz w:val="20"/>
              </w:rPr>
              <w:t xml:space="preserve">Blood urea nitrogen </w:t>
            </w:r>
          </w:p>
          <w:p w14:paraId="7F8329E4" w14:textId="77777777" w:rsidR="000B3C5C" w:rsidRDefault="00ED192D">
            <w:pPr>
              <w:spacing w:after="0" w:line="259" w:lineRule="auto"/>
              <w:ind w:left="0" w:firstLine="0"/>
            </w:pPr>
            <w:r>
              <w:rPr>
                <w:rFonts w:ascii="Arial" w:eastAsia="Arial" w:hAnsi="Arial" w:cs="Arial"/>
                <w:sz w:val="20"/>
              </w:rPr>
              <w:t xml:space="preserve">(BUN) </w:t>
            </w:r>
          </w:p>
          <w:p w14:paraId="65EB0610" w14:textId="77777777" w:rsidR="000B3C5C" w:rsidRDefault="00ED192D">
            <w:pPr>
              <w:spacing w:after="0" w:line="259" w:lineRule="auto"/>
              <w:ind w:left="0" w:firstLine="0"/>
            </w:pPr>
            <w:r>
              <w:rPr>
                <w:rFonts w:ascii="Arial" w:eastAsia="Arial" w:hAnsi="Arial" w:cs="Arial"/>
                <w:sz w:val="20"/>
              </w:rPr>
              <w:t xml:space="preserve">Uric acid </w:t>
            </w:r>
          </w:p>
        </w:tc>
        <w:tc>
          <w:tcPr>
            <w:tcW w:w="1795" w:type="dxa"/>
            <w:tcBorders>
              <w:top w:val="single" w:sz="4" w:space="0" w:color="000000"/>
              <w:left w:val="nil"/>
              <w:bottom w:val="nil"/>
              <w:right w:val="nil"/>
            </w:tcBorders>
          </w:tcPr>
          <w:p w14:paraId="045485C8" w14:textId="77777777" w:rsidR="000B3C5C" w:rsidRDefault="00ED192D">
            <w:pPr>
              <w:spacing w:after="0" w:line="259" w:lineRule="auto"/>
              <w:ind w:left="0" w:firstLine="0"/>
            </w:pPr>
            <w:r>
              <w:rPr>
                <w:rFonts w:ascii="Arial" w:eastAsia="Arial" w:hAnsi="Arial" w:cs="Arial"/>
                <w:sz w:val="20"/>
              </w:rPr>
              <w:t xml:space="preserve">Potassium </w:t>
            </w:r>
          </w:p>
          <w:p w14:paraId="399D07B3" w14:textId="77777777" w:rsidR="000B3C5C" w:rsidRDefault="00ED192D">
            <w:pPr>
              <w:spacing w:after="0" w:line="259" w:lineRule="auto"/>
              <w:ind w:left="0" w:firstLine="0"/>
            </w:pPr>
            <w:r>
              <w:rPr>
                <w:rFonts w:ascii="Arial" w:eastAsia="Arial" w:hAnsi="Arial" w:cs="Arial"/>
                <w:sz w:val="20"/>
              </w:rPr>
              <w:t xml:space="preserve">Chloride </w:t>
            </w:r>
          </w:p>
          <w:p w14:paraId="583D20CA" w14:textId="77777777" w:rsidR="000B3C5C" w:rsidRDefault="00ED192D">
            <w:pPr>
              <w:spacing w:after="0" w:line="259" w:lineRule="auto"/>
              <w:ind w:left="0" w:firstLine="0"/>
            </w:pPr>
            <w:r>
              <w:rPr>
                <w:rFonts w:ascii="Arial" w:eastAsia="Arial" w:hAnsi="Arial" w:cs="Arial"/>
                <w:sz w:val="20"/>
              </w:rPr>
              <w:t xml:space="preserve">Bicarbonate/carbon  dioxide </w:t>
            </w:r>
          </w:p>
        </w:tc>
        <w:tc>
          <w:tcPr>
            <w:tcW w:w="2065" w:type="dxa"/>
            <w:gridSpan w:val="2"/>
            <w:tcBorders>
              <w:top w:val="single" w:sz="4" w:space="0" w:color="000000"/>
              <w:left w:val="nil"/>
              <w:bottom w:val="nil"/>
              <w:right w:val="nil"/>
            </w:tcBorders>
          </w:tcPr>
          <w:p w14:paraId="3C1FB927" w14:textId="77777777" w:rsidR="000B3C5C" w:rsidRDefault="00ED192D">
            <w:pPr>
              <w:spacing w:after="0" w:line="259" w:lineRule="auto"/>
              <w:ind w:left="0" w:firstLine="0"/>
            </w:pPr>
            <w:r>
              <w:rPr>
                <w:rFonts w:ascii="Arial" w:eastAsia="Arial" w:hAnsi="Arial" w:cs="Arial"/>
                <w:sz w:val="20"/>
              </w:rPr>
              <w:t xml:space="preserve">Aspartate </w:t>
            </w:r>
          </w:p>
          <w:p w14:paraId="280EE9DB" w14:textId="77777777" w:rsidR="000B3C5C" w:rsidRDefault="00ED192D">
            <w:pPr>
              <w:spacing w:after="3" w:line="239" w:lineRule="auto"/>
              <w:ind w:left="0" w:firstLine="0"/>
            </w:pPr>
            <w:r>
              <w:rPr>
                <w:rFonts w:ascii="Arial" w:eastAsia="Arial" w:hAnsi="Arial" w:cs="Arial"/>
                <w:sz w:val="20"/>
              </w:rPr>
              <w:t>aminotransferase (AST)/ Serum glutamic-</w:t>
            </w:r>
          </w:p>
          <w:p w14:paraId="5F2E447C" w14:textId="77777777" w:rsidR="000B3C5C" w:rsidRDefault="00ED192D">
            <w:pPr>
              <w:spacing w:after="0" w:line="259" w:lineRule="auto"/>
              <w:ind w:left="0" w:firstLine="0"/>
            </w:pPr>
            <w:r>
              <w:rPr>
                <w:rFonts w:ascii="Arial" w:eastAsia="Arial" w:hAnsi="Arial" w:cs="Arial"/>
                <w:sz w:val="20"/>
              </w:rPr>
              <w:t xml:space="preserve">oxaloacetic transaminase </w:t>
            </w:r>
          </w:p>
          <w:p w14:paraId="0D061F4B" w14:textId="77777777" w:rsidR="000B3C5C" w:rsidRDefault="00ED192D">
            <w:pPr>
              <w:spacing w:after="0" w:line="259" w:lineRule="auto"/>
              <w:ind w:left="0" w:firstLine="0"/>
            </w:pPr>
            <w:r>
              <w:rPr>
                <w:rFonts w:ascii="Arial" w:eastAsia="Arial" w:hAnsi="Arial" w:cs="Arial"/>
                <w:sz w:val="20"/>
              </w:rPr>
              <w:t xml:space="preserve">(SGOT) </w:t>
            </w:r>
          </w:p>
        </w:tc>
        <w:tc>
          <w:tcPr>
            <w:tcW w:w="1784" w:type="dxa"/>
            <w:tcBorders>
              <w:top w:val="single" w:sz="4" w:space="0" w:color="000000"/>
              <w:left w:val="nil"/>
              <w:bottom w:val="nil"/>
              <w:right w:val="nil"/>
            </w:tcBorders>
          </w:tcPr>
          <w:p w14:paraId="3EEB3658" w14:textId="77777777" w:rsidR="000B3C5C" w:rsidRDefault="00ED192D">
            <w:pPr>
              <w:spacing w:after="0" w:line="259" w:lineRule="auto"/>
              <w:ind w:left="0" w:firstLine="0"/>
            </w:pPr>
            <w:r>
              <w:rPr>
                <w:rFonts w:ascii="Arial" w:eastAsia="Arial" w:hAnsi="Arial" w:cs="Arial"/>
                <w:sz w:val="20"/>
              </w:rPr>
              <w:t xml:space="preserve">Total and direct </w:t>
            </w:r>
          </w:p>
          <w:p w14:paraId="6090AD5A" w14:textId="77777777" w:rsidR="000B3C5C" w:rsidRDefault="00ED192D">
            <w:pPr>
              <w:spacing w:after="0" w:line="259" w:lineRule="auto"/>
              <w:ind w:left="0" w:firstLine="0"/>
            </w:pPr>
            <w:r>
              <w:rPr>
                <w:rFonts w:ascii="Arial" w:eastAsia="Arial" w:hAnsi="Arial" w:cs="Arial"/>
                <w:sz w:val="20"/>
              </w:rPr>
              <w:t xml:space="preserve">bilirubin </w:t>
            </w:r>
          </w:p>
          <w:p w14:paraId="2957384D" w14:textId="77777777" w:rsidR="000B3C5C" w:rsidRDefault="00ED192D">
            <w:pPr>
              <w:spacing w:after="0" w:line="259" w:lineRule="auto"/>
              <w:ind w:left="0" w:firstLine="0"/>
            </w:pPr>
            <w:r>
              <w:rPr>
                <w:rFonts w:ascii="Arial" w:eastAsia="Arial" w:hAnsi="Arial" w:cs="Arial"/>
                <w:sz w:val="20"/>
              </w:rPr>
              <w:t xml:space="preserve">LDH </w:t>
            </w:r>
          </w:p>
        </w:tc>
      </w:tr>
      <w:tr w:rsidR="000B3C5C" w14:paraId="24E4F6AF" w14:textId="77777777">
        <w:trPr>
          <w:trHeight w:val="1836"/>
        </w:trPr>
        <w:tc>
          <w:tcPr>
            <w:tcW w:w="1995" w:type="dxa"/>
            <w:tcBorders>
              <w:top w:val="nil"/>
              <w:left w:val="nil"/>
              <w:bottom w:val="nil"/>
              <w:right w:val="nil"/>
            </w:tcBorders>
          </w:tcPr>
          <w:p w14:paraId="33C669A6" w14:textId="77777777" w:rsidR="000B3C5C" w:rsidRDefault="00ED192D">
            <w:pPr>
              <w:spacing w:after="0" w:line="259" w:lineRule="auto"/>
              <w:ind w:left="108" w:firstLine="0"/>
            </w:pPr>
            <w:r>
              <w:rPr>
                <w:rFonts w:ascii="Arial" w:eastAsia="Arial" w:hAnsi="Arial" w:cs="Arial"/>
                <w:sz w:val="20"/>
              </w:rPr>
              <w:t xml:space="preserve"> </w:t>
            </w:r>
          </w:p>
        </w:tc>
        <w:tc>
          <w:tcPr>
            <w:tcW w:w="1815" w:type="dxa"/>
            <w:tcBorders>
              <w:top w:val="nil"/>
              <w:left w:val="nil"/>
              <w:bottom w:val="nil"/>
              <w:right w:val="nil"/>
            </w:tcBorders>
          </w:tcPr>
          <w:p w14:paraId="5DCFD900" w14:textId="77777777" w:rsidR="000B3C5C" w:rsidRDefault="00ED192D">
            <w:pPr>
              <w:spacing w:after="0" w:line="259" w:lineRule="auto"/>
              <w:ind w:left="0" w:firstLine="0"/>
            </w:pPr>
            <w:r>
              <w:rPr>
                <w:rFonts w:ascii="Arial" w:eastAsia="Arial" w:hAnsi="Arial" w:cs="Arial"/>
                <w:sz w:val="20"/>
              </w:rPr>
              <w:t xml:space="preserve">Creatinine </w:t>
            </w:r>
          </w:p>
          <w:p w14:paraId="09C4AAB9" w14:textId="77777777" w:rsidR="000B3C5C" w:rsidRDefault="00ED192D">
            <w:pPr>
              <w:spacing w:after="0" w:line="259" w:lineRule="auto"/>
              <w:ind w:left="0" w:firstLine="0"/>
            </w:pPr>
            <w:r>
              <w:rPr>
                <w:rFonts w:ascii="Arial" w:eastAsia="Arial" w:hAnsi="Arial" w:cs="Arial"/>
                <w:sz w:val="20"/>
              </w:rPr>
              <w:t xml:space="preserve">eGFR (MDRD) </w:t>
            </w:r>
          </w:p>
        </w:tc>
        <w:tc>
          <w:tcPr>
            <w:tcW w:w="1795" w:type="dxa"/>
            <w:tcBorders>
              <w:top w:val="nil"/>
              <w:left w:val="nil"/>
              <w:bottom w:val="nil"/>
              <w:right w:val="nil"/>
            </w:tcBorders>
          </w:tcPr>
          <w:p w14:paraId="58D626E4" w14:textId="77777777" w:rsidR="000B3C5C" w:rsidRDefault="00ED192D">
            <w:pPr>
              <w:spacing w:after="0" w:line="259" w:lineRule="auto"/>
              <w:ind w:left="0" w:firstLine="0"/>
            </w:pPr>
            <w:r>
              <w:rPr>
                <w:rFonts w:ascii="Arial" w:eastAsia="Arial" w:hAnsi="Arial" w:cs="Arial"/>
                <w:sz w:val="20"/>
              </w:rPr>
              <w:t xml:space="preserve">Sodium </w:t>
            </w:r>
          </w:p>
          <w:p w14:paraId="2A9ECEB3" w14:textId="77777777" w:rsidR="000B3C5C" w:rsidRDefault="00ED192D">
            <w:pPr>
              <w:spacing w:after="0" w:line="259" w:lineRule="auto"/>
              <w:ind w:left="0" w:firstLine="0"/>
            </w:pPr>
            <w:r>
              <w:rPr>
                <w:rFonts w:ascii="Arial" w:eastAsia="Arial" w:hAnsi="Arial" w:cs="Arial"/>
                <w:sz w:val="20"/>
              </w:rPr>
              <w:t xml:space="preserve">Magnesium </w:t>
            </w:r>
          </w:p>
          <w:p w14:paraId="296C62A6" w14:textId="77777777" w:rsidR="000B3C5C" w:rsidRDefault="00ED192D">
            <w:pPr>
              <w:spacing w:after="0" w:line="259" w:lineRule="auto"/>
              <w:ind w:left="0" w:firstLine="0"/>
            </w:pPr>
            <w:r>
              <w:rPr>
                <w:rFonts w:ascii="Arial" w:eastAsia="Arial" w:hAnsi="Arial" w:cs="Arial"/>
                <w:sz w:val="20"/>
              </w:rPr>
              <w:t xml:space="preserve">Phosphate  </w:t>
            </w:r>
          </w:p>
        </w:tc>
        <w:tc>
          <w:tcPr>
            <w:tcW w:w="2065" w:type="dxa"/>
            <w:gridSpan w:val="2"/>
            <w:tcBorders>
              <w:top w:val="nil"/>
              <w:left w:val="nil"/>
              <w:bottom w:val="nil"/>
              <w:right w:val="nil"/>
            </w:tcBorders>
          </w:tcPr>
          <w:p w14:paraId="3E1147EE" w14:textId="77777777" w:rsidR="000B3C5C" w:rsidRDefault="00ED192D">
            <w:pPr>
              <w:spacing w:after="0" w:line="259" w:lineRule="auto"/>
              <w:ind w:left="24" w:firstLine="0"/>
            </w:pPr>
            <w:r>
              <w:rPr>
                <w:rFonts w:ascii="Arial" w:eastAsia="Arial" w:hAnsi="Arial" w:cs="Arial"/>
                <w:sz w:val="20"/>
              </w:rPr>
              <w:t xml:space="preserve">Alanine </w:t>
            </w:r>
          </w:p>
          <w:p w14:paraId="38015632" w14:textId="77777777" w:rsidR="000B3C5C" w:rsidRDefault="00ED192D">
            <w:pPr>
              <w:spacing w:after="1" w:line="240" w:lineRule="auto"/>
              <w:ind w:left="24" w:right="272" w:firstLine="0"/>
            </w:pPr>
            <w:r>
              <w:rPr>
                <w:rFonts w:ascii="Arial" w:eastAsia="Arial" w:hAnsi="Arial" w:cs="Arial"/>
                <w:sz w:val="20"/>
              </w:rPr>
              <w:t xml:space="preserve">aminotransferase  (ALT)/ Serum glutamicpyruvic transaminase </w:t>
            </w:r>
          </w:p>
          <w:p w14:paraId="265482C0" w14:textId="77777777" w:rsidR="000B3C5C" w:rsidRDefault="00ED192D">
            <w:pPr>
              <w:spacing w:after="0" w:line="259" w:lineRule="auto"/>
              <w:ind w:left="24" w:firstLine="0"/>
            </w:pPr>
            <w:r>
              <w:rPr>
                <w:rFonts w:ascii="Arial" w:eastAsia="Arial" w:hAnsi="Arial" w:cs="Arial"/>
                <w:sz w:val="20"/>
              </w:rPr>
              <w:t xml:space="preserve">(SGPT) </w:t>
            </w:r>
          </w:p>
        </w:tc>
        <w:tc>
          <w:tcPr>
            <w:tcW w:w="1784" w:type="dxa"/>
            <w:tcBorders>
              <w:top w:val="nil"/>
              <w:left w:val="nil"/>
              <w:bottom w:val="nil"/>
              <w:right w:val="nil"/>
            </w:tcBorders>
          </w:tcPr>
          <w:p w14:paraId="1328B746" w14:textId="77777777" w:rsidR="000B3C5C" w:rsidRDefault="00ED192D">
            <w:pPr>
              <w:spacing w:after="0" w:line="259" w:lineRule="auto"/>
              <w:ind w:left="0" w:firstLine="0"/>
            </w:pPr>
            <w:r>
              <w:rPr>
                <w:rFonts w:ascii="Arial" w:eastAsia="Arial" w:hAnsi="Arial" w:cs="Arial"/>
                <w:sz w:val="20"/>
              </w:rPr>
              <w:t xml:space="preserve">Total protein </w:t>
            </w:r>
          </w:p>
          <w:p w14:paraId="1C0BC2C3" w14:textId="77777777" w:rsidR="000B3C5C" w:rsidRDefault="00ED192D">
            <w:pPr>
              <w:spacing w:after="0" w:line="259" w:lineRule="auto"/>
              <w:ind w:left="0" w:firstLine="0"/>
            </w:pPr>
            <w:r>
              <w:rPr>
                <w:rFonts w:ascii="Arial" w:eastAsia="Arial" w:hAnsi="Arial" w:cs="Arial"/>
                <w:sz w:val="20"/>
              </w:rPr>
              <w:t xml:space="preserve">Albumin </w:t>
            </w:r>
          </w:p>
          <w:p w14:paraId="0A3B6D83" w14:textId="77777777" w:rsidR="000B3C5C" w:rsidRDefault="00ED192D">
            <w:pPr>
              <w:spacing w:after="0" w:line="259" w:lineRule="auto"/>
              <w:ind w:left="0" w:right="19" w:firstLine="0"/>
            </w:pPr>
            <w:r>
              <w:rPr>
                <w:rFonts w:ascii="Arial" w:eastAsia="Arial" w:hAnsi="Arial" w:cs="Arial"/>
                <w:sz w:val="20"/>
              </w:rPr>
              <w:t>Thyroid-stimulating hormone (TSH)</w:t>
            </w:r>
            <w:r>
              <w:rPr>
                <w:rFonts w:ascii="Arial" w:eastAsia="Arial" w:hAnsi="Arial" w:cs="Arial"/>
                <w:sz w:val="20"/>
              </w:rPr>
              <w:t>, free T4, free T3/total T3 (screening, C1D1, every 4</w:t>
            </w:r>
            <w:r>
              <w:rPr>
                <w:rFonts w:ascii="Arial" w:eastAsia="Arial" w:hAnsi="Arial" w:cs="Arial"/>
                <w:sz w:val="20"/>
                <w:vertAlign w:val="superscript"/>
              </w:rPr>
              <w:t>th</w:t>
            </w:r>
            <w:r>
              <w:rPr>
                <w:rFonts w:ascii="Arial" w:eastAsia="Arial" w:hAnsi="Arial" w:cs="Arial"/>
                <w:sz w:val="20"/>
              </w:rPr>
              <w:t xml:space="preserve"> cycle thereafter)   </w:t>
            </w:r>
          </w:p>
        </w:tc>
      </w:tr>
      <w:tr w:rsidR="000B3C5C" w14:paraId="4CC369AB" w14:textId="77777777">
        <w:trPr>
          <w:trHeight w:val="215"/>
        </w:trPr>
        <w:tc>
          <w:tcPr>
            <w:tcW w:w="1995" w:type="dxa"/>
            <w:tcBorders>
              <w:top w:val="nil"/>
              <w:left w:val="nil"/>
              <w:bottom w:val="single" w:sz="4" w:space="0" w:color="000000"/>
              <w:right w:val="nil"/>
            </w:tcBorders>
          </w:tcPr>
          <w:p w14:paraId="7ED864F9" w14:textId="77777777" w:rsidR="000B3C5C" w:rsidRDefault="00ED192D">
            <w:pPr>
              <w:spacing w:after="0" w:line="259" w:lineRule="auto"/>
              <w:ind w:left="108" w:firstLine="0"/>
            </w:pPr>
            <w:r>
              <w:rPr>
                <w:rFonts w:ascii="Arial" w:eastAsia="Arial" w:hAnsi="Arial" w:cs="Arial"/>
                <w:sz w:val="20"/>
              </w:rPr>
              <w:t xml:space="preserve"> </w:t>
            </w:r>
          </w:p>
        </w:tc>
        <w:tc>
          <w:tcPr>
            <w:tcW w:w="1815" w:type="dxa"/>
            <w:tcBorders>
              <w:top w:val="nil"/>
              <w:left w:val="nil"/>
              <w:bottom w:val="single" w:sz="4" w:space="0" w:color="000000"/>
              <w:right w:val="nil"/>
            </w:tcBorders>
          </w:tcPr>
          <w:p w14:paraId="4EA696A6" w14:textId="77777777" w:rsidR="000B3C5C" w:rsidRDefault="00ED192D">
            <w:pPr>
              <w:spacing w:after="0" w:line="259" w:lineRule="auto"/>
              <w:ind w:left="0" w:firstLine="0"/>
            </w:pPr>
            <w:r>
              <w:rPr>
                <w:rFonts w:ascii="Arial" w:eastAsia="Arial" w:hAnsi="Arial" w:cs="Arial"/>
                <w:sz w:val="20"/>
              </w:rPr>
              <w:t xml:space="preserve">Glucose fasting </w:t>
            </w:r>
          </w:p>
        </w:tc>
        <w:tc>
          <w:tcPr>
            <w:tcW w:w="1795" w:type="dxa"/>
            <w:tcBorders>
              <w:top w:val="nil"/>
              <w:left w:val="nil"/>
              <w:bottom w:val="single" w:sz="4" w:space="0" w:color="000000"/>
              <w:right w:val="nil"/>
            </w:tcBorders>
          </w:tcPr>
          <w:p w14:paraId="67EE3140" w14:textId="77777777" w:rsidR="000B3C5C" w:rsidRDefault="00ED192D">
            <w:pPr>
              <w:spacing w:after="0" w:line="259" w:lineRule="auto"/>
              <w:ind w:left="0" w:firstLine="0"/>
            </w:pPr>
            <w:r>
              <w:rPr>
                <w:rFonts w:ascii="Arial" w:eastAsia="Arial" w:hAnsi="Arial" w:cs="Arial"/>
                <w:sz w:val="20"/>
              </w:rPr>
              <w:t xml:space="preserve">Calcium </w:t>
            </w:r>
          </w:p>
        </w:tc>
        <w:tc>
          <w:tcPr>
            <w:tcW w:w="2065" w:type="dxa"/>
            <w:gridSpan w:val="2"/>
            <w:tcBorders>
              <w:top w:val="nil"/>
              <w:left w:val="nil"/>
              <w:bottom w:val="single" w:sz="4" w:space="0" w:color="000000"/>
              <w:right w:val="nil"/>
            </w:tcBorders>
          </w:tcPr>
          <w:p w14:paraId="37E44103" w14:textId="77777777" w:rsidR="000B3C5C" w:rsidRDefault="00ED192D">
            <w:pPr>
              <w:spacing w:after="0" w:line="259" w:lineRule="auto"/>
              <w:ind w:left="24" w:firstLine="0"/>
            </w:pPr>
            <w:r>
              <w:rPr>
                <w:rFonts w:ascii="Arial" w:eastAsia="Arial" w:hAnsi="Arial" w:cs="Arial"/>
                <w:sz w:val="20"/>
              </w:rPr>
              <w:t xml:space="preserve">Alkaline phosphatase </w:t>
            </w:r>
          </w:p>
        </w:tc>
        <w:tc>
          <w:tcPr>
            <w:tcW w:w="1784" w:type="dxa"/>
            <w:tcBorders>
              <w:top w:val="nil"/>
              <w:left w:val="nil"/>
              <w:bottom w:val="single" w:sz="4" w:space="0" w:color="000000"/>
              <w:right w:val="nil"/>
            </w:tcBorders>
          </w:tcPr>
          <w:p w14:paraId="4A9EE4FC" w14:textId="77777777" w:rsidR="000B3C5C" w:rsidRDefault="00ED192D">
            <w:pPr>
              <w:spacing w:after="0" w:line="259" w:lineRule="auto"/>
              <w:ind w:left="0" w:firstLine="0"/>
            </w:pPr>
            <w:r>
              <w:rPr>
                <w:rFonts w:ascii="Arial" w:eastAsia="Arial" w:hAnsi="Arial" w:cs="Arial"/>
                <w:sz w:val="20"/>
              </w:rPr>
              <w:t xml:space="preserve"> </w:t>
            </w:r>
          </w:p>
        </w:tc>
      </w:tr>
      <w:tr w:rsidR="000B3C5C" w14:paraId="69AC0E83" w14:textId="77777777">
        <w:trPr>
          <w:trHeight w:val="1388"/>
        </w:trPr>
        <w:tc>
          <w:tcPr>
            <w:tcW w:w="1995" w:type="dxa"/>
            <w:tcBorders>
              <w:top w:val="single" w:sz="4" w:space="0" w:color="000000"/>
              <w:left w:val="nil"/>
              <w:bottom w:val="single" w:sz="4" w:space="0" w:color="000000"/>
              <w:right w:val="nil"/>
            </w:tcBorders>
          </w:tcPr>
          <w:p w14:paraId="7FB9A1F4" w14:textId="77777777" w:rsidR="000B3C5C" w:rsidRDefault="00ED192D">
            <w:pPr>
              <w:spacing w:after="0" w:line="259" w:lineRule="auto"/>
              <w:ind w:left="108" w:firstLine="0"/>
            </w:pPr>
            <w:r>
              <w:rPr>
                <w:rFonts w:ascii="Arial" w:eastAsia="Arial" w:hAnsi="Arial" w:cs="Arial"/>
                <w:sz w:val="20"/>
              </w:rPr>
              <w:t xml:space="preserve">Routine urinalysis </w:t>
            </w:r>
          </w:p>
        </w:tc>
        <w:tc>
          <w:tcPr>
            <w:tcW w:w="7458" w:type="dxa"/>
            <w:gridSpan w:val="5"/>
            <w:tcBorders>
              <w:top w:val="single" w:sz="4" w:space="0" w:color="000000"/>
              <w:left w:val="nil"/>
              <w:bottom w:val="single" w:sz="4" w:space="0" w:color="000000"/>
              <w:right w:val="nil"/>
            </w:tcBorders>
          </w:tcPr>
          <w:p w14:paraId="0F870FDF" w14:textId="77777777" w:rsidR="000B3C5C" w:rsidRDefault="00ED192D">
            <w:pPr>
              <w:spacing w:after="2" w:line="239" w:lineRule="auto"/>
              <w:ind w:left="0" w:firstLine="0"/>
            </w:pPr>
            <w:r>
              <w:rPr>
                <w:rFonts w:ascii="Arial" w:eastAsia="Arial" w:hAnsi="Arial" w:cs="Arial"/>
                <w:sz w:val="20"/>
              </w:rPr>
              <w:t xml:space="preserve">PH, glucose, protein, blood, leukocyte esterase, </w:t>
            </w:r>
            <w:r>
              <w:rPr>
                <w:rFonts w:ascii="Arial" w:eastAsia="Arial" w:hAnsi="Arial" w:cs="Arial"/>
                <w:sz w:val="20"/>
              </w:rPr>
              <w:t xml:space="preserve">and microscopic examination (if blood or protein is abnormal) at baseline and if required. </w:t>
            </w:r>
          </w:p>
          <w:p w14:paraId="4B7885A6" w14:textId="77777777" w:rsidR="000B3C5C" w:rsidRDefault="00ED192D">
            <w:pPr>
              <w:spacing w:after="0" w:line="259" w:lineRule="auto"/>
              <w:ind w:left="0" w:right="96" w:firstLine="0"/>
            </w:pPr>
            <w:r>
              <w:rPr>
                <w:rFonts w:ascii="Arial" w:eastAsia="Arial" w:hAnsi="Arial" w:cs="Arial"/>
                <w:sz w:val="20"/>
              </w:rPr>
              <w:t xml:space="preserve">Quantitative or semi-quantitative (according to site practice and if such method can provide absolute numeric value of the parameters) analysis is only required at baseline.  Subsequent urinalysis may be performed; in case of positive dipstick results, quantitative or semi-quantitative analysis would be required. </w:t>
            </w:r>
          </w:p>
        </w:tc>
      </w:tr>
      <w:tr w:rsidR="000B3C5C" w14:paraId="3BF1350D" w14:textId="77777777">
        <w:trPr>
          <w:trHeight w:val="1543"/>
        </w:trPr>
        <w:tc>
          <w:tcPr>
            <w:tcW w:w="1995" w:type="dxa"/>
            <w:tcBorders>
              <w:top w:val="single" w:sz="4" w:space="0" w:color="000000"/>
              <w:left w:val="nil"/>
              <w:bottom w:val="single" w:sz="12" w:space="0" w:color="000000"/>
              <w:right w:val="nil"/>
            </w:tcBorders>
          </w:tcPr>
          <w:p w14:paraId="08B5B64C" w14:textId="77777777" w:rsidR="000B3C5C" w:rsidRDefault="00ED192D">
            <w:pPr>
              <w:spacing w:after="0" w:line="259" w:lineRule="auto"/>
              <w:ind w:left="108" w:firstLine="0"/>
            </w:pPr>
            <w:r>
              <w:rPr>
                <w:rFonts w:ascii="Arial" w:eastAsia="Arial" w:hAnsi="Arial" w:cs="Arial"/>
                <w:sz w:val="20"/>
              </w:rPr>
              <w:t xml:space="preserve">Other screening tests </w:t>
            </w:r>
          </w:p>
        </w:tc>
        <w:tc>
          <w:tcPr>
            <w:tcW w:w="7458" w:type="dxa"/>
            <w:gridSpan w:val="5"/>
            <w:tcBorders>
              <w:top w:val="single" w:sz="4" w:space="0" w:color="000000"/>
              <w:left w:val="nil"/>
              <w:bottom w:val="single" w:sz="12" w:space="0" w:color="000000"/>
              <w:right w:val="nil"/>
            </w:tcBorders>
          </w:tcPr>
          <w:p w14:paraId="3E1F3B01" w14:textId="77777777" w:rsidR="000B3C5C" w:rsidRDefault="00ED192D">
            <w:pPr>
              <w:spacing w:after="43" w:line="257" w:lineRule="auto"/>
              <w:ind w:left="0" w:right="238" w:firstLine="0"/>
            </w:pPr>
            <w:r>
              <w:rPr>
                <w:rFonts w:ascii="Arial" w:eastAsia="Arial" w:hAnsi="Arial" w:cs="Arial"/>
                <w:sz w:val="20"/>
              </w:rPr>
              <w:t xml:space="preserve">Serum (at baseline) or urine human </w:t>
            </w:r>
            <w:r>
              <w:rPr>
                <w:rFonts w:ascii="Arial" w:eastAsia="Arial" w:hAnsi="Arial" w:cs="Arial"/>
                <w:sz w:val="20"/>
              </w:rPr>
              <w:t xml:space="preserve">chorionic gonadotropin (hCG) pregnancy test (as needed for women of childbearing potential).(urine pregnancy test on Day 1 of each cycle, EOT visit, and every 30±7 days until 5 months after last dose of study treatment)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Coagulation: prothrombin time or INR and activated PTT. </w:t>
            </w:r>
          </w:p>
          <w:p w14:paraId="4F277472" w14:textId="77777777" w:rsidR="000B3C5C" w:rsidRDefault="00ED192D">
            <w:pPr>
              <w:tabs>
                <w:tab w:val="center" w:pos="408"/>
                <w:tab w:val="center" w:pos="1804"/>
              </w:tabs>
              <w:spacing w:after="0" w:line="25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Blood typing interference test. </w:t>
            </w:r>
          </w:p>
          <w:p w14:paraId="37AB2683" w14:textId="77777777" w:rsidR="000B3C5C" w:rsidRDefault="00ED192D">
            <w:pPr>
              <w:spacing w:after="0" w:line="259" w:lineRule="auto"/>
              <w:ind w:left="0" w:firstLine="0"/>
            </w:pPr>
            <w:r>
              <w:rPr>
                <w:rFonts w:ascii="Arial" w:eastAsia="Arial" w:hAnsi="Arial" w:cs="Arial"/>
                <w:sz w:val="20"/>
              </w:rPr>
              <w:t xml:space="preserve">Serology hepatitis B surface antigen [HBsAg], and hepatitis C virus antibody for HCC only. </w:t>
            </w:r>
          </w:p>
        </w:tc>
      </w:tr>
    </w:tbl>
    <w:p w14:paraId="2F8CF5D0" w14:textId="77777777" w:rsidR="000B3C5C" w:rsidRDefault="00ED192D">
      <w:pPr>
        <w:spacing w:after="21" w:line="259" w:lineRule="auto"/>
        <w:ind w:left="108" w:firstLine="0"/>
      </w:pPr>
      <w:r>
        <w:rPr>
          <w:sz w:val="18"/>
        </w:rPr>
        <w:t>NOTES :</w:t>
      </w:r>
      <w:r>
        <w:rPr>
          <w:rFonts w:ascii="Arial" w:eastAsia="Arial" w:hAnsi="Arial" w:cs="Arial"/>
          <w:sz w:val="18"/>
        </w:rPr>
        <w:t xml:space="preserve"> </w:t>
      </w:r>
    </w:p>
    <w:p w14:paraId="4DBEE7FB" w14:textId="77777777" w:rsidR="000B3C5C" w:rsidRDefault="00ED192D">
      <w:pPr>
        <w:spacing w:after="4" w:line="250" w:lineRule="auto"/>
        <w:ind w:left="118"/>
      </w:pPr>
      <w:r>
        <w:rPr>
          <w:rFonts w:ascii="Arial" w:eastAsia="Arial" w:hAnsi="Arial" w:cs="Arial"/>
          <w:b/>
          <w:sz w:val="18"/>
        </w:rPr>
        <w:t xml:space="preserve">Blood chemistry, hematology: </w:t>
      </w:r>
      <w:r>
        <w:rPr>
          <w:rFonts w:ascii="Arial" w:eastAsia="Arial" w:hAnsi="Arial" w:cs="Arial"/>
          <w:sz w:val="20"/>
        </w:rPr>
        <w:t xml:space="preserve">assessments are not required to be repeated prior to Cycle 1 Day 1 if the screening laboratory assessments were performed within 7 days prior to first IMP administration and met entry criteria. </w:t>
      </w:r>
    </w:p>
    <w:p w14:paraId="2FD66399" w14:textId="77777777" w:rsidR="000B3C5C" w:rsidRDefault="00ED192D">
      <w:pPr>
        <w:spacing w:after="286" w:line="250" w:lineRule="auto"/>
        <w:ind w:left="118"/>
      </w:pPr>
      <w:r>
        <w:rPr>
          <w:rFonts w:ascii="Arial" w:eastAsia="Arial" w:hAnsi="Arial" w:cs="Arial"/>
          <w:sz w:val="20"/>
        </w:rPr>
        <w:t xml:space="preserve">The window for blood chemistry, hematology, and urinalysis is within 1 working day prior to IMP administration. </w:t>
      </w:r>
    </w:p>
    <w:p w14:paraId="4EB7AF23" w14:textId="77777777" w:rsidR="000B3C5C" w:rsidRDefault="00ED192D">
      <w:pPr>
        <w:ind w:left="-3" w:right="14"/>
      </w:pPr>
      <w:r>
        <w:t xml:space="preserve">Investigators must document their review of each laboratory safety report. </w:t>
      </w:r>
    </w:p>
    <w:p w14:paraId="77C6A149" w14:textId="77777777" w:rsidR="000B3C5C" w:rsidRDefault="00ED192D">
      <w:pPr>
        <w:spacing w:after="249" w:line="249" w:lineRule="auto"/>
        <w:ind w:left="664" w:hanging="679"/>
      </w:pPr>
      <w:r>
        <w:rPr>
          <w:rFonts w:ascii="Arial" w:eastAsia="Arial" w:hAnsi="Arial" w:cs="Arial"/>
          <w:b/>
          <w:sz w:val="22"/>
        </w:rPr>
        <w:t xml:space="preserve">10.4 </w:t>
      </w:r>
      <w:r>
        <w:rPr>
          <w:rFonts w:ascii="Arial" w:eastAsia="Arial" w:hAnsi="Arial" w:cs="Arial"/>
          <w:b/>
          <w:sz w:val="22"/>
        </w:rPr>
        <w:tab/>
        <w:t xml:space="preserve">APPENDIX 4: CONTRACEPTIVE GUIDANCE AND COLLECTION OF PREGNANCY INFORMATION  </w:t>
      </w:r>
    </w:p>
    <w:p w14:paraId="1A2669FA" w14:textId="77777777" w:rsidR="000B3C5C" w:rsidRDefault="00ED192D">
      <w:pPr>
        <w:spacing w:line="249" w:lineRule="auto"/>
        <w:ind w:left="-5" w:right="51"/>
      </w:pPr>
      <w:r>
        <w:rPr>
          <w:b/>
        </w:rPr>
        <w:t xml:space="preserve">DEFINITIONS: </w:t>
      </w:r>
    </w:p>
    <w:p w14:paraId="4EBC6A6B" w14:textId="77777777" w:rsidR="000B3C5C" w:rsidRDefault="00ED192D">
      <w:pPr>
        <w:pStyle w:val="Heading2"/>
        <w:spacing w:after="114"/>
        <w:ind w:left="-5" w:right="51"/>
      </w:pPr>
      <w:r>
        <w:t xml:space="preserve">Non reproductive potential </w:t>
      </w:r>
    </w:p>
    <w:p w14:paraId="2D4B7977" w14:textId="77777777" w:rsidR="000B3C5C" w:rsidRDefault="00ED192D">
      <w:pPr>
        <w:spacing w:after="131"/>
        <w:ind w:left="435" w:right="14"/>
      </w:pPr>
      <w:r>
        <w:t>1.</w:t>
      </w:r>
      <w:r>
        <w:rPr>
          <w:rFonts w:ascii="Arial" w:eastAsia="Arial" w:hAnsi="Arial" w:cs="Arial"/>
        </w:rPr>
        <w:t xml:space="preserve"> </w:t>
      </w:r>
      <w:r>
        <w:t xml:space="preserve">Premenopausal female with 1 of the following: </w:t>
      </w:r>
    </w:p>
    <w:p w14:paraId="437FA7F7" w14:textId="77777777" w:rsidR="000B3C5C" w:rsidRDefault="00ED192D">
      <w:pPr>
        <w:numPr>
          <w:ilvl w:val="0"/>
          <w:numId w:val="66"/>
        </w:numPr>
        <w:spacing w:after="88"/>
        <w:ind w:right="14" w:hanging="358"/>
      </w:pPr>
      <w:r>
        <w:t xml:space="preserve">Documented hysterectomy. </w:t>
      </w:r>
    </w:p>
    <w:p w14:paraId="135B917D" w14:textId="77777777" w:rsidR="000B3C5C" w:rsidRDefault="00ED192D">
      <w:pPr>
        <w:numPr>
          <w:ilvl w:val="0"/>
          <w:numId w:val="66"/>
        </w:numPr>
        <w:spacing w:after="88"/>
        <w:ind w:right="14" w:hanging="358"/>
      </w:pPr>
      <w:r>
        <w:t xml:space="preserve">Documented bilateral salpingectomy. </w:t>
      </w:r>
    </w:p>
    <w:p w14:paraId="3AE92B52" w14:textId="77777777" w:rsidR="000B3C5C" w:rsidRDefault="00ED192D">
      <w:pPr>
        <w:numPr>
          <w:ilvl w:val="0"/>
          <w:numId w:val="66"/>
        </w:numPr>
        <w:spacing w:after="72"/>
        <w:ind w:right="14" w:hanging="358"/>
      </w:pPr>
      <w:r>
        <w:t xml:space="preserve">Documented bilateral oophorectomy. </w:t>
      </w:r>
    </w:p>
    <w:p w14:paraId="1E2FCA7F" w14:textId="77777777" w:rsidR="000B3C5C" w:rsidRDefault="00ED192D">
      <w:pPr>
        <w:spacing w:after="132"/>
        <w:ind w:left="435" w:right="14"/>
      </w:pPr>
      <w:r>
        <w:t>2.</w:t>
      </w:r>
      <w:r>
        <w:rPr>
          <w:rFonts w:ascii="Arial" w:eastAsia="Arial" w:hAnsi="Arial" w:cs="Arial"/>
        </w:rPr>
        <w:t xml:space="preserve"> </w:t>
      </w:r>
      <w:r>
        <w:t xml:space="preserve">Postmenopausal female </w:t>
      </w:r>
    </w:p>
    <w:p w14:paraId="2A783E95" w14:textId="77777777" w:rsidR="000B3C5C" w:rsidRDefault="00ED192D">
      <w:pPr>
        <w:spacing w:after="139"/>
        <w:ind w:left="720" w:right="478" w:hanging="358"/>
      </w:pPr>
      <w:r>
        <w:rPr>
          <w:rFonts w:ascii="Segoe UI Symbol" w:eastAsia="Segoe UI Symbol" w:hAnsi="Segoe UI Symbol" w:cs="Segoe UI Symbol"/>
        </w:rPr>
        <w:t>•</w:t>
      </w:r>
      <w:r>
        <w:rPr>
          <w:rFonts w:ascii="Arial" w:eastAsia="Arial" w:hAnsi="Arial" w:cs="Arial"/>
        </w:rPr>
        <w:t xml:space="preserve"> </w:t>
      </w:r>
      <w:r>
        <w:t xml:space="preserve">A postmenopausal state is defined as no menses for 12 months without an alternative medical cause. A high follicle-stimulating hormone (FSH) level in the postmenopausal range may be used to confirm a postmenopausal state in women not using hormonal contraception or hormonal replacement therapy (HRT). However, in the absence of 12 months of amenorrhea, a single FSH measurement is insufficient.  </w:t>
      </w:r>
    </w:p>
    <w:p w14:paraId="6205A8CD" w14:textId="77777777" w:rsidR="000B3C5C" w:rsidRDefault="00ED192D">
      <w:pPr>
        <w:ind w:left="1082" w:right="14" w:hanging="362"/>
      </w:pPr>
      <w:r>
        <w:t>-</w:t>
      </w:r>
      <w:r>
        <w:rPr>
          <w:rFonts w:ascii="Arial" w:eastAsia="Arial" w:hAnsi="Arial" w:cs="Arial"/>
        </w:rPr>
        <w:t xml:space="preserve"> </w:t>
      </w:r>
      <w:r>
        <w:rPr>
          <w:rFonts w:ascii="Arial" w:eastAsia="Arial" w:hAnsi="Arial" w:cs="Arial"/>
        </w:rPr>
        <w:tab/>
      </w:r>
      <w:r>
        <w:t xml:space="preserve">Females on HRT and whose menopausal status is in doubt will be required to use one of the non-estrogen hormonal highly effective contraception methods if they wish to continue their HRT during the study. Otherwise, they must discontinue HRT to allow confirmation of postmenopausal status before study enrollment. </w:t>
      </w:r>
    </w:p>
    <w:p w14:paraId="0E29B60A" w14:textId="77777777" w:rsidR="000B3C5C" w:rsidRDefault="00ED192D">
      <w:pPr>
        <w:pStyle w:val="Heading2"/>
        <w:ind w:left="-5" w:right="51"/>
      </w:pPr>
      <w:r>
        <w:t xml:space="preserve">Reproductive potential </w:t>
      </w:r>
    </w:p>
    <w:p w14:paraId="713950E2" w14:textId="77777777" w:rsidR="000B3C5C" w:rsidRDefault="00ED192D">
      <w:pPr>
        <w:ind w:left="-3" w:right="14"/>
      </w:pPr>
      <w:r>
        <w:t xml:space="preserve">A woman is considered of reproductive potential (WOCBP), ie, fertile, following menarche and until becoming postmenopausal unless permanently sterile. Permanent sterilization methods include hysterectomy, bilateral salpingectomy, and bilateral oophorectomy. </w:t>
      </w:r>
    </w:p>
    <w:p w14:paraId="3EE0D13B" w14:textId="77777777" w:rsidR="000B3C5C" w:rsidRDefault="00ED192D">
      <w:pPr>
        <w:pStyle w:val="Heading2"/>
        <w:ind w:left="-5" w:right="51"/>
      </w:pPr>
      <w:r>
        <w:t xml:space="preserve">CONTRACEPTION GUIDANCE </w:t>
      </w:r>
    </w:p>
    <w:p w14:paraId="51C7AA43" w14:textId="77777777" w:rsidR="000B3C5C" w:rsidRDefault="00ED192D">
      <w:pPr>
        <w:ind w:left="-3" w:right="14"/>
      </w:pPr>
      <w:r>
        <w:t xml:space="preserve">Females of childbearing potential or male subjects with female partners of childbearing potential are required to use effective contraceptive methods starting 2 weeks before study treatment administration, during treatment period, until 5 months after the last dose of isatuximab (male and female participants) or atezolizumab (female participants only), whichever comes last. </w:t>
      </w:r>
    </w:p>
    <w:p w14:paraId="73DBA068" w14:textId="77777777" w:rsidR="000B3C5C" w:rsidRDefault="00ED192D">
      <w:pPr>
        <w:pStyle w:val="Heading2"/>
        <w:spacing w:after="132"/>
        <w:ind w:left="-5" w:right="51"/>
      </w:pPr>
      <w:r>
        <w:t xml:space="preserve">Male participants </w:t>
      </w:r>
    </w:p>
    <w:p w14:paraId="4BA5AE57" w14:textId="77777777" w:rsidR="000B3C5C" w:rsidRDefault="00ED192D">
      <w:pPr>
        <w:spacing w:after="139"/>
        <w:ind w:left="720" w:right="14" w:hanging="358"/>
      </w:pPr>
      <w:r>
        <w:rPr>
          <w:rFonts w:ascii="Segoe UI Symbol" w:eastAsia="Segoe UI Symbol" w:hAnsi="Segoe UI Symbol" w:cs="Segoe UI Symbol"/>
        </w:rPr>
        <w:t>•</w:t>
      </w:r>
      <w:r>
        <w:rPr>
          <w:rFonts w:ascii="Arial" w:eastAsia="Arial" w:hAnsi="Arial" w:cs="Arial"/>
        </w:rPr>
        <w:t xml:space="preserve"> </w:t>
      </w:r>
      <w:r>
        <w:t xml:space="preserve">Male subjects with heterosexual partners of reproductive potential (WOCBP) are eligible to participate if they agree to use the following during the protocol defined timeline: </w:t>
      </w:r>
    </w:p>
    <w:p w14:paraId="2E1E237C" w14:textId="77777777" w:rsidR="000B3C5C" w:rsidRDefault="00ED192D">
      <w:pPr>
        <w:tabs>
          <w:tab w:val="center" w:pos="760"/>
          <w:tab w:val="center" w:pos="2508"/>
        </w:tabs>
        <w:spacing w:after="113"/>
        <w:ind w:left="0" w:firstLine="0"/>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Refrain from donating sperm. </w:t>
      </w:r>
    </w:p>
    <w:p w14:paraId="55442AC1" w14:textId="77777777" w:rsidR="000B3C5C" w:rsidRDefault="00ED192D">
      <w:pPr>
        <w:pStyle w:val="Heading2"/>
        <w:spacing w:after="135"/>
        <w:ind w:left="1092" w:right="51"/>
      </w:pPr>
      <w:r>
        <w:t xml:space="preserve">and </w:t>
      </w:r>
    </w:p>
    <w:p w14:paraId="33291EBB" w14:textId="77777777" w:rsidR="000B3C5C" w:rsidRDefault="00ED192D">
      <w:pPr>
        <w:numPr>
          <w:ilvl w:val="0"/>
          <w:numId w:val="67"/>
        </w:numPr>
        <w:spacing w:after="142"/>
        <w:ind w:right="14" w:hanging="362"/>
      </w:pPr>
      <w:r>
        <w:t xml:space="preserve">At least 1 of the following conditions applies: </w:t>
      </w:r>
    </w:p>
    <w:p w14:paraId="4B8CC5FF" w14:textId="77777777" w:rsidR="000B3C5C" w:rsidRDefault="00ED192D">
      <w:pPr>
        <w:numPr>
          <w:ilvl w:val="0"/>
          <w:numId w:val="67"/>
        </w:numPr>
        <w:ind w:right="14" w:hanging="362"/>
      </w:pPr>
      <w:r>
        <w:t xml:space="preserve">Are and agree to remain abstinent from penile-vaginal intercourse on a long-term and </w:t>
      </w:r>
      <w:r>
        <w:t xml:space="preserve">persistent basis, when this is their preferred and usual lifestyle. </w:t>
      </w:r>
    </w:p>
    <w:p w14:paraId="7294AE36" w14:textId="77777777" w:rsidR="000B3C5C" w:rsidRDefault="00ED192D">
      <w:pPr>
        <w:pStyle w:val="Heading2"/>
        <w:spacing w:after="136"/>
        <w:ind w:left="1092" w:right="51"/>
      </w:pPr>
      <w:r>
        <w:t xml:space="preserve">or </w:t>
      </w:r>
    </w:p>
    <w:p w14:paraId="4CEC4102" w14:textId="77777777" w:rsidR="000B3C5C" w:rsidRDefault="00ED192D">
      <w:pPr>
        <w:spacing w:after="134"/>
        <w:ind w:left="1082" w:right="14" w:hanging="362"/>
      </w:pPr>
      <w:r>
        <w:t>-</w:t>
      </w:r>
      <w:r>
        <w:rPr>
          <w:rFonts w:ascii="Arial" w:eastAsia="Arial" w:hAnsi="Arial" w:cs="Arial"/>
        </w:rPr>
        <w:t xml:space="preserve"> </w:t>
      </w:r>
      <w:r>
        <w:rPr>
          <w:rFonts w:ascii="Arial" w:eastAsia="Arial" w:hAnsi="Arial" w:cs="Arial"/>
        </w:rPr>
        <w:tab/>
      </w:r>
      <w:r>
        <w:t xml:space="preserve">Agree to use a male condom plus an additional contraceptive method with a failure rate of &lt;1% per year (see table for female subjects). </w:t>
      </w:r>
    </w:p>
    <w:p w14:paraId="1E86B914" w14:textId="77777777" w:rsidR="000B3C5C" w:rsidRDefault="00ED192D">
      <w:pPr>
        <w:ind w:left="720" w:right="14" w:hanging="358"/>
      </w:pPr>
      <w:r>
        <w:rPr>
          <w:rFonts w:ascii="Segoe UI Symbol" w:eastAsia="Segoe UI Symbol" w:hAnsi="Segoe UI Symbol" w:cs="Segoe UI Symbol"/>
        </w:rPr>
        <w:t>•</w:t>
      </w:r>
      <w:r>
        <w:rPr>
          <w:rFonts w:ascii="Arial" w:eastAsia="Arial" w:hAnsi="Arial" w:cs="Arial"/>
        </w:rPr>
        <w:t xml:space="preserve"> </w:t>
      </w:r>
      <w:r>
        <w:t xml:space="preserve">Men with a pregnant or breastfeeding partner must agree to remain abstinent from penile-vaginal intercourse or use a male condom for the time defined in the protocol.  </w:t>
      </w:r>
    </w:p>
    <w:p w14:paraId="3176F574" w14:textId="77777777" w:rsidR="000B3C5C" w:rsidRDefault="00ED192D">
      <w:pPr>
        <w:pStyle w:val="Heading2"/>
        <w:ind w:left="-5" w:right="51"/>
      </w:pPr>
      <w:r>
        <w:t xml:space="preserve">Female participants </w:t>
      </w:r>
    </w:p>
    <w:p w14:paraId="3BB33E07" w14:textId="77777777" w:rsidR="000B3C5C" w:rsidRDefault="00ED192D">
      <w:pPr>
        <w:spacing w:after="314"/>
        <w:ind w:left="-3" w:right="14"/>
      </w:pPr>
      <w:r>
        <w:t xml:space="preserve">Female participants of childbearing potential are eligible to participate if they agree to use a highly effective method of contraception consistently and correctly as described in </w:t>
      </w:r>
      <w:r>
        <w:rPr>
          <w:color w:val="0000FF"/>
        </w:rPr>
        <w:t>Table 11</w:t>
      </w:r>
      <w:r>
        <w:t xml:space="preserve">. </w:t>
      </w:r>
    </w:p>
    <w:p w14:paraId="665F790B" w14:textId="77777777" w:rsidR="000B3C5C" w:rsidRDefault="00ED192D">
      <w:pPr>
        <w:spacing w:after="4" w:line="250" w:lineRule="auto"/>
        <w:ind w:left="15" w:right="74"/>
        <w:jc w:val="center"/>
      </w:pPr>
      <w:r>
        <w:rPr>
          <w:rFonts w:ascii="Arial" w:eastAsia="Arial" w:hAnsi="Arial" w:cs="Arial"/>
          <w:b/>
          <w:sz w:val="20"/>
        </w:rPr>
        <w:t xml:space="preserve">Table 11 - Highly effective contraceptive methods  </w:t>
      </w:r>
    </w:p>
    <w:p w14:paraId="77B3876A" w14:textId="77777777" w:rsidR="000B3C5C" w:rsidRDefault="00ED192D">
      <w:pPr>
        <w:spacing w:after="142" w:line="259" w:lineRule="auto"/>
        <w:ind w:left="-108" w:right="-46" w:firstLine="0"/>
      </w:pPr>
      <w:r>
        <w:rPr>
          <w:rFonts w:ascii="Calibri" w:eastAsia="Calibri" w:hAnsi="Calibri" w:cs="Calibri"/>
          <w:noProof/>
          <w:sz w:val="22"/>
        </w:rPr>
        <mc:AlternateContent>
          <mc:Choice Requires="wpg">
            <w:drawing>
              <wp:inline distT="0" distB="0" distL="0" distR="0" wp14:anchorId="3FB71A5F" wp14:editId="6E7B861A">
                <wp:extent cx="6150610" cy="6096"/>
                <wp:effectExtent l="0" t="0" r="0" b="0"/>
                <wp:docPr id="271875" name="Group 271875"/>
                <wp:cNvGraphicFramePr/>
                <a:graphic xmlns:a="http://schemas.openxmlformats.org/drawingml/2006/main">
                  <a:graphicData uri="http://schemas.microsoft.com/office/word/2010/wordprocessingGroup">
                    <wpg:wgp>
                      <wpg:cNvGrpSpPr/>
                      <wpg:grpSpPr>
                        <a:xfrm>
                          <a:off x="0" y="0"/>
                          <a:ext cx="6150610" cy="6096"/>
                          <a:chOff x="0" y="0"/>
                          <a:chExt cx="6150610" cy="6096"/>
                        </a:xfrm>
                      </wpg:grpSpPr>
                      <wps:wsp>
                        <wps:cNvPr id="315820" name="Shape 315820"/>
                        <wps:cNvSpPr/>
                        <wps:spPr>
                          <a:xfrm>
                            <a:off x="0" y="0"/>
                            <a:ext cx="6150610" cy="9144"/>
                          </a:xfrm>
                          <a:custGeom>
                            <a:avLst/>
                            <a:gdLst/>
                            <a:ahLst/>
                            <a:cxnLst/>
                            <a:rect l="0" t="0" r="0" b="0"/>
                            <a:pathLst>
                              <a:path w="6150610" h="9144">
                                <a:moveTo>
                                  <a:pt x="0" y="0"/>
                                </a:moveTo>
                                <a:lnTo>
                                  <a:pt x="6150610" y="0"/>
                                </a:lnTo>
                                <a:lnTo>
                                  <a:pt x="6150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875" style="width:484.3pt;height:0.47998pt;mso-position-horizontal-relative:char;mso-position-vertical-relative:line" coordsize="61506,60">
                <v:shape id="Shape 315821" style="position:absolute;width:61506;height:91;left:0;top:0;" coordsize="6150610,9144" path="m0,0l6150610,0l6150610,9144l0,9144l0,0">
                  <v:stroke weight="0pt" endcap="flat" joinstyle="miter" miterlimit="10" on="false" color="#000000" opacity="0"/>
                  <v:fill on="true" color="#000000"/>
                </v:shape>
              </v:group>
            </w:pict>
          </mc:Fallback>
        </mc:AlternateContent>
      </w:r>
    </w:p>
    <w:p w14:paraId="3D5EE757" w14:textId="77777777" w:rsidR="000B3C5C" w:rsidRDefault="00ED192D">
      <w:pPr>
        <w:spacing w:after="0" w:line="318" w:lineRule="auto"/>
        <w:ind w:left="0" w:right="2737" w:firstLine="0"/>
      </w:pPr>
      <w:r>
        <w:rPr>
          <w:rFonts w:ascii="Arial" w:eastAsia="Arial" w:hAnsi="Arial" w:cs="Arial"/>
          <w:b/>
          <w:sz w:val="20"/>
        </w:rPr>
        <w:t>Highly effective contraceptive methods that are user dependent</w:t>
      </w:r>
      <w:r>
        <w:rPr>
          <w:rFonts w:ascii="Arial" w:eastAsia="Arial" w:hAnsi="Arial" w:cs="Arial"/>
          <w:b/>
          <w:i/>
          <w:color w:val="0000FF"/>
          <w:sz w:val="28"/>
          <w:vertAlign w:val="superscript"/>
        </w:rPr>
        <w:t>a</w:t>
      </w:r>
      <w:r>
        <w:rPr>
          <w:rFonts w:ascii="Arial" w:eastAsia="Arial" w:hAnsi="Arial" w:cs="Arial"/>
          <w:b/>
          <w:sz w:val="20"/>
        </w:rPr>
        <w:t xml:space="preserve"> </w:t>
      </w:r>
      <w:r>
        <w:rPr>
          <w:rFonts w:ascii="Arial" w:eastAsia="Arial" w:hAnsi="Arial" w:cs="Arial"/>
          <w:i/>
          <w:sz w:val="20"/>
        </w:rPr>
        <w:t>Failure rate of &lt;1% per year when used consistently and correctly.</w:t>
      </w:r>
      <w:r>
        <w:rPr>
          <w:rFonts w:ascii="Arial" w:eastAsia="Arial" w:hAnsi="Arial" w:cs="Arial"/>
          <w:sz w:val="20"/>
        </w:rPr>
        <w:t xml:space="preserve"> </w:t>
      </w:r>
    </w:p>
    <w:p w14:paraId="7CDDDBC7" w14:textId="77777777" w:rsidR="000B3C5C" w:rsidRDefault="00ED192D">
      <w:pPr>
        <w:spacing w:after="131" w:line="259" w:lineRule="auto"/>
        <w:ind w:left="-108" w:right="-46" w:firstLine="0"/>
      </w:pPr>
      <w:r>
        <w:rPr>
          <w:rFonts w:ascii="Calibri" w:eastAsia="Calibri" w:hAnsi="Calibri" w:cs="Calibri"/>
          <w:noProof/>
          <w:sz w:val="22"/>
        </w:rPr>
        <mc:AlternateContent>
          <mc:Choice Requires="wpg">
            <w:drawing>
              <wp:inline distT="0" distB="0" distL="0" distR="0" wp14:anchorId="13D47A40" wp14:editId="5962A4D1">
                <wp:extent cx="6150610" cy="6096"/>
                <wp:effectExtent l="0" t="0" r="0" b="0"/>
                <wp:docPr id="271876" name="Group 271876"/>
                <wp:cNvGraphicFramePr/>
                <a:graphic xmlns:a="http://schemas.openxmlformats.org/drawingml/2006/main">
                  <a:graphicData uri="http://schemas.microsoft.com/office/word/2010/wordprocessingGroup">
                    <wpg:wgp>
                      <wpg:cNvGrpSpPr/>
                      <wpg:grpSpPr>
                        <a:xfrm>
                          <a:off x="0" y="0"/>
                          <a:ext cx="6150610" cy="6096"/>
                          <a:chOff x="0" y="0"/>
                          <a:chExt cx="6150610" cy="6096"/>
                        </a:xfrm>
                      </wpg:grpSpPr>
                      <wps:wsp>
                        <wps:cNvPr id="315822" name="Shape 315822"/>
                        <wps:cNvSpPr/>
                        <wps:spPr>
                          <a:xfrm>
                            <a:off x="0" y="0"/>
                            <a:ext cx="6150610" cy="9144"/>
                          </a:xfrm>
                          <a:custGeom>
                            <a:avLst/>
                            <a:gdLst/>
                            <a:ahLst/>
                            <a:cxnLst/>
                            <a:rect l="0" t="0" r="0" b="0"/>
                            <a:pathLst>
                              <a:path w="6150610" h="9144">
                                <a:moveTo>
                                  <a:pt x="0" y="0"/>
                                </a:moveTo>
                                <a:lnTo>
                                  <a:pt x="6150610" y="0"/>
                                </a:lnTo>
                                <a:lnTo>
                                  <a:pt x="6150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876" style="width:484.3pt;height:0.47998pt;mso-position-horizontal-relative:char;mso-position-vertical-relative:line" coordsize="61506,60">
                <v:shape id="Shape 315823" style="position:absolute;width:61506;height:91;left:0;top:0;" coordsize="6150610,9144" path="m0,0l6150610,0l6150610,9144l0,9144l0,0">
                  <v:stroke weight="0pt" endcap="flat" joinstyle="miter" miterlimit="10" on="false" color="#000000" opacity="0"/>
                  <v:fill on="true" color="#000000"/>
                </v:shape>
              </v:group>
            </w:pict>
          </mc:Fallback>
        </mc:AlternateContent>
      </w:r>
    </w:p>
    <w:p w14:paraId="66456610" w14:textId="77777777" w:rsidR="000B3C5C" w:rsidRDefault="00ED192D">
      <w:pPr>
        <w:spacing w:after="4" w:line="250" w:lineRule="auto"/>
        <w:ind w:left="10"/>
      </w:pPr>
      <w:r>
        <w:rPr>
          <w:rFonts w:ascii="Arial" w:eastAsia="Arial" w:hAnsi="Arial" w:cs="Arial"/>
          <w:sz w:val="20"/>
        </w:rPr>
        <w:t>Combined (estrogen and progestogen containing) hormonal contraception associated with inhibition of ovulation</w:t>
      </w:r>
      <w:r>
        <w:rPr>
          <w:rFonts w:ascii="Arial" w:eastAsia="Arial" w:hAnsi="Arial" w:cs="Arial"/>
          <w:i/>
          <w:color w:val="0000FF"/>
          <w:sz w:val="28"/>
          <w:vertAlign w:val="superscript"/>
        </w:rPr>
        <w:t>b</w:t>
      </w:r>
      <w:r>
        <w:rPr>
          <w:rFonts w:ascii="Arial" w:eastAsia="Arial" w:hAnsi="Arial" w:cs="Arial"/>
          <w:sz w:val="20"/>
        </w:rPr>
        <w:t xml:space="preserve">  </w:t>
      </w:r>
    </w:p>
    <w:p w14:paraId="0F696EEC" w14:textId="77777777" w:rsidR="000B3C5C" w:rsidRDefault="00ED192D">
      <w:pPr>
        <w:numPr>
          <w:ilvl w:val="0"/>
          <w:numId w:val="68"/>
        </w:numPr>
        <w:spacing w:after="4" w:line="250" w:lineRule="auto"/>
        <w:ind w:hanging="360"/>
      </w:pPr>
      <w:r>
        <w:rPr>
          <w:rFonts w:ascii="Arial" w:eastAsia="Arial" w:hAnsi="Arial" w:cs="Arial"/>
          <w:sz w:val="20"/>
        </w:rPr>
        <w:t xml:space="preserve">Oral. </w:t>
      </w:r>
    </w:p>
    <w:p w14:paraId="5AD117EB" w14:textId="77777777" w:rsidR="000B3C5C" w:rsidRDefault="00ED192D">
      <w:pPr>
        <w:numPr>
          <w:ilvl w:val="0"/>
          <w:numId w:val="68"/>
        </w:numPr>
        <w:spacing w:after="4" w:line="250" w:lineRule="auto"/>
        <w:ind w:hanging="360"/>
      </w:pPr>
      <w:r>
        <w:rPr>
          <w:rFonts w:ascii="Arial" w:eastAsia="Arial" w:hAnsi="Arial" w:cs="Arial"/>
          <w:sz w:val="20"/>
        </w:rPr>
        <w:t xml:space="preserve">Intravaginal. </w:t>
      </w:r>
    </w:p>
    <w:p w14:paraId="228F7774" w14:textId="77777777" w:rsidR="000B3C5C" w:rsidRDefault="00ED192D">
      <w:pPr>
        <w:numPr>
          <w:ilvl w:val="0"/>
          <w:numId w:val="68"/>
        </w:numPr>
        <w:spacing w:after="4" w:line="250" w:lineRule="auto"/>
        <w:ind w:hanging="360"/>
      </w:pPr>
      <w:r>
        <w:rPr>
          <w:rFonts w:ascii="Arial" w:eastAsia="Arial" w:hAnsi="Arial" w:cs="Arial"/>
          <w:sz w:val="20"/>
        </w:rPr>
        <w:t xml:space="preserve">Transdermal. </w:t>
      </w:r>
    </w:p>
    <w:p w14:paraId="74E651E3" w14:textId="77777777" w:rsidR="000B3C5C" w:rsidRDefault="00ED192D">
      <w:pPr>
        <w:spacing w:after="88" w:line="259" w:lineRule="auto"/>
        <w:ind w:left="-108" w:right="-46" w:firstLine="0"/>
      </w:pPr>
      <w:r>
        <w:rPr>
          <w:rFonts w:ascii="Calibri" w:eastAsia="Calibri" w:hAnsi="Calibri" w:cs="Calibri"/>
          <w:noProof/>
          <w:sz w:val="22"/>
        </w:rPr>
        <mc:AlternateContent>
          <mc:Choice Requires="wpg">
            <w:drawing>
              <wp:inline distT="0" distB="0" distL="0" distR="0" wp14:anchorId="3859CF47" wp14:editId="6871991A">
                <wp:extent cx="6150610" cy="6096"/>
                <wp:effectExtent l="0" t="0" r="0" b="0"/>
                <wp:docPr id="271877" name="Group 271877"/>
                <wp:cNvGraphicFramePr/>
                <a:graphic xmlns:a="http://schemas.openxmlformats.org/drawingml/2006/main">
                  <a:graphicData uri="http://schemas.microsoft.com/office/word/2010/wordprocessingGroup">
                    <wpg:wgp>
                      <wpg:cNvGrpSpPr/>
                      <wpg:grpSpPr>
                        <a:xfrm>
                          <a:off x="0" y="0"/>
                          <a:ext cx="6150610" cy="6096"/>
                          <a:chOff x="0" y="0"/>
                          <a:chExt cx="6150610" cy="6096"/>
                        </a:xfrm>
                      </wpg:grpSpPr>
                      <wps:wsp>
                        <wps:cNvPr id="315824" name="Shape 315824"/>
                        <wps:cNvSpPr/>
                        <wps:spPr>
                          <a:xfrm>
                            <a:off x="0" y="0"/>
                            <a:ext cx="6150610" cy="9144"/>
                          </a:xfrm>
                          <a:custGeom>
                            <a:avLst/>
                            <a:gdLst/>
                            <a:ahLst/>
                            <a:cxnLst/>
                            <a:rect l="0" t="0" r="0" b="0"/>
                            <a:pathLst>
                              <a:path w="6150610" h="9144">
                                <a:moveTo>
                                  <a:pt x="0" y="0"/>
                                </a:moveTo>
                                <a:lnTo>
                                  <a:pt x="6150610" y="0"/>
                                </a:lnTo>
                                <a:lnTo>
                                  <a:pt x="6150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877" style="width:484.3pt;height:0.480011pt;mso-position-horizontal-relative:char;mso-position-vertical-relative:line" coordsize="61506,60">
                <v:shape id="Shape 315825" style="position:absolute;width:61506;height:91;left:0;top:0;" coordsize="6150610,9144" path="m0,0l6150610,0l6150610,9144l0,9144l0,0">
                  <v:stroke weight="0pt" endcap="flat" joinstyle="miter" miterlimit="10" on="false" color="#000000" opacity="0"/>
                  <v:fill on="true" color="#000000"/>
                </v:shape>
              </v:group>
            </w:pict>
          </mc:Fallback>
        </mc:AlternateContent>
      </w:r>
    </w:p>
    <w:p w14:paraId="42E06CDF" w14:textId="77777777" w:rsidR="000B3C5C" w:rsidRDefault="00ED192D">
      <w:pPr>
        <w:spacing w:after="4" w:line="250" w:lineRule="auto"/>
        <w:ind w:left="10"/>
      </w:pPr>
      <w:r>
        <w:rPr>
          <w:rFonts w:ascii="Arial" w:eastAsia="Arial" w:hAnsi="Arial" w:cs="Arial"/>
          <w:sz w:val="20"/>
        </w:rPr>
        <w:t xml:space="preserve">Progestogen only hormonal contraception associated with inhibition of ovulation </w:t>
      </w:r>
    </w:p>
    <w:p w14:paraId="36BD8725" w14:textId="77777777" w:rsidR="000B3C5C" w:rsidRDefault="00ED192D">
      <w:pPr>
        <w:numPr>
          <w:ilvl w:val="0"/>
          <w:numId w:val="68"/>
        </w:numPr>
        <w:spacing w:after="4" w:line="250" w:lineRule="auto"/>
        <w:ind w:hanging="360"/>
      </w:pPr>
      <w:r>
        <w:rPr>
          <w:rFonts w:ascii="Arial" w:eastAsia="Arial" w:hAnsi="Arial" w:cs="Arial"/>
          <w:sz w:val="20"/>
        </w:rPr>
        <w:t xml:space="preserve">Oral. </w:t>
      </w:r>
    </w:p>
    <w:p w14:paraId="1FF67202" w14:textId="77777777" w:rsidR="000B3C5C" w:rsidRDefault="00ED192D">
      <w:pPr>
        <w:numPr>
          <w:ilvl w:val="0"/>
          <w:numId w:val="68"/>
        </w:numPr>
        <w:spacing w:after="4" w:line="250" w:lineRule="auto"/>
        <w:ind w:hanging="360"/>
      </w:pPr>
      <w:r>
        <w:rPr>
          <w:rFonts w:ascii="Arial" w:eastAsia="Arial" w:hAnsi="Arial" w:cs="Arial"/>
          <w:sz w:val="20"/>
        </w:rPr>
        <w:t xml:space="preserve">Injectable. </w:t>
      </w:r>
    </w:p>
    <w:p w14:paraId="4C8068DA" w14:textId="77777777" w:rsidR="000B3C5C" w:rsidRDefault="00ED192D">
      <w:pPr>
        <w:spacing w:after="142" w:line="259" w:lineRule="auto"/>
        <w:ind w:left="-108" w:right="-46" w:firstLine="0"/>
      </w:pPr>
      <w:r>
        <w:rPr>
          <w:rFonts w:ascii="Calibri" w:eastAsia="Calibri" w:hAnsi="Calibri" w:cs="Calibri"/>
          <w:noProof/>
          <w:sz w:val="22"/>
        </w:rPr>
        <mc:AlternateContent>
          <mc:Choice Requires="wpg">
            <w:drawing>
              <wp:inline distT="0" distB="0" distL="0" distR="0" wp14:anchorId="690B7121" wp14:editId="76FFF466">
                <wp:extent cx="6150610" cy="6096"/>
                <wp:effectExtent l="0" t="0" r="0" b="0"/>
                <wp:docPr id="271878" name="Group 271878"/>
                <wp:cNvGraphicFramePr/>
                <a:graphic xmlns:a="http://schemas.openxmlformats.org/drawingml/2006/main">
                  <a:graphicData uri="http://schemas.microsoft.com/office/word/2010/wordprocessingGroup">
                    <wpg:wgp>
                      <wpg:cNvGrpSpPr/>
                      <wpg:grpSpPr>
                        <a:xfrm>
                          <a:off x="0" y="0"/>
                          <a:ext cx="6150610" cy="6096"/>
                          <a:chOff x="0" y="0"/>
                          <a:chExt cx="6150610" cy="6096"/>
                        </a:xfrm>
                      </wpg:grpSpPr>
                      <wps:wsp>
                        <wps:cNvPr id="315826" name="Shape 315826"/>
                        <wps:cNvSpPr/>
                        <wps:spPr>
                          <a:xfrm>
                            <a:off x="0" y="0"/>
                            <a:ext cx="6150610" cy="9144"/>
                          </a:xfrm>
                          <a:custGeom>
                            <a:avLst/>
                            <a:gdLst/>
                            <a:ahLst/>
                            <a:cxnLst/>
                            <a:rect l="0" t="0" r="0" b="0"/>
                            <a:pathLst>
                              <a:path w="6150610" h="9144">
                                <a:moveTo>
                                  <a:pt x="0" y="0"/>
                                </a:moveTo>
                                <a:lnTo>
                                  <a:pt x="6150610" y="0"/>
                                </a:lnTo>
                                <a:lnTo>
                                  <a:pt x="6150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878" style="width:484.3pt;height:0.480011pt;mso-position-horizontal-relative:char;mso-position-vertical-relative:line" coordsize="61506,60">
                <v:shape id="Shape 315827" style="position:absolute;width:61506;height:91;left:0;top:0;" coordsize="6150610,9144" path="m0,0l6150610,0l6150610,9144l0,9144l0,0">
                  <v:stroke weight="0pt" endcap="flat" joinstyle="miter" miterlimit="10" on="false" color="#000000" opacity="0"/>
                  <v:fill on="true" color="#000000"/>
                </v:shape>
              </v:group>
            </w:pict>
          </mc:Fallback>
        </mc:AlternateContent>
      </w:r>
    </w:p>
    <w:p w14:paraId="754360E3" w14:textId="77777777" w:rsidR="000B3C5C" w:rsidRDefault="00ED192D">
      <w:pPr>
        <w:pStyle w:val="Heading3"/>
        <w:spacing w:after="3" w:line="259" w:lineRule="auto"/>
        <w:ind w:left="-5"/>
      </w:pPr>
      <w:r>
        <w:rPr>
          <w:sz w:val="20"/>
        </w:rPr>
        <w:t>Highly effective methods that are user independent</w:t>
      </w:r>
      <w:r>
        <w:rPr>
          <w:b w:val="0"/>
          <w:i/>
          <w:color w:val="0000FF"/>
          <w:sz w:val="28"/>
          <w:vertAlign w:val="superscript"/>
        </w:rPr>
        <w:t>a</w:t>
      </w:r>
      <w:r>
        <w:rPr>
          <w:b w:val="0"/>
          <w:sz w:val="20"/>
        </w:rPr>
        <w:t xml:space="preserve"> </w:t>
      </w:r>
    </w:p>
    <w:p w14:paraId="34E8E1AC" w14:textId="77777777" w:rsidR="000B3C5C" w:rsidRDefault="00ED192D">
      <w:pPr>
        <w:spacing w:after="131" w:line="259" w:lineRule="auto"/>
        <w:ind w:left="-108" w:right="-46" w:firstLine="0"/>
      </w:pPr>
      <w:r>
        <w:rPr>
          <w:rFonts w:ascii="Calibri" w:eastAsia="Calibri" w:hAnsi="Calibri" w:cs="Calibri"/>
          <w:noProof/>
          <w:sz w:val="22"/>
        </w:rPr>
        <mc:AlternateContent>
          <mc:Choice Requires="wpg">
            <w:drawing>
              <wp:inline distT="0" distB="0" distL="0" distR="0" wp14:anchorId="544FDF18" wp14:editId="172E8718">
                <wp:extent cx="6150610" cy="6096"/>
                <wp:effectExtent l="0" t="0" r="0" b="0"/>
                <wp:docPr id="271879" name="Group 271879"/>
                <wp:cNvGraphicFramePr/>
                <a:graphic xmlns:a="http://schemas.openxmlformats.org/drawingml/2006/main">
                  <a:graphicData uri="http://schemas.microsoft.com/office/word/2010/wordprocessingGroup">
                    <wpg:wgp>
                      <wpg:cNvGrpSpPr/>
                      <wpg:grpSpPr>
                        <a:xfrm>
                          <a:off x="0" y="0"/>
                          <a:ext cx="6150610" cy="6096"/>
                          <a:chOff x="0" y="0"/>
                          <a:chExt cx="6150610" cy="6096"/>
                        </a:xfrm>
                      </wpg:grpSpPr>
                      <wps:wsp>
                        <wps:cNvPr id="315828" name="Shape 315828"/>
                        <wps:cNvSpPr/>
                        <wps:spPr>
                          <a:xfrm>
                            <a:off x="0" y="0"/>
                            <a:ext cx="6150610" cy="9144"/>
                          </a:xfrm>
                          <a:custGeom>
                            <a:avLst/>
                            <a:gdLst/>
                            <a:ahLst/>
                            <a:cxnLst/>
                            <a:rect l="0" t="0" r="0" b="0"/>
                            <a:pathLst>
                              <a:path w="6150610" h="9144">
                                <a:moveTo>
                                  <a:pt x="0" y="0"/>
                                </a:moveTo>
                                <a:lnTo>
                                  <a:pt x="6150610" y="0"/>
                                </a:lnTo>
                                <a:lnTo>
                                  <a:pt x="6150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879" style="width:484.3pt;height:0.480011pt;mso-position-horizontal-relative:char;mso-position-vertical-relative:line" coordsize="61506,60">
                <v:shape id="Shape 315829" style="position:absolute;width:61506;height:91;left:0;top:0;" coordsize="6150610,9144" path="m0,0l6150610,0l6150610,9144l0,9144l0,0">
                  <v:stroke weight="0pt" endcap="flat" joinstyle="miter" miterlimit="10" on="false" color="#000000" opacity="0"/>
                  <v:fill on="true" color="#000000"/>
                </v:shape>
              </v:group>
            </w:pict>
          </mc:Fallback>
        </mc:AlternateContent>
      </w:r>
    </w:p>
    <w:p w14:paraId="65264B0A" w14:textId="77777777" w:rsidR="000B3C5C" w:rsidRDefault="00ED192D">
      <w:pPr>
        <w:spacing w:after="4" w:line="250" w:lineRule="auto"/>
        <w:ind w:left="10"/>
      </w:pPr>
      <w:r>
        <w:rPr>
          <w:rFonts w:ascii="Arial" w:eastAsia="Arial" w:hAnsi="Arial" w:cs="Arial"/>
          <w:sz w:val="20"/>
        </w:rPr>
        <w:t>Implantable progestogen only hormonal contraception associated with inhibition of ovulation</w:t>
      </w:r>
      <w:r>
        <w:rPr>
          <w:rFonts w:ascii="Arial" w:eastAsia="Arial" w:hAnsi="Arial" w:cs="Arial"/>
          <w:i/>
          <w:color w:val="0000FF"/>
          <w:sz w:val="28"/>
          <w:vertAlign w:val="superscript"/>
        </w:rPr>
        <w:t>b</w:t>
      </w:r>
      <w:r>
        <w:rPr>
          <w:rFonts w:ascii="Arial" w:eastAsia="Arial" w:hAnsi="Arial" w:cs="Arial"/>
          <w:sz w:val="20"/>
        </w:rPr>
        <w:t xml:space="preserve"> </w:t>
      </w:r>
    </w:p>
    <w:p w14:paraId="0919AA62" w14:textId="77777777" w:rsidR="000B3C5C" w:rsidRDefault="00ED192D">
      <w:pPr>
        <w:numPr>
          <w:ilvl w:val="0"/>
          <w:numId w:val="69"/>
        </w:numPr>
        <w:spacing w:after="4" w:line="250" w:lineRule="auto"/>
        <w:ind w:hanging="360"/>
      </w:pPr>
      <w:r>
        <w:rPr>
          <w:rFonts w:ascii="Arial" w:eastAsia="Arial" w:hAnsi="Arial" w:cs="Arial"/>
          <w:sz w:val="20"/>
        </w:rPr>
        <w:t xml:space="preserve">Intrauterine device (IUD). </w:t>
      </w:r>
    </w:p>
    <w:p w14:paraId="38AA2CB9" w14:textId="77777777" w:rsidR="000B3C5C" w:rsidRDefault="00ED192D">
      <w:pPr>
        <w:numPr>
          <w:ilvl w:val="0"/>
          <w:numId w:val="69"/>
        </w:numPr>
        <w:spacing w:after="4" w:line="250" w:lineRule="auto"/>
        <w:ind w:hanging="360"/>
      </w:pPr>
      <w:r>
        <w:rPr>
          <w:rFonts w:ascii="Arial" w:eastAsia="Arial" w:hAnsi="Arial" w:cs="Arial"/>
          <w:sz w:val="20"/>
        </w:rPr>
        <w:t xml:space="preserve">Intrauterine hormone-releasing system (IUS). </w:t>
      </w:r>
    </w:p>
    <w:p w14:paraId="738274BE" w14:textId="77777777" w:rsidR="000B3C5C" w:rsidRDefault="00ED192D">
      <w:pPr>
        <w:numPr>
          <w:ilvl w:val="0"/>
          <w:numId w:val="69"/>
        </w:numPr>
        <w:spacing w:after="4" w:line="250" w:lineRule="auto"/>
        <w:ind w:hanging="360"/>
      </w:pPr>
      <w:r>
        <w:rPr>
          <w:rFonts w:ascii="Arial" w:eastAsia="Arial" w:hAnsi="Arial" w:cs="Arial"/>
          <w:sz w:val="20"/>
        </w:rPr>
        <w:t xml:space="preserve">Bilateral tubal occlusion. </w:t>
      </w:r>
    </w:p>
    <w:p w14:paraId="6EC59E6C" w14:textId="77777777" w:rsidR="000B3C5C" w:rsidRDefault="00ED192D">
      <w:pPr>
        <w:spacing w:after="102" w:line="259" w:lineRule="auto"/>
        <w:ind w:left="-108" w:right="-46" w:firstLine="0"/>
      </w:pPr>
      <w:r>
        <w:rPr>
          <w:rFonts w:ascii="Calibri" w:eastAsia="Calibri" w:hAnsi="Calibri" w:cs="Calibri"/>
          <w:noProof/>
          <w:sz w:val="22"/>
        </w:rPr>
        <mc:AlternateContent>
          <mc:Choice Requires="wpg">
            <w:drawing>
              <wp:inline distT="0" distB="0" distL="0" distR="0" wp14:anchorId="6F01625B" wp14:editId="23273792">
                <wp:extent cx="6150610" cy="6096"/>
                <wp:effectExtent l="0" t="0" r="0" b="0"/>
                <wp:docPr id="271880" name="Group 271880"/>
                <wp:cNvGraphicFramePr/>
                <a:graphic xmlns:a="http://schemas.openxmlformats.org/drawingml/2006/main">
                  <a:graphicData uri="http://schemas.microsoft.com/office/word/2010/wordprocessingGroup">
                    <wpg:wgp>
                      <wpg:cNvGrpSpPr/>
                      <wpg:grpSpPr>
                        <a:xfrm>
                          <a:off x="0" y="0"/>
                          <a:ext cx="6150610" cy="6096"/>
                          <a:chOff x="0" y="0"/>
                          <a:chExt cx="6150610" cy="6096"/>
                        </a:xfrm>
                      </wpg:grpSpPr>
                      <wps:wsp>
                        <wps:cNvPr id="315830" name="Shape 315830"/>
                        <wps:cNvSpPr/>
                        <wps:spPr>
                          <a:xfrm>
                            <a:off x="0" y="0"/>
                            <a:ext cx="6150610" cy="9144"/>
                          </a:xfrm>
                          <a:custGeom>
                            <a:avLst/>
                            <a:gdLst/>
                            <a:ahLst/>
                            <a:cxnLst/>
                            <a:rect l="0" t="0" r="0" b="0"/>
                            <a:pathLst>
                              <a:path w="6150610" h="9144">
                                <a:moveTo>
                                  <a:pt x="0" y="0"/>
                                </a:moveTo>
                                <a:lnTo>
                                  <a:pt x="6150610" y="0"/>
                                </a:lnTo>
                                <a:lnTo>
                                  <a:pt x="6150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880" style="width:484.3pt;height:0.480011pt;mso-position-horizontal-relative:char;mso-position-vertical-relative:line" coordsize="61506,60">
                <v:shape id="Shape 315831" style="position:absolute;width:61506;height:91;left:0;top:0;" coordsize="6150610,9144" path="m0,0l6150610,0l6150610,9144l0,9144l0,0">
                  <v:stroke weight="0pt" endcap="flat" joinstyle="miter" miterlimit="10" on="false" color="#000000" opacity="0"/>
                  <v:fill on="true" color="#000000"/>
                </v:shape>
              </v:group>
            </w:pict>
          </mc:Fallback>
        </mc:AlternateContent>
      </w:r>
    </w:p>
    <w:p w14:paraId="2E5B89C0" w14:textId="77777777" w:rsidR="000B3C5C" w:rsidRDefault="00ED192D">
      <w:pPr>
        <w:pStyle w:val="Heading3"/>
        <w:spacing w:after="43" w:line="259" w:lineRule="auto"/>
        <w:ind w:left="-5"/>
      </w:pPr>
      <w:r>
        <w:rPr>
          <w:sz w:val="20"/>
        </w:rPr>
        <w:t xml:space="preserve">Vasectomized partner  </w:t>
      </w:r>
    </w:p>
    <w:p w14:paraId="08C04F9D" w14:textId="77777777" w:rsidR="000B3C5C" w:rsidRDefault="00ED192D">
      <w:pPr>
        <w:spacing w:after="0" w:line="240" w:lineRule="auto"/>
        <w:ind w:left="-5"/>
      </w:pPr>
      <w:r>
        <w:rPr>
          <w:rFonts w:ascii="Arial" w:eastAsia="Arial" w:hAnsi="Arial" w:cs="Arial"/>
          <w:i/>
          <w:sz w:val="20"/>
        </w:rPr>
        <w:t>A vasectomized partner is a highly effective contraception method provided that the partner is the sole male sexual partner of the WOCBP and the absence of sperm has been confirmed. If not, an additional highly effective method of contraception should be used.</w:t>
      </w:r>
      <w:r>
        <w:rPr>
          <w:rFonts w:ascii="Arial" w:eastAsia="Arial" w:hAnsi="Arial" w:cs="Arial"/>
          <w:b/>
          <w:sz w:val="20"/>
        </w:rPr>
        <w:t xml:space="preserve"> </w:t>
      </w:r>
    </w:p>
    <w:p w14:paraId="54BAEABD" w14:textId="77777777" w:rsidR="000B3C5C" w:rsidRDefault="00ED192D">
      <w:pPr>
        <w:spacing w:after="102" w:line="259" w:lineRule="auto"/>
        <w:ind w:left="-108" w:right="-46" w:firstLine="0"/>
      </w:pPr>
      <w:r>
        <w:rPr>
          <w:rFonts w:ascii="Calibri" w:eastAsia="Calibri" w:hAnsi="Calibri" w:cs="Calibri"/>
          <w:noProof/>
          <w:sz w:val="22"/>
        </w:rPr>
        <mc:AlternateContent>
          <mc:Choice Requires="wpg">
            <w:drawing>
              <wp:inline distT="0" distB="0" distL="0" distR="0" wp14:anchorId="328B8EEB" wp14:editId="2EF68DA9">
                <wp:extent cx="6150610" cy="6097"/>
                <wp:effectExtent l="0" t="0" r="0" b="0"/>
                <wp:docPr id="271881" name="Group 271881"/>
                <wp:cNvGraphicFramePr/>
                <a:graphic xmlns:a="http://schemas.openxmlformats.org/drawingml/2006/main">
                  <a:graphicData uri="http://schemas.microsoft.com/office/word/2010/wordprocessingGroup">
                    <wpg:wgp>
                      <wpg:cNvGrpSpPr/>
                      <wpg:grpSpPr>
                        <a:xfrm>
                          <a:off x="0" y="0"/>
                          <a:ext cx="6150610" cy="6097"/>
                          <a:chOff x="0" y="0"/>
                          <a:chExt cx="6150610" cy="6097"/>
                        </a:xfrm>
                      </wpg:grpSpPr>
                      <wps:wsp>
                        <wps:cNvPr id="315832" name="Shape 315832"/>
                        <wps:cNvSpPr/>
                        <wps:spPr>
                          <a:xfrm>
                            <a:off x="0" y="0"/>
                            <a:ext cx="6150610" cy="9144"/>
                          </a:xfrm>
                          <a:custGeom>
                            <a:avLst/>
                            <a:gdLst/>
                            <a:ahLst/>
                            <a:cxnLst/>
                            <a:rect l="0" t="0" r="0" b="0"/>
                            <a:pathLst>
                              <a:path w="6150610" h="9144">
                                <a:moveTo>
                                  <a:pt x="0" y="0"/>
                                </a:moveTo>
                                <a:lnTo>
                                  <a:pt x="6150610" y="0"/>
                                </a:lnTo>
                                <a:lnTo>
                                  <a:pt x="6150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881" style="width:484.3pt;height:0.480042pt;mso-position-horizontal-relative:char;mso-position-vertical-relative:line" coordsize="61506,60">
                <v:shape id="Shape 315833" style="position:absolute;width:61506;height:91;left:0;top:0;" coordsize="6150610,9144" path="m0,0l6150610,0l6150610,9144l0,9144l0,0">
                  <v:stroke weight="0pt" endcap="flat" joinstyle="miter" miterlimit="10" on="false" color="#000000" opacity="0"/>
                  <v:fill on="true" color="#000000"/>
                </v:shape>
              </v:group>
            </w:pict>
          </mc:Fallback>
        </mc:AlternateContent>
      </w:r>
    </w:p>
    <w:p w14:paraId="21CC310D" w14:textId="77777777" w:rsidR="000B3C5C" w:rsidRDefault="00ED192D">
      <w:pPr>
        <w:pStyle w:val="Heading3"/>
        <w:spacing w:after="43" w:line="259" w:lineRule="auto"/>
        <w:ind w:left="-5"/>
      </w:pPr>
      <w:r>
        <w:rPr>
          <w:sz w:val="20"/>
        </w:rPr>
        <w:t xml:space="preserve">Sexual abstinence  </w:t>
      </w:r>
    </w:p>
    <w:p w14:paraId="318271C7" w14:textId="77777777" w:rsidR="000B3C5C" w:rsidRDefault="00ED192D">
      <w:pPr>
        <w:spacing w:after="0" w:line="240" w:lineRule="auto"/>
        <w:ind w:left="-5"/>
      </w:pPr>
      <w:r>
        <w:rPr>
          <w:rFonts w:ascii="Arial" w:eastAsia="Arial" w:hAnsi="Arial" w:cs="Arial"/>
          <w:i/>
          <w:sz w:val="20"/>
        </w:rPr>
        <w:t>Sexual abstinence is considered a highly effective method only if defined as refraining from heterosexual intercourse during the entire period of risk associated with the study intervention. The reliability of sexual abstinence needs to be evaluated in relation to the duration of the study and the preferred and usual lifestyle of the participant.</w:t>
      </w:r>
      <w:r>
        <w:rPr>
          <w:rFonts w:ascii="Arial" w:eastAsia="Arial" w:hAnsi="Arial" w:cs="Arial"/>
          <w:sz w:val="20"/>
        </w:rPr>
        <w:t xml:space="preserve"> </w:t>
      </w:r>
    </w:p>
    <w:p w14:paraId="74539FA7" w14:textId="77777777" w:rsidR="000B3C5C" w:rsidRDefault="00ED192D">
      <w:pPr>
        <w:spacing w:after="59" w:line="259" w:lineRule="auto"/>
        <w:ind w:left="-108" w:right="-46" w:firstLine="0"/>
      </w:pPr>
      <w:r>
        <w:rPr>
          <w:rFonts w:ascii="Calibri" w:eastAsia="Calibri" w:hAnsi="Calibri" w:cs="Calibri"/>
          <w:noProof/>
          <w:sz w:val="22"/>
        </w:rPr>
        <mc:AlternateContent>
          <mc:Choice Requires="wpg">
            <w:drawing>
              <wp:inline distT="0" distB="0" distL="0" distR="0" wp14:anchorId="43A56064" wp14:editId="3A6FA78F">
                <wp:extent cx="6150610" cy="6096"/>
                <wp:effectExtent l="0" t="0" r="0" b="0"/>
                <wp:docPr id="271882" name="Group 271882"/>
                <wp:cNvGraphicFramePr/>
                <a:graphic xmlns:a="http://schemas.openxmlformats.org/drawingml/2006/main">
                  <a:graphicData uri="http://schemas.microsoft.com/office/word/2010/wordprocessingGroup">
                    <wpg:wgp>
                      <wpg:cNvGrpSpPr/>
                      <wpg:grpSpPr>
                        <a:xfrm>
                          <a:off x="0" y="0"/>
                          <a:ext cx="6150610" cy="6096"/>
                          <a:chOff x="0" y="0"/>
                          <a:chExt cx="6150610" cy="6096"/>
                        </a:xfrm>
                      </wpg:grpSpPr>
                      <wps:wsp>
                        <wps:cNvPr id="315834" name="Shape 315834"/>
                        <wps:cNvSpPr/>
                        <wps:spPr>
                          <a:xfrm>
                            <a:off x="0" y="0"/>
                            <a:ext cx="6150610" cy="9144"/>
                          </a:xfrm>
                          <a:custGeom>
                            <a:avLst/>
                            <a:gdLst/>
                            <a:ahLst/>
                            <a:cxnLst/>
                            <a:rect l="0" t="0" r="0" b="0"/>
                            <a:pathLst>
                              <a:path w="6150610" h="9144">
                                <a:moveTo>
                                  <a:pt x="0" y="0"/>
                                </a:moveTo>
                                <a:lnTo>
                                  <a:pt x="6150610" y="0"/>
                                </a:lnTo>
                                <a:lnTo>
                                  <a:pt x="6150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882" style="width:484.3pt;height:0.47998pt;mso-position-horizontal-relative:char;mso-position-vertical-relative:line" coordsize="61506,60">
                <v:shape id="Shape 315835" style="position:absolute;width:61506;height:91;left:0;top:0;" coordsize="6150610,9144" path="m0,0l6150610,0l6150610,9144l0,9144l0,0">
                  <v:stroke weight="0pt" endcap="flat" joinstyle="miter" miterlimit="10" on="false" color="#000000" opacity="0"/>
                  <v:fill on="true" color="#000000"/>
                </v:shape>
              </v:group>
            </w:pict>
          </mc:Fallback>
        </mc:AlternateContent>
      </w:r>
    </w:p>
    <w:p w14:paraId="4720CAFE" w14:textId="77777777" w:rsidR="000B3C5C" w:rsidRDefault="00ED192D">
      <w:pPr>
        <w:spacing w:after="12"/>
        <w:ind w:left="-5" w:right="2"/>
      </w:pPr>
      <w:r>
        <w:rPr>
          <w:rFonts w:ascii="Arial" w:eastAsia="Arial" w:hAnsi="Arial" w:cs="Arial"/>
          <w:sz w:val="18"/>
        </w:rPr>
        <w:t xml:space="preserve">NOTES:  </w:t>
      </w:r>
    </w:p>
    <w:p w14:paraId="50185FBE" w14:textId="77777777" w:rsidR="000B3C5C" w:rsidRDefault="00ED192D">
      <w:pPr>
        <w:numPr>
          <w:ilvl w:val="0"/>
          <w:numId w:val="70"/>
        </w:numPr>
        <w:spacing w:after="12"/>
        <w:ind w:right="2" w:hanging="245"/>
      </w:pPr>
      <w:r>
        <w:rPr>
          <w:rFonts w:ascii="Arial" w:eastAsia="Arial" w:hAnsi="Arial" w:cs="Arial"/>
          <w:sz w:val="18"/>
        </w:rPr>
        <w:t xml:space="preserve">Typical use failure rates may differ from those when used consistently and correctly. Use should be consistent with local regulations regarding the use of contraceptive methods for participants participating in clinical studies.  </w:t>
      </w:r>
    </w:p>
    <w:p w14:paraId="521DE453" w14:textId="77777777" w:rsidR="000B3C5C" w:rsidRDefault="00ED192D">
      <w:pPr>
        <w:numPr>
          <w:ilvl w:val="0"/>
          <w:numId w:val="70"/>
        </w:numPr>
        <w:spacing w:after="12"/>
        <w:ind w:right="2" w:hanging="245"/>
      </w:pPr>
      <w:r>
        <w:rPr>
          <w:rFonts w:ascii="Arial" w:eastAsia="Arial" w:hAnsi="Arial" w:cs="Arial"/>
          <w:sz w:val="18"/>
        </w:rPr>
        <w:t xml:space="preserve">Hormonal contraception may be susceptible to interaction with the study intervention, which may reduce the efficacy of the contraceptive method. In this case, two highly effective methods of contraception should be utilized during the intervention period and for at least 5 months  after the last dose of study intervention </w:t>
      </w:r>
    </w:p>
    <w:p w14:paraId="5FCD17FF" w14:textId="77777777" w:rsidR="000B3C5C" w:rsidRDefault="00ED192D">
      <w:pPr>
        <w:spacing w:after="131" w:line="249" w:lineRule="auto"/>
        <w:ind w:left="-5" w:right="51"/>
      </w:pPr>
      <w:r>
        <w:rPr>
          <w:b/>
        </w:rPr>
        <w:t xml:space="preserve">PREGNANCY TESTING: </w:t>
      </w:r>
    </w:p>
    <w:p w14:paraId="5A1E754A" w14:textId="77777777" w:rsidR="000B3C5C" w:rsidRDefault="00ED192D">
      <w:pPr>
        <w:numPr>
          <w:ilvl w:val="1"/>
          <w:numId w:val="70"/>
        </w:numPr>
        <w:spacing w:after="135"/>
        <w:ind w:right="14" w:hanging="358"/>
      </w:pPr>
      <w:r>
        <w:t xml:space="preserve">WOCBP should only be included after a confirmed menstrual period and a negative highly sensitive serum pregnancy test. </w:t>
      </w:r>
    </w:p>
    <w:p w14:paraId="5D86880D" w14:textId="77777777" w:rsidR="000B3C5C" w:rsidRDefault="00ED192D">
      <w:pPr>
        <w:numPr>
          <w:ilvl w:val="1"/>
          <w:numId w:val="70"/>
        </w:numPr>
        <w:spacing w:after="135"/>
        <w:ind w:right="14" w:hanging="358"/>
      </w:pPr>
      <w:r>
        <w:t xml:space="preserve">Additional pregnancy testing is required during the intervention period and up to 5 months after the last dose of study intervention. </w:t>
      </w:r>
    </w:p>
    <w:p w14:paraId="0D1E3158" w14:textId="77777777" w:rsidR="000B3C5C" w:rsidRDefault="00ED192D">
      <w:pPr>
        <w:numPr>
          <w:ilvl w:val="1"/>
          <w:numId w:val="70"/>
        </w:numPr>
        <w:ind w:right="14" w:hanging="358"/>
      </w:pPr>
      <w:r>
        <w:t xml:space="preserve">Pregnancy testing will be performed whenever a menstrual cycle is missed or when pregnancy is otherwise suspected.  </w:t>
      </w:r>
    </w:p>
    <w:p w14:paraId="5A57AF8B" w14:textId="77777777" w:rsidR="000B3C5C" w:rsidRDefault="00ED192D">
      <w:pPr>
        <w:spacing w:line="249" w:lineRule="auto"/>
        <w:ind w:left="-5" w:right="51"/>
      </w:pPr>
      <w:r>
        <w:rPr>
          <w:b/>
        </w:rPr>
        <w:t xml:space="preserve">COLLECTION OF PREGNANCY INFORMATION:  </w:t>
      </w:r>
    </w:p>
    <w:p w14:paraId="70F658A3" w14:textId="77777777" w:rsidR="000B3C5C" w:rsidRDefault="00ED192D">
      <w:pPr>
        <w:pStyle w:val="Heading2"/>
        <w:spacing w:after="132"/>
        <w:ind w:left="-5" w:right="51"/>
      </w:pPr>
      <w:r>
        <w:t xml:space="preserve">Male participants with partners who become pregnant  </w:t>
      </w:r>
    </w:p>
    <w:p w14:paraId="35B349B2" w14:textId="77777777" w:rsidR="000B3C5C" w:rsidRDefault="00ED192D">
      <w:pPr>
        <w:numPr>
          <w:ilvl w:val="0"/>
          <w:numId w:val="71"/>
        </w:numPr>
        <w:spacing w:after="135"/>
        <w:ind w:right="14" w:hanging="358"/>
      </w:pPr>
      <w:r>
        <w:t xml:space="preserve">The Investigator will attempt to collect pregnancy information on any male participant’s female partner who becomes pregnant while the male participant is in this study. This applies only to male participants who receive study intervention. </w:t>
      </w:r>
    </w:p>
    <w:p w14:paraId="3A1EFB78" w14:textId="77777777" w:rsidR="000B3C5C" w:rsidRDefault="00ED192D">
      <w:pPr>
        <w:numPr>
          <w:ilvl w:val="0"/>
          <w:numId w:val="71"/>
        </w:numPr>
        <w:ind w:right="14" w:hanging="358"/>
      </w:pPr>
      <w:r>
        <w:t>After obtaining the necessary signed informed consent from the pregnant female partner directly, the Investigator will record pregnancy information on the appropriate form and submit it to the Sponsor within 24 hours of learning of the partner’s pregnancy. The female partner will also be followed to determine the outcome of the pregnancy. Information on the status of the mother and child will be forwarded to the Sponsor. Generally, the follow-up will be 1 year following the estimated delivery date. Any term</w:t>
      </w:r>
      <w:r>
        <w:t xml:space="preserve">ination of the pregnancy will be reported regardless of fetal status (presence or absence of anomalies) or indication for the procedure.  </w:t>
      </w:r>
    </w:p>
    <w:p w14:paraId="51A20136" w14:textId="77777777" w:rsidR="000B3C5C" w:rsidRDefault="00ED192D">
      <w:pPr>
        <w:pStyle w:val="Heading2"/>
        <w:spacing w:after="131"/>
        <w:ind w:left="-5" w:right="51"/>
      </w:pPr>
      <w:r>
        <w:t xml:space="preserve">Female participants who become pregnant  </w:t>
      </w:r>
    </w:p>
    <w:p w14:paraId="4F154D8E" w14:textId="77777777" w:rsidR="000B3C5C" w:rsidRDefault="00ED192D">
      <w:pPr>
        <w:numPr>
          <w:ilvl w:val="0"/>
          <w:numId w:val="72"/>
        </w:numPr>
        <w:spacing w:after="135"/>
        <w:ind w:right="14" w:hanging="358"/>
      </w:pPr>
      <w:r>
        <w:t>The Investigator will collect pregnancy information on any female participant who becomes pregnant 2 weeks before the first dose of isatuximab treatment, during the study, and within 5 months after the last dose of study treatment. Information will be recorded on the appropriate form and submitted to the Sponsor within 24 hours of learning of a participant's pregnancy. The participant will be followed to determine the outcome of the pregnancy. The Investigator will collect follow-up information on the parti</w:t>
      </w:r>
      <w:r>
        <w:t xml:space="preserve">cipant and the neonate and the information will be forwarded to the Sponsor. Generally, follow-up will be required for 1 year beyond the estimated delivery date. Any termination of pregnancy will be reported, regardless of fetal status (presence or absence of anomalies) or indication for the procedure. </w:t>
      </w:r>
    </w:p>
    <w:p w14:paraId="7F4D31B9" w14:textId="77777777" w:rsidR="000B3C5C" w:rsidRDefault="00ED192D">
      <w:pPr>
        <w:numPr>
          <w:ilvl w:val="0"/>
          <w:numId w:val="72"/>
        </w:numPr>
        <w:spacing w:after="135"/>
        <w:ind w:right="14" w:hanging="358"/>
      </w:pPr>
      <w:r>
        <w:t xml:space="preserve">Any pregnancy complication or elective termination of a pregnancy will be reported as an AE or SAE. A spontaneous abortion is always considered to be an SAE and will be reported as such. Any post-study pregnancy related SAE considered reasonably related to the study intervention by the Investigator will be reported to the Sponsor as described in </w:t>
      </w:r>
      <w:r>
        <w:rPr>
          <w:color w:val="0000FF"/>
        </w:rPr>
        <w:t>Section</w:t>
      </w:r>
      <w:r>
        <w:t xml:space="preserve"> </w:t>
      </w:r>
      <w:r>
        <w:rPr>
          <w:color w:val="0000FF"/>
        </w:rPr>
        <w:t>8.3.4</w:t>
      </w:r>
      <w:r>
        <w:t xml:space="preserve">. While the Investigator is not obligated to actively seek this information in former study participants, he or she may learn of an SAE through spontaneous reporting.  </w:t>
      </w:r>
    </w:p>
    <w:p w14:paraId="4F79910C" w14:textId="77777777" w:rsidR="000B3C5C" w:rsidRDefault="00ED192D">
      <w:pPr>
        <w:numPr>
          <w:ilvl w:val="0"/>
          <w:numId w:val="72"/>
        </w:numPr>
        <w:ind w:right="14" w:hanging="358"/>
      </w:pPr>
      <w:r>
        <w:t xml:space="preserve">Any female participant who becomes pregnant while participating in the study will discontinue study intervention. </w:t>
      </w:r>
    </w:p>
    <w:p w14:paraId="05BE6988" w14:textId="77777777" w:rsidR="000B3C5C" w:rsidRDefault="00ED192D">
      <w:pPr>
        <w:tabs>
          <w:tab w:val="center" w:pos="1964"/>
        </w:tabs>
        <w:spacing w:after="249" w:line="249" w:lineRule="auto"/>
        <w:ind w:left="-15" w:firstLine="0"/>
      </w:pPr>
      <w:r>
        <w:rPr>
          <w:rFonts w:ascii="Arial" w:eastAsia="Arial" w:hAnsi="Arial" w:cs="Arial"/>
          <w:b/>
          <w:sz w:val="22"/>
        </w:rPr>
        <w:t xml:space="preserve">10.5 </w:t>
      </w:r>
      <w:r>
        <w:rPr>
          <w:rFonts w:ascii="Arial" w:eastAsia="Arial" w:hAnsi="Arial" w:cs="Arial"/>
          <w:b/>
          <w:sz w:val="22"/>
        </w:rPr>
        <w:tab/>
        <w:t xml:space="preserve">APPENDIX 5: GENETICS  </w:t>
      </w:r>
    </w:p>
    <w:p w14:paraId="74E336A8" w14:textId="77777777" w:rsidR="000B3C5C" w:rsidRDefault="00ED192D">
      <w:pPr>
        <w:pStyle w:val="Heading2"/>
        <w:spacing w:after="131"/>
        <w:ind w:left="-5" w:right="51"/>
      </w:pPr>
      <w:r>
        <w:t xml:space="preserve">Use/Analysis of DNA </w:t>
      </w:r>
    </w:p>
    <w:p w14:paraId="4BB4CA56" w14:textId="77777777" w:rsidR="000B3C5C" w:rsidRDefault="00ED192D">
      <w:pPr>
        <w:numPr>
          <w:ilvl w:val="0"/>
          <w:numId w:val="73"/>
        </w:numPr>
        <w:spacing w:after="135"/>
        <w:ind w:right="14" w:hanging="358"/>
      </w:pPr>
      <w:r>
        <w:t xml:space="preserve">Genetic variation may impact a participant’s response to study intervention, susceptibility to, and severity and progression of disease. Variable response to study intervention may be due to genetic determinants that impact drug absorption, distribution, metabolism, and excretion; mechanism of action of the drug; disease etiology; and/or molecular subtype of the disease being treated. </w:t>
      </w:r>
    </w:p>
    <w:p w14:paraId="71C31018" w14:textId="77777777" w:rsidR="000B3C5C" w:rsidRDefault="00ED192D">
      <w:pPr>
        <w:numPr>
          <w:ilvl w:val="0"/>
          <w:numId w:val="73"/>
        </w:numPr>
        <w:spacing w:after="135"/>
        <w:ind w:right="14" w:hanging="358"/>
      </w:pPr>
      <w:r>
        <w:t xml:space="preserve">DNA samples will be used for research related to IMP and related diseases. They may also be used to develop tests/assays including diagnostic tests related to IMP administration. Genetic research may consist of the analysis of one or more candidate genes or analysis of the entire genome (as appropriate). </w:t>
      </w:r>
    </w:p>
    <w:p w14:paraId="634D542A" w14:textId="77777777" w:rsidR="000B3C5C" w:rsidRDefault="00ED192D">
      <w:pPr>
        <w:numPr>
          <w:ilvl w:val="0"/>
          <w:numId w:val="73"/>
        </w:numPr>
        <w:spacing w:after="135"/>
        <w:ind w:right="14" w:hanging="358"/>
      </w:pPr>
      <w:r>
        <w:t xml:space="preserve">DNA samples will be analyzed for immune genetic markers (such as FcgRIII polymorphism) and a panel of tumor somatic mutations. Additional analyses may be conducted if it is hypothesized that this may help further understand the clinical data. </w:t>
      </w:r>
    </w:p>
    <w:p w14:paraId="28A2BB3B" w14:textId="77777777" w:rsidR="000B3C5C" w:rsidRDefault="00ED192D">
      <w:pPr>
        <w:numPr>
          <w:ilvl w:val="0"/>
          <w:numId w:val="73"/>
        </w:numPr>
        <w:spacing w:after="135"/>
        <w:ind w:right="14" w:hanging="358"/>
      </w:pPr>
      <w:r>
        <w:t xml:space="preserve">The samples may be analyzed as part of a multi-study assessment of genetic factors involved in the response to IMP or study interventions of this class to understand study disease or related conditions. </w:t>
      </w:r>
    </w:p>
    <w:p w14:paraId="05F59676" w14:textId="77777777" w:rsidR="000B3C5C" w:rsidRDefault="00ED192D">
      <w:pPr>
        <w:numPr>
          <w:ilvl w:val="0"/>
          <w:numId w:val="73"/>
        </w:numPr>
        <w:spacing w:after="135"/>
        <w:ind w:right="14" w:hanging="358"/>
      </w:pPr>
      <w:r>
        <w:t xml:space="preserve">The results of genetic analyses may be reported in the CSR or in a separate study summary. </w:t>
      </w:r>
    </w:p>
    <w:p w14:paraId="3999E00B" w14:textId="77777777" w:rsidR="000B3C5C" w:rsidRDefault="00ED192D">
      <w:pPr>
        <w:numPr>
          <w:ilvl w:val="0"/>
          <w:numId w:val="73"/>
        </w:numPr>
        <w:spacing w:after="135"/>
        <w:ind w:right="14" w:hanging="358"/>
      </w:pPr>
      <w:r>
        <w:t xml:space="preserve">The Sponsor will store the DNA samples in a secure storage space with adequate measures to protect confidentiality.  </w:t>
      </w:r>
    </w:p>
    <w:p w14:paraId="5F34E228" w14:textId="77777777" w:rsidR="000B3C5C" w:rsidRDefault="00ED192D">
      <w:pPr>
        <w:numPr>
          <w:ilvl w:val="0"/>
          <w:numId w:val="73"/>
        </w:numPr>
        <w:spacing w:after="472" w:line="249" w:lineRule="auto"/>
        <w:ind w:right="14" w:hanging="358"/>
      </w:pPr>
      <w:r>
        <w:t xml:space="preserve">The samples will be retained while research on IMP continues but no longer than 5 years (or other period as per local requirements) </w:t>
      </w:r>
      <w:r>
        <w:t xml:space="preserve">after completion of the final study report. </w:t>
      </w:r>
    </w:p>
    <w:p w14:paraId="0AD50269" w14:textId="77777777" w:rsidR="000B3C5C" w:rsidRDefault="00ED192D">
      <w:pPr>
        <w:numPr>
          <w:ilvl w:val="1"/>
          <w:numId w:val="74"/>
        </w:numPr>
        <w:spacing w:after="249" w:line="249" w:lineRule="auto"/>
        <w:ind w:hanging="679"/>
      </w:pPr>
      <w:r>
        <w:rPr>
          <w:rFonts w:ascii="Arial" w:eastAsia="Arial" w:hAnsi="Arial" w:cs="Arial"/>
          <w:b/>
          <w:sz w:val="22"/>
        </w:rPr>
        <w:t xml:space="preserve">APPENDIX 6: LIVER AND OTHER SAFETY: SUGGESTED ACTIONS AND  FOLLOW-UP ASSESSMENTS  </w:t>
      </w:r>
    </w:p>
    <w:p w14:paraId="28CA1C82" w14:textId="77777777" w:rsidR="000B3C5C" w:rsidRDefault="00ED192D">
      <w:pPr>
        <w:spacing w:after="469"/>
        <w:ind w:left="-3" w:right="14"/>
      </w:pPr>
      <w:r>
        <w:t xml:space="preserve">Not applicable. </w:t>
      </w:r>
    </w:p>
    <w:p w14:paraId="6CB48110" w14:textId="77777777" w:rsidR="000B3C5C" w:rsidRDefault="00ED192D">
      <w:pPr>
        <w:numPr>
          <w:ilvl w:val="1"/>
          <w:numId w:val="74"/>
        </w:numPr>
        <w:spacing w:after="249" w:line="249" w:lineRule="auto"/>
        <w:ind w:hanging="679"/>
      </w:pPr>
      <w:r>
        <w:rPr>
          <w:rFonts w:ascii="Arial" w:eastAsia="Arial" w:hAnsi="Arial" w:cs="Arial"/>
          <w:b/>
          <w:sz w:val="22"/>
        </w:rPr>
        <w:t xml:space="preserve">APPENDIX 7: MEDICAL DEVICE INCIDENTS: DEFINITION AND PROCEDURES FOR RECORDING, EVALUATING, FOLLOW-UP, AND REPORTING  </w:t>
      </w:r>
    </w:p>
    <w:p w14:paraId="63C83AD9" w14:textId="77777777" w:rsidR="000B3C5C" w:rsidRDefault="00ED192D">
      <w:pPr>
        <w:ind w:left="-3" w:right="14"/>
      </w:pPr>
      <w:r>
        <w:t xml:space="preserve">Not applicable. </w:t>
      </w:r>
    </w:p>
    <w:p w14:paraId="13867039" w14:textId="77777777" w:rsidR="000B3C5C" w:rsidRDefault="00ED192D">
      <w:pPr>
        <w:pStyle w:val="Heading3"/>
        <w:tabs>
          <w:tab w:val="center" w:pos="3405"/>
        </w:tabs>
        <w:spacing w:after="354"/>
        <w:ind w:left="-15" w:firstLine="0"/>
      </w:pPr>
      <w:r>
        <w:t xml:space="preserve">10.8 </w:t>
      </w:r>
      <w:r>
        <w:tab/>
        <w:t xml:space="preserve">APPENDIX 8: COUNTRY-SPECIFIC REQUIREMENTS  </w:t>
      </w:r>
    </w:p>
    <w:p w14:paraId="278C08EF" w14:textId="77777777" w:rsidR="000B3C5C" w:rsidRDefault="00ED192D">
      <w:pPr>
        <w:spacing w:after="249" w:line="249" w:lineRule="auto"/>
        <w:ind w:left="-5"/>
      </w:pPr>
      <w:r>
        <w:rPr>
          <w:rFonts w:ascii="Arial" w:eastAsia="Arial" w:hAnsi="Arial" w:cs="Arial"/>
          <w:b/>
          <w:sz w:val="22"/>
        </w:rPr>
        <w:t xml:space="preserve">10.8.1 Amendment for France  </w:t>
      </w:r>
    </w:p>
    <w:p w14:paraId="423F8494" w14:textId="77777777" w:rsidR="000B3C5C" w:rsidRDefault="00ED192D">
      <w:pPr>
        <w:pStyle w:val="Heading2"/>
        <w:spacing w:after="10"/>
        <w:ind w:left="-5" w:right="51"/>
      </w:pPr>
      <w:r>
        <w:rPr>
          <w:b w:val="0"/>
          <w:color w:val="0000FF"/>
        </w:rPr>
        <w:t>Section</w:t>
      </w:r>
      <w:r>
        <w:rPr>
          <w:b w:val="0"/>
        </w:rPr>
        <w:t xml:space="preserve"> </w:t>
      </w:r>
      <w:r>
        <w:rPr>
          <w:b w:val="0"/>
          <w:color w:val="0000FF"/>
        </w:rPr>
        <w:t>5.1</w:t>
      </w:r>
      <w:r>
        <w:rPr>
          <w:b w:val="0"/>
        </w:rPr>
        <w:t xml:space="preserve"> </w:t>
      </w:r>
      <w:r>
        <w:t>Inclusion Criteria (</w:t>
      </w:r>
      <w:r>
        <w:rPr>
          <w:color w:val="0000FF"/>
        </w:rPr>
        <w:t>I 14</w:t>
      </w:r>
      <w:r>
        <w:t xml:space="preserve">) </w:t>
      </w:r>
    </w:p>
    <w:tbl>
      <w:tblPr>
        <w:tblStyle w:val="TableGrid"/>
        <w:tblW w:w="9500" w:type="dxa"/>
        <w:tblInd w:w="0" w:type="dxa"/>
        <w:tblCellMar>
          <w:top w:w="0" w:type="dxa"/>
          <w:left w:w="0" w:type="dxa"/>
          <w:bottom w:w="0" w:type="dxa"/>
          <w:right w:w="0" w:type="dxa"/>
        </w:tblCellMar>
        <w:tblLook w:val="04A0" w:firstRow="1" w:lastRow="0" w:firstColumn="1" w:lastColumn="0" w:noHBand="0" w:noVBand="1"/>
      </w:tblPr>
      <w:tblGrid>
        <w:gridCol w:w="1702"/>
        <w:gridCol w:w="7798"/>
      </w:tblGrid>
      <w:tr w:rsidR="000B3C5C" w14:paraId="12475DD0" w14:textId="77777777">
        <w:trPr>
          <w:trHeight w:val="4145"/>
        </w:trPr>
        <w:tc>
          <w:tcPr>
            <w:tcW w:w="9500" w:type="dxa"/>
            <w:gridSpan w:val="2"/>
            <w:tcBorders>
              <w:top w:val="nil"/>
              <w:left w:val="nil"/>
              <w:bottom w:val="nil"/>
              <w:right w:val="nil"/>
            </w:tcBorders>
          </w:tcPr>
          <w:p w14:paraId="19CDEDBF" w14:textId="77777777" w:rsidR="000B3C5C" w:rsidRDefault="00ED192D">
            <w:pPr>
              <w:spacing w:after="121" w:line="259" w:lineRule="auto"/>
              <w:ind w:left="0" w:firstLine="0"/>
            </w:pPr>
            <w:r>
              <w:t xml:space="preserve">I14.   Platinum-resistant/refractory disease: </w:t>
            </w:r>
          </w:p>
          <w:p w14:paraId="0C2672E9" w14:textId="77777777" w:rsidR="000B3C5C" w:rsidRDefault="00ED192D">
            <w:pPr>
              <w:numPr>
                <w:ilvl w:val="0"/>
                <w:numId w:val="90"/>
              </w:numPr>
              <w:spacing w:after="144" w:line="239" w:lineRule="auto"/>
              <w:ind w:hanging="358"/>
            </w:pPr>
            <w:r>
              <w:t xml:space="preserve">Received up to 3 lines of prior platinum-containing therapy when the disease was platinum-sensitive, and, </w:t>
            </w:r>
          </w:p>
          <w:p w14:paraId="3A1302CD" w14:textId="77777777" w:rsidR="000B3C5C" w:rsidRDefault="00ED192D">
            <w:pPr>
              <w:numPr>
                <w:ilvl w:val="0"/>
                <w:numId w:val="90"/>
              </w:numPr>
              <w:spacing w:after="145" w:line="238" w:lineRule="auto"/>
              <w:ind w:hanging="358"/>
            </w:pPr>
            <w:r>
              <w:t xml:space="preserve">Documentation of PD on or after 1 line of anti-cancer therapy for platinum-resistant/refractory disease (unless patients are ineligible or intolerant to standard of care for platinum-resistant/refractory disease). Platinum-resistant/refractory disease is defined as PD within 6 months following the last administered dose of platinumcontaining therapy (resistant), or lack of response or disease progression while receiving the most recent platinum-containing therapy (refractory), respectively. </w:t>
            </w:r>
          </w:p>
          <w:p w14:paraId="065F481F" w14:textId="77777777" w:rsidR="000B3C5C" w:rsidRDefault="00ED192D">
            <w:pPr>
              <w:numPr>
                <w:ilvl w:val="0"/>
                <w:numId w:val="90"/>
              </w:numPr>
              <w:spacing w:after="415" w:line="259" w:lineRule="auto"/>
              <w:ind w:hanging="358"/>
            </w:pPr>
            <w:r>
              <w:t xml:space="preserve">Previous treatment with up to one line of PARP inhibitor therapy is allowed. </w:t>
            </w:r>
          </w:p>
          <w:p w14:paraId="105E71FB" w14:textId="77777777" w:rsidR="000B3C5C" w:rsidRDefault="00ED192D">
            <w:pPr>
              <w:tabs>
                <w:tab w:val="center" w:pos="2311"/>
              </w:tabs>
              <w:spacing w:after="0" w:line="259" w:lineRule="auto"/>
              <w:ind w:left="0" w:firstLine="0"/>
            </w:pPr>
            <w:r>
              <w:rPr>
                <w:rFonts w:ascii="Arial" w:eastAsia="Arial" w:hAnsi="Arial" w:cs="Arial"/>
                <w:b/>
                <w:sz w:val="22"/>
              </w:rPr>
              <w:t xml:space="preserve">10.9 </w:t>
            </w:r>
            <w:r>
              <w:rPr>
                <w:rFonts w:ascii="Arial" w:eastAsia="Arial" w:hAnsi="Arial" w:cs="Arial"/>
                <w:b/>
                <w:sz w:val="22"/>
              </w:rPr>
              <w:tab/>
              <w:t xml:space="preserve">APPENDIX 9: ABBREVIATIONS  </w:t>
            </w:r>
          </w:p>
        </w:tc>
      </w:tr>
      <w:tr w:rsidR="000B3C5C" w14:paraId="17A1B84F" w14:textId="77777777">
        <w:trPr>
          <w:trHeight w:val="247"/>
        </w:trPr>
        <w:tc>
          <w:tcPr>
            <w:tcW w:w="1702" w:type="dxa"/>
            <w:tcBorders>
              <w:top w:val="nil"/>
              <w:left w:val="nil"/>
              <w:bottom w:val="nil"/>
              <w:right w:val="nil"/>
            </w:tcBorders>
          </w:tcPr>
          <w:p w14:paraId="56E6ADCF" w14:textId="77777777" w:rsidR="000B3C5C" w:rsidRDefault="00ED192D">
            <w:pPr>
              <w:spacing w:after="0" w:line="259" w:lineRule="auto"/>
              <w:ind w:left="0" w:firstLine="0"/>
            </w:pPr>
            <w:r>
              <w:t xml:space="preserve"> </w:t>
            </w:r>
          </w:p>
        </w:tc>
        <w:tc>
          <w:tcPr>
            <w:tcW w:w="7798" w:type="dxa"/>
            <w:tcBorders>
              <w:top w:val="nil"/>
              <w:left w:val="nil"/>
              <w:bottom w:val="nil"/>
              <w:right w:val="nil"/>
            </w:tcBorders>
          </w:tcPr>
          <w:p w14:paraId="6AA6AF58" w14:textId="77777777" w:rsidR="000B3C5C" w:rsidRDefault="000B3C5C">
            <w:pPr>
              <w:spacing w:after="160" w:line="259" w:lineRule="auto"/>
              <w:ind w:left="0" w:firstLine="0"/>
            </w:pPr>
          </w:p>
        </w:tc>
      </w:tr>
      <w:tr w:rsidR="000B3C5C" w14:paraId="3BDAFE0F" w14:textId="77777777">
        <w:trPr>
          <w:trHeight w:val="276"/>
        </w:trPr>
        <w:tc>
          <w:tcPr>
            <w:tcW w:w="1702" w:type="dxa"/>
            <w:tcBorders>
              <w:top w:val="nil"/>
              <w:left w:val="nil"/>
              <w:bottom w:val="nil"/>
              <w:right w:val="nil"/>
            </w:tcBorders>
          </w:tcPr>
          <w:p w14:paraId="32287369" w14:textId="77777777" w:rsidR="000B3C5C" w:rsidRDefault="00ED192D">
            <w:pPr>
              <w:spacing w:after="0" w:line="259" w:lineRule="auto"/>
              <w:ind w:left="0" w:firstLine="0"/>
            </w:pPr>
            <w:r>
              <w:t xml:space="preserve">ADA: </w:t>
            </w:r>
          </w:p>
        </w:tc>
        <w:tc>
          <w:tcPr>
            <w:tcW w:w="7798" w:type="dxa"/>
            <w:tcBorders>
              <w:top w:val="nil"/>
              <w:left w:val="nil"/>
              <w:bottom w:val="nil"/>
              <w:right w:val="nil"/>
            </w:tcBorders>
          </w:tcPr>
          <w:p w14:paraId="54E04C46" w14:textId="77777777" w:rsidR="000B3C5C" w:rsidRDefault="00ED192D">
            <w:pPr>
              <w:spacing w:after="0" w:line="259" w:lineRule="auto"/>
              <w:ind w:left="0" w:firstLine="0"/>
            </w:pPr>
            <w:r>
              <w:t xml:space="preserve">anti-drug antibody </w:t>
            </w:r>
          </w:p>
        </w:tc>
      </w:tr>
      <w:tr w:rsidR="000B3C5C" w14:paraId="284E0126" w14:textId="77777777">
        <w:trPr>
          <w:trHeight w:val="276"/>
        </w:trPr>
        <w:tc>
          <w:tcPr>
            <w:tcW w:w="1702" w:type="dxa"/>
            <w:tcBorders>
              <w:top w:val="nil"/>
              <w:left w:val="nil"/>
              <w:bottom w:val="nil"/>
              <w:right w:val="nil"/>
            </w:tcBorders>
          </w:tcPr>
          <w:p w14:paraId="5B515D1D" w14:textId="77777777" w:rsidR="000B3C5C" w:rsidRDefault="00ED192D">
            <w:pPr>
              <w:spacing w:after="0" w:line="259" w:lineRule="auto"/>
              <w:ind w:left="0" w:firstLine="0"/>
            </w:pPr>
            <w:r>
              <w:t xml:space="preserve">ADR: </w:t>
            </w:r>
          </w:p>
        </w:tc>
        <w:tc>
          <w:tcPr>
            <w:tcW w:w="7798" w:type="dxa"/>
            <w:tcBorders>
              <w:top w:val="nil"/>
              <w:left w:val="nil"/>
              <w:bottom w:val="nil"/>
              <w:right w:val="nil"/>
            </w:tcBorders>
          </w:tcPr>
          <w:p w14:paraId="5B6E0F4E" w14:textId="77777777" w:rsidR="000B3C5C" w:rsidRDefault="00ED192D">
            <w:pPr>
              <w:spacing w:after="0" w:line="259" w:lineRule="auto"/>
              <w:ind w:left="0" w:firstLine="0"/>
            </w:pPr>
            <w:r>
              <w:t xml:space="preserve">adverse drug reaction </w:t>
            </w:r>
          </w:p>
        </w:tc>
      </w:tr>
      <w:tr w:rsidR="000B3C5C" w14:paraId="0461F03B" w14:textId="77777777">
        <w:trPr>
          <w:trHeight w:val="276"/>
        </w:trPr>
        <w:tc>
          <w:tcPr>
            <w:tcW w:w="1702" w:type="dxa"/>
            <w:tcBorders>
              <w:top w:val="nil"/>
              <w:left w:val="nil"/>
              <w:bottom w:val="nil"/>
              <w:right w:val="nil"/>
            </w:tcBorders>
          </w:tcPr>
          <w:p w14:paraId="538ED22A" w14:textId="77777777" w:rsidR="000B3C5C" w:rsidRDefault="00ED192D">
            <w:pPr>
              <w:spacing w:after="0" w:line="259" w:lineRule="auto"/>
              <w:ind w:left="0" w:firstLine="0"/>
            </w:pPr>
            <w:r>
              <w:t xml:space="preserve">AE: </w:t>
            </w:r>
          </w:p>
        </w:tc>
        <w:tc>
          <w:tcPr>
            <w:tcW w:w="7798" w:type="dxa"/>
            <w:tcBorders>
              <w:top w:val="nil"/>
              <w:left w:val="nil"/>
              <w:bottom w:val="nil"/>
              <w:right w:val="nil"/>
            </w:tcBorders>
          </w:tcPr>
          <w:p w14:paraId="29217A6A" w14:textId="77777777" w:rsidR="000B3C5C" w:rsidRDefault="00ED192D">
            <w:pPr>
              <w:spacing w:after="0" w:line="259" w:lineRule="auto"/>
              <w:ind w:left="0" w:firstLine="0"/>
            </w:pPr>
            <w:r>
              <w:t xml:space="preserve">adverse event </w:t>
            </w:r>
          </w:p>
        </w:tc>
      </w:tr>
      <w:tr w:rsidR="000B3C5C" w14:paraId="58D219D3" w14:textId="77777777">
        <w:trPr>
          <w:trHeight w:val="276"/>
        </w:trPr>
        <w:tc>
          <w:tcPr>
            <w:tcW w:w="1702" w:type="dxa"/>
            <w:tcBorders>
              <w:top w:val="nil"/>
              <w:left w:val="nil"/>
              <w:bottom w:val="nil"/>
              <w:right w:val="nil"/>
            </w:tcBorders>
          </w:tcPr>
          <w:p w14:paraId="3C49B1FE" w14:textId="77777777" w:rsidR="000B3C5C" w:rsidRDefault="00ED192D">
            <w:pPr>
              <w:spacing w:after="0" w:line="259" w:lineRule="auto"/>
              <w:ind w:left="0" w:firstLine="0"/>
            </w:pPr>
            <w:r>
              <w:t xml:space="preserve">AESI: </w:t>
            </w:r>
          </w:p>
        </w:tc>
        <w:tc>
          <w:tcPr>
            <w:tcW w:w="7798" w:type="dxa"/>
            <w:tcBorders>
              <w:top w:val="nil"/>
              <w:left w:val="nil"/>
              <w:bottom w:val="nil"/>
              <w:right w:val="nil"/>
            </w:tcBorders>
          </w:tcPr>
          <w:p w14:paraId="723E3DB4" w14:textId="77777777" w:rsidR="000B3C5C" w:rsidRDefault="00ED192D">
            <w:pPr>
              <w:spacing w:after="0" w:line="259" w:lineRule="auto"/>
              <w:ind w:left="0" w:firstLine="0"/>
            </w:pPr>
            <w:r>
              <w:t xml:space="preserve">adverse event of special interest </w:t>
            </w:r>
          </w:p>
        </w:tc>
      </w:tr>
      <w:tr w:rsidR="000B3C5C" w14:paraId="5EB600D8" w14:textId="77777777">
        <w:trPr>
          <w:trHeight w:val="276"/>
        </w:trPr>
        <w:tc>
          <w:tcPr>
            <w:tcW w:w="1702" w:type="dxa"/>
            <w:tcBorders>
              <w:top w:val="nil"/>
              <w:left w:val="nil"/>
              <w:bottom w:val="nil"/>
              <w:right w:val="nil"/>
            </w:tcBorders>
          </w:tcPr>
          <w:p w14:paraId="0F35A206" w14:textId="77777777" w:rsidR="000B3C5C" w:rsidRDefault="00ED192D">
            <w:pPr>
              <w:spacing w:after="0" w:line="259" w:lineRule="auto"/>
              <w:ind w:left="0" w:firstLine="0"/>
            </w:pPr>
            <w:r>
              <w:t xml:space="preserve">AFP: </w:t>
            </w:r>
          </w:p>
        </w:tc>
        <w:tc>
          <w:tcPr>
            <w:tcW w:w="7798" w:type="dxa"/>
            <w:tcBorders>
              <w:top w:val="nil"/>
              <w:left w:val="nil"/>
              <w:bottom w:val="nil"/>
              <w:right w:val="nil"/>
            </w:tcBorders>
          </w:tcPr>
          <w:p w14:paraId="17958903" w14:textId="77777777" w:rsidR="000B3C5C" w:rsidRDefault="00ED192D">
            <w:pPr>
              <w:spacing w:after="0" w:line="259" w:lineRule="auto"/>
              <w:ind w:left="0" w:firstLine="0"/>
            </w:pPr>
            <w:r>
              <w:t xml:space="preserve">alpha-fetoprotein </w:t>
            </w:r>
          </w:p>
        </w:tc>
      </w:tr>
      <w:tr w:rsidR="000B3C5C" w14:paraId="6CF01704" w14:textId="77777777">
        <w:trPr>
          <w:trHeight w:val="276"/>
        </w:trPr>
        <w:tc>
          <w:tcPr>
            <w:tcW w:w="1702" w:type="dxa"/>
            <w:tcBorders>
              <w:top w:val="nil"/>
              <w:left w:val="nil"/>
              <w:bottom w:val="nil"/>
              <w:right w:val="nil"/>
            </w:tcBorders>
          </w:tcPr>
          <w:p w14:paraId="074B469F" w14:textId="77777777" w:rsidR="000B3C5C" w:rsidRDefault="00ED192D">
            <w:pPr>
              <w:spacing w:after="0" w:line="259" w:lineRule="auto"/>
              <w:ind w:left="0" w:firstLine="0"/>
            </w:pPr>
            <w:r>
              <w:t xml:space="preserve">ALP: </w:t>
            </w:r>
          </w:p>
        </w:tc>
        <w:tc>
          <w:tcPr>
            <w:tcW w:w="7798" w:type="dxa"/>
            <w:tcBorders>
              <w:top w:val="nil"/>
              <w:left w:val="nil"/>
              <w:bottom w:val="nil"/>
              <w:right w:val="nil"/>
            </w:tcBorders>
          </w:tcPr>
          <w:p w14:paraId="6DE107AB" w14:textId="77777777" w:rsidR="000B3C5C" w:rsidRDefault="00ED192D">
            <w:pPr>
              <w:spacing w:after="0" w:line="259" w:lineRule="auto"/>
              <w:ind w:left="0" w:firstLine="0"/>
            </w:pPr>
            <w:r>
              <w:t xml:space="preserve">alkaline phosphatase </w:t>
            </w:r>
          </w:p>
        </w:tc>
      </w:tr>
      <w:tr w:rsidR="000B3C5C" w14:paraId="3459E525" w14:textId="77777777">
        <w:trPr>
          <w:trHeight w:val="273"/>
        </w:trPr>
        <w:tc>
          <w:tcPr>
            <w:tcW w:w="1702" w:type="dxa"/>
            <w:tcBorders>
              <w:top w:val="nil"/>
              <w:left w:val="nil"/>
              <w:bottom w:val="nil"/>
              <w:right w:val="nil"/>
            </w:tcBorders>
          </w:tcPr>
          <w:p w14:paraId="51AFE3DF" w14:textId="77777777" w:rsidR="000B3C5C" w:rsidRDefault="00ED192D">
            <w:pPr>
              <w:spacing w:after="0" w:line="259" w:lineRule="auto"/>
              <w:ind w:left="0" w:firstLine="0"/>
            </w:pPr>
            <w:r>
              <w:t xml:space="preserve">ALT: </w:t>
            </w:r>
          </w:p>
        </w:tc>
        <w:tc>
          <w:tcPr>
            <w:tcW w:w="7798" w:type="dxa"/>
            <w:tcBorders>
              <w:top w:val="nil"/>
              <w:left w:val="nil"/>
              <w:bottom w:val="nil"/>
              <w:right w:val="nil"/>
            </w:tcBorders>
          </w:tcPr>
          <w:p w14:paraId="63C5BFBF" w14:textId="77777777" w:rsidR="000B3C5C" w:rsidRDefault="00ED192D">
            <w:pPr>
              <w:spacing w:after="0" w:line="259" w:lineRule="auto"/>
              <w:ind w:left="0" w:firstLine="0"/>
            </w:pPr>
            <w:r>
              <w:t xml:space="preserve">alanine aminotransferase </w:t>
            </w:r>
          </w:p>
        </w:tc>
      </w:tr>
      <w:tr w:rsidR="000B3C5C" w14:paraId="544320DC" w14:textId="77777777">
        <w:trPr>
          <w:trHeight w:val="277"/>
        </w:trPr>
        <w:tc>
          <w:tcPr>
            <w:tcW w:w="1702" w:type="dxa"/>
            <w:tcBorders>
              <w:top w:val="nil"/>
              <w:left w:val="nil"/>
              <w:bottom w:val="nil"/>
              <w:right w:val="nil"/>
            </w:tcBorders>
          </w:tcPr>
          <w:p w14:paraId="77B87F59" w14:textId="77777777" w:rsidR="000B3C5C" w:rsidRDefault="00ED192D">
            <w:pPr>
              <w:spacing w:after="0" w:line="259" w:lineRule="auto"/>
              <w:ind w:left="0" w:firstLine="0"/>
            </w:pPr>
            <w:r>
              <w:rPr>
                <w:rFonts w:ascii="Arial" w:eastAsia="Arial" w:hAnsi="Arial" w:cs="Arial"/>
              </w:rPr>
              <w:t>AP</w:t>
            </w:r>
            <w:r>
              <w:t xml:space="preserve">: </w:t>
            </w:r>
          </w:p>
        </w:tc>
        <w:tc>
          <w:tcPr>
            <w:tcW w:w="7798" w:type="dxa"/>
            <w:tcBorders>
              <w:top w:val="nil"/>
              <w:left w:val="nil"/>
              <w:bottom w:val="nil"/>
              <w:right w:val="nil"/>
            </w:tcBorders>
          </w:tcPr>
          <w:p w14:paraId="7BFA8166" w14:textId="77777777" w:rsidR="000B3C5C" w:rsidRDefault="00ED192D">
            <w:pPr>
              <w:spacing w:after="0" w:line="259" w:lineRule="auto"/>
              <w:ind w:left="0" w:firstLine="0"/>
            </w:pPr>
            <w:r>
              <w:t xml:space="preserve">antibody-plasma </w:t>
            </w:r>
          </w:p>
        </w:tc>
      </w:tr>
      <w:tr w:rsidR="000B3C5C" w14:paraId="1296662F" w14:textId="77777777">
        <w:trPr>
          <w:trHeight w:val="279"/>
        </w:trPr>
        <w:tc>
          <w:tcPr>
            <w:tcW w:w="1702" w:type="dxa"/>
            <w:tcBorders>
              <w:top w:val="nil"/>
              <w:left w:val="nil"/>
              <w:bottom w:val="nil"/>
              <w:right w:val="nil"/>
            </w:tcBorders>
          </w:tcPr>
          <w:p w14:paraId="2E508D09" w14:textId="77777777" w:rsidR="000B3C5C" w:rsidRDefault="00ED192D">
            <w:pPr>
              <w:spacing w:after="0" w:line="259" w:lineRule="auto"/>
              <w:ind w:left="0" w:firstLine="0"/>
            </w:pPr>
            <w:r>
              <w:rPr>
                <w:rFonts w:ascii="Arial" w:eastAsia="Arial" w:hAnsi="Arial" w:cs="Arial"/>
              </w:rPr>
              <w:t>AS</w:t>
            </w:r>
            <w:r>
              <w:t xml:space="preserve">: </w:t>
            </w:r>
          </w:p>
        </w:tc>
        <w:tc>
          <w:tcPr>
            <w:tcW w:w="7798" w:type="dxa"/>
            <w:tcBorders>
              <w:top w:val="nil"/>
              <w:left w:val="nil"/>
              <w:bottom w:val="nil"/>
              <w:right w:val="nil"/>
            </w:tcBorders>
          </w:tcPr>
          <w:p w14:paraId="633F686F" w14:textId="77777777" w:rsidR="000B3C5C" w:rsidRDefault="00ED192D">
            <w:pPr>
              <w:spacing w:after="0" w:line="259" w:lineRule="auto"/>
              <w:ind w:left="0" w:firstLine="0"/>
            </w:pPr>
            <w:r>
              <w:t xml:space="preserve">antibody-serum </w:t>
            </w:r>
          </w:p>
        </w:tc>
      </w:tr>
      <w:tr w:rsidR="000B3C5C" w14:paraId="18519C7B" w14:textId="77777777">
        <w:trPr>
          <w:trHeight w:val="275"/>
        </w:trPr>
        <w:tc>
          <w:tcPr>
            <w:tcW w:w="1702" w:type="dxa"/>
            <w:tcBorders>
              <w:top w:val="nil"/>
              <w:left w:val="nil"/>
              <w:bottom w:val="nil"/>
              <w:right w:val="nil"/>
            </w:tcBorders>
          </w:tcPr>
          <w:p w14:paraId="2EDAD638" w14:textId="77777777" w:rsidR="000B3C5C" w:rsidRDefault="00ED192D">
            <w:pPr>
              <w:spacing w:after="0" w:line="259" w:lineRule="auto"/>
              <w:ind w:left="0" w:firstLine="0"/>
            </w:pPr>
            <w:r>
              <w:t xml:space="preserve">AST: </w:t>
            </w:r>
          </w:p>
        </w:tc>
        <w:tc>
          <w:tcPr>
            <w:tcW w:w="7798" w:type="dxa"/>
            <w:tcBorders>
              <w:top w:val="nil"/>
              <w:left w:val="nil"/>
              <w:bottom w:val="nil"/>
              <w:right w:val="nil"/>
            </w:tcBorders>
          </w:tcPr>
          <w:p w14:paraId="1C58DE37" w14:textId="77777777" w:rsidR="000B3C5C" w:rsidRDefault="00ED192D">
            <w:pPr>
              <w:spacing w:after="0" w:line="259" w:lineRule="auto"/>
              <w:ind w:left="0" w:firstLine="0"/>
            </w:pPr>
            <w:r>
              <w:t xml:space="preserve">aspartate aminotransferase </w:t>
            </w:r>
          </w:p>
        </w:tc>
      </w:tr>
      <w:tr w:rsidR="000B3C5C" w14:paraId="3C809679" w14:textId="77777777">
        <w:trPr>
          <w:trHeight w:val="276"/>
        </w:trPr>
        <w:tc>
          <w:tcPr>
            <w:tcW w:w="1702" w:type="dxa"/>
            <w:tcBorders>
              <w:top w:val="nil"/>
              <w:left w:val="nil"/>
              <w:bottom w:val="nil"/>
              <w:right w:val="nil"/>
            </w:tcBorders>
          </w:tcPr>
          <w:p w14:paraId="0DECCC84" w14:textId="77777777" w:rsidR="000B3C5C" w:rsidRDefault="00ED192D">
            <w:pPr>
              <w:spacing w:after="0" w:line="259" w:lineRule="auto"/>
              <w:ind w:left="0" w:firstLine="0"/>
            </w:pPr>
            <w:r>
              <w:t xml:space="preserve">AUC: </w:t>
            </w:r>
          </w:p>
        </w:tc>
        <w:tc>
          <w:tcPr>
            <w:tcW w:w="7798" w:type="dxa"/>
            <w:tcBorders>
              <w:top w:val="nil"/>
              <w:left w:val="nil"/>
              <w:bottom w:val="nil"/>
              <w:right w:val="nil"/>
            </w:tcBorders>
          </w:tcPr>
          <w:p w14:paraId="506E8F69" w14:textId="77777777" w:rsidR="000B3C5C" w:rsidRDefault="00ED192D">
            <w:pPr>
              <w:spacing w:after="0" w:line="259" w:lineRule="auto"/>
              <w:ind w:left="0" w:firstLine="0"/>
            </w:pPr>
            <w:r>
              <w:t xml:space="preserve">area under the curve </w:t>
            </w:r>
          </w:p>
        </w:tc>
      </w:tr>
      <w:tr w:rsidR="000B3C5C" w14:paraId="79112D04" w14:textId="77777777">
        <w:trPr>
          <w:trHeight w:val="276"/>
        </w:trPr>
        <w:tc>
          <w:tcPr>
            <w:tcW w:w="1702" w:type="dxa"/>
            <w:tcBorders>
              <w:top w:val="nil"/>
              <w:left w:val="nil"/>
              <w:bottom w:val="nil"/>
              <w:right w:val="nil"/>
            </w:tcBorders>
          </w:tcPr>
          <w:p w14:paraId="2C1965F1" w14:textId="77777777" w:rsidR="000B3C5C" w:rsidRDefault="00ED192D">
            <w:pPr>
              <w:spacing w:after="0" w:line="259" w:lineRule="auto"/>
              <w:ind w:left="0" w:firstLine="0"/>
            </w:pPr>
            <w:r>
              <w:t xml:space="preserve">BBB: </w:t>
            </w:r>
          </w:p>
        </w:tc>
        <w:tc>
          <w:tcPr>
            <w:tcW w:w="7798" w:type="dxa"/>
            <w:tcBorders>
              <w:top w:val="nil"/>
              <w:left w:val="nil"/>
              <w:bottom w:val="nil"/>
              <w:right w:val="nil"/>
            </w:tcBorders>
          </w:tcPr>
          <w:p w14:paraId="65689B0D" w14:textId="77777777" w:rsidR="000B3C5C" w:rsidRDefault="00ED192D">
            <w:pPr>
              <w:spacing w:after="0" w:line="259" w:lineRule="auto"/>
              <w:ind w:left="0" w:firstLine="0"/>
            </w:pPr>
            <w:r>
              <w:t xml:space="preserve">blood brain barrier </w:t>
            </w:r>
          </w:p>
        </w:tc>
      </w:tr>
      <w:tr w:rsidR="000B3C5C" w14:paraId="09332488" w14:textId="77777777">
        <w:trPr>
          <w:trHeight w:val="276"/>
        </w:trPr>
        <w:tc>
          <w:tcPr>
            <w:tcW w:w="1702" w:type="dxa"/>
            <w:tcBorders>
              <w:top w:val="nil"/>
              <w:left w:val="nil"/>
              <w:bottom w:val="nil"/>
              <w:right w:val="nil"/>
            </w:tcBorders>
          </w:tcPr>
          <w:p w14:paraId="22F8F6DB" w14:textId="77777777" w:rsidR="000B3C5C" w:rsidRDefault="00ED192D">
            <w:pPr>
              <w:spacing w:after="0" w:line="259" w:lineRule="auto"/>
              <w:ind w:left="0" w:firstLine="0"/>
            </w:pPr>
            <w:r>
              <w:t xml:space="preserve">BCLC: </w:t>
            </w:r>
          </w:p>
        </w:tc>
        <w:tc>
          <w:tcPr>
            <w:tcW w:w="7798" w:type="dxa"/>
            <w:tcBorders>
              <w:top w:val="nil"/>
              <w:left w:val="nil"/>
              <w:bottom w:val="nil"/>
              <w:right w:val="nil"/>
            </w:tcBorders>
          </w:tcPr>
          <w:p w14:paraId="4422E189" w14:textId="77777777" w:rsidR="000B3C5C" w:rsidRDefault="00ED192D">
            <w:pPr>
              <w:spacing w:after="0" w:line="259" w:lineRule="auto"/>
              <w:ind w:left="0" w:firstLine="0"/>
            </w:pPr>
            <w:r>
              <w:t xml:space="preserve">Barcelona Clinic Liver Cancer </w:t>
            </w:r>
          </w:p>
        </w:tc>
      </w:tr>
      <w:tr w:rsidR="000B3C5C" w14:paraId="033774AB" w14:textId="77777777">
        <w:trPr>
          <w:trHeight w:val="276"/>
        </w:trPr>
        <w:tc>
          <w:tcPr>
            <w:tcW w:w="1702" w:type="dxa"/>
            <w:tcBorders>
              <w:top w:val="nil"/>
              <w:left w:val="nil"/>
              <w:bottom w:val="nil"/>
              <w:right w:val="nil"/>
            </w:tcBorders>
          </w:tcPr>
          <w:p w14:paraId="0A0D2E21" w14:textId="77777777" w:rsidR="000B3C5C" w:rsidRDefault="00ED192D">
            <w:pPr>
              <w:spacing w:after="0" w:line="259" w:lineRule="auto"/>
              <w:ind w:left="0" w:firstLine="0"/>
            </w:pPr>
            <w:r>
              <w:t xml:space="preserve">BRCA1: </w:t>
            </w:r>
          </w:p>
        </w:tc>
        <w:tc>
          <w:tcPr>
            <w:tcW w:w="7798" w:type="dxa"/>
            <w:tcBorders>
              <w:top w:val="nil"/>
              <w:left w:val="nil"/>
              <w:bottom w:val="nil"/>
              <w:right w:val="nil"/>
            </w:tcBorders>
          </w:tcPr>
          <w:p w14:paraId="36AF6EB9" w14:textId="77777777" w:rsidR="000B3C5C" w:rsidRDefault="00ED192D">
            <w:pPr>
              <w:spacing w:after="0" w:line="259" w:lineRule="auto"/>
              <w:ind w:left="0" w:firstLine="0"/>
            </w:pPr>
            <w:r>
              <w:t xml:space="preserve">breast cancer type 1 susceptibility protein </w:t>
            </w:r>
          </w:p>
        </w:tc>
      </w:tr>
      <w:tr w:rsidR="000B3C5C" w14:paraId="4D2328AE" w14:textId="77777777">
        <w:trPr>
          <w:trHeight w:val="276"/>
        </w:trPr>
        <w:tc>
          <w:tcPr>
            <w:tcW w:w="1702" w:type="dxa"/>
            <w:tcBorders>
              <w:top w:val="nil"/>
              <w:left w:val="nil"/>
              <w:bottom w:val="nil"/>
              <w:right w:val="nil"/>
            </w:tcBorders>
          </w:tcPr>
          <w:p w14:paraId="01838636" w14:textId="77777777" w:rsidR="000B3C5C" w:rsidRDefault="00ED192D">
            <w:pPr>
              <w:spacing w:after="0" w:line="259" w:lineRule="auto"/>
              <w:ind w:left="0" w:firstLine="0"/>
            </w:pPr>
            <w:r>
              <w:t xml:space="preserve">BRCA2: </w:t>
            </w:r>
          </w:p>
        </w:tc>
        <w:tc>
          <w:tcPr>
            <w:tcW w:w="7798" w:type="dxa"/>
            <w:tcBorders>
              <w:top w:val="nil"/>
              <w:left w:val="nil"/>
              <w:bottom w:val="nil"/>
              <w:right w:val="nil"/>
            </w:tcBorders>
          </w:tcPr>
          <w:p w14:paraId="2DC0810A" w14:textId="77777777" w:rsidR="000B3C5C" w:rsidRDefault="00ED192D">
            <w:pPr>
              <w:spacing w:after="0" w:line="259" w:lineRule="auto"/>
              <w:ind w:left="0" w:firstLine="0"/>
            </w:pPr>
            <w:r>
              <w:t xml:space="preserve">breast cancer type 2 susceptibility protein </w:t>
            </w:r>
          </w:p>
        </w:tc>
      </w:tr>
      <w:tr w:rsidR="000B3C5C" w14:paraId="2855EC84" w14:textId="77777777">
        <w:trPr>
          <w:trHeight w:val="276"/>
        </w:trPr>
        <w:tc>
          <w:tcPr>
            <w:tcW w:w="1702" w:type="dxa"/>
            <w:tcBorders>
              <w:top w:val="nil"/>
              <w:left w:val="nil"/>
              <w:bottom w:val="nil"/>
              <w:right w:val="nil"/>
            </w:tcBorders>
          </w:tcPr>
          <w:p w14:paraId="58DC6FF4" w14:textId="77777777" w:rsidR="000B3C5C" w:rsidRDefault="00ED192D">
            <w:pPr>
              <w:spacing w:after="0" w:line="259" w:lineRule="auto"/>
              <w:ind w:left="0" w:firstLine="0"/>
            </w:pPr>
            <w:r>
              <w:t xml:space="preserve">BUN: </w:t>
            </w:r>
          </w:p>
        </w:tc>
        <w:tc>
          <w:tcPr>
            <w:tcW w:w="7798" w:type="dxa"/>
            <w:tcBorders>
              <w:top w:val="nil"/>
              <w:left w:val="nil"/>
              <w:bottom w:val="nil"/>
              <w:right w:val="nil"/>
            </w:tcBorders>
          </w:tcPr>
          <w:p w14:paraId="1BBFCE31" w14:textId="77777777" w:rsidR="000B3C5C" w:rsidRDefault="00ED192D">
            <w:pPr>
              <w:spacing w:after="0" w:line="259" w:lineRule="auto"/>
              <w:ind w:left="0" w:firstLine="0"/>
            </w:pPr>
            <w:r>
              <w:t xml:space="preserve">Blood urea nitrogen </w:t>
            </w:r>
          </w:p>
        </w:tc>
      </w:tr>
      <w:tr w:rsidR="000B3C5C" w14:paraId="28161867" w14:textId="77777777">
        <w:trPr>
          <w:trHeight w:val="276"/>
        </w:trPr>
        <w:tc>
          <w:tcPr>
            <w:tcW w:w="1702" w:type="dxa"/>
            <w:tcBorders>
              <w:top w:val="nil"/>
              <w:left w:val="nil"/>
              <w:bottom w:val="nil"/>
              <w:right w:val="nil"/>
            </w:tcBorders>
          </w:tcPr>
          <w:p w14:paraId="035F5F12" w14:textId="77777777" w:rsidR="000B3C5C" w:rsidRDefault="00ED192D">
            <w:pPr>
              <w:spacing w:after="0" w:line="259" w:lineRule="auto"/>
              <w:ind w:left="0" w:firstLine="0"/>
            </w:pPr>
            <w:r>
              <w:t xml:space="preserve">CD38: </w:t>
            </w:r>
          </w:p>
        </w:tc>
        <w:tc>
          <w:tcPr>
            <w:tcW w:w="7798" w:type="dxa"/>
            <w:tcBorders>
              <w:top w:val="nil"/>
              <w:left w:val="nil"/>
              <w:bottom w:val="nil"/>
              <w:right w:val="nil"/>
            </w:tcBorders>
          </w:tcPr>
          <w:p w14:paraId="7CCEE437" w14:textId="77777777" w:rsidR="000B3C5C" w:rsidRDefault="00ED192D">
            <w:pPr>
              <w:spacing w:after="0" w:line="259" w:lineRule="auto"/>
              <w:ind w:left="0" w:firstLine="0"/>
            </w:pPr>
            <w:r>
              <w:t xml:space="preserve">cluster of differentiation 38 </w:t>
            </w:r>
          </w:p>
        </w:tc>
      </w:tr>
      <w:tr w:rsidR="000B3C5C" w14:paraId="1F4B4F5A" w14:textId="77777777">
        <w:trPr>
          <w:trHeight w:val="276"/>
        </w:trPr>
        <w:tc>
          <w:tcPr>
            <w:tcW w:w="1702" w:type="dxa"/>
            <w:tcBorders>
              <w:top w:val="nil"/>
              <w:left w:val="nil"/>
              <w:bottom w:val="nil"/>
              <w:right w:val="nil"/>
            </w:tcBorders>
          </w:tcPr>
          <w:p w14:paraId="72B2FC02" w14:textId="77777777" w:rsidR="000B3C5C" w:rsidRDefault="00ED192D">
            <w:pPr>
              <w:spacing w:after="0" w:line="259" w:lineRule="auto"/>
              <w:ind w:left="0" w:firstLine="0"/>
            </w:pPr>
            <w:r>
              <w:t xml:space="preserve">CSR: </w:t>
            </w:r>
          </w:p>
        </w:tc>
        <w:tc>
          <w:tcPr>
            <w:tcW w:w="7798" w:type="dxa"/>
            <w:tcBorders>
              <w:top w:val="nil"/>
              <w:left w:val="nil"/>
              <w:bottom w:val="nil"/>
              <w:right w:val="nil"/>
            </w:tcBorders>
          </w:tcPr>
          <w:p w14:paraId="577ADBB3" w14:textId="77777777" w:rsidR="000B3C5C" w:rsidRDefault="00ED192D">
            <w:pPr>
              <w:spacing w:after="0" w:line="259" w:lineRule="auto"/>
              <w:ind w:left="0" w:firstLine="0"/>
            </w:pPr>
            <w:r>
              <w:t xml:space="preserve">clinical study report </w:t>
            </w:r>
          </w:p>
        </w:tc>
      </w:tr>
      <w:tr w:rsidR="000B3C5C" w14:paraId="52E64BA8" w14:textId="77777777">
        <w:trPr>
          <w:trHeight w:val="276"/>
        </w:trPr>
        <w:tc>
          <w:tcPr>
            <w:tcW w:w="1702" w:type="dxa"/>
            <w:tcBorders>
              <w:top w:val="nil"/>
              <w:left w:val="nil"/>
              <w:bottom w:val="nil"/>
              <w:right w:val="nil"/>
            </w:tcBorders>
          </w:tcPr>
          <w:p w14:paraId="272FE3B3" w14:textId="77777777" w:rsidR="000B3C5C" w:rsidRDefault="00ED192D">
            <w:pPr>
              <w:spacing w:after="0" w:line="259" w:lineRule="auto"/>
              <w:ind w:left="0" w:firstLine="0"/>
            </w:pPr>
            <w:r>
              <w:t xml:space="preserve">CTCAE: </w:t>
            </w:r>
          </w:p>
        </w:tc>
        <w:tc>
          <w:tcPr>
            <w:tcW w:w="7798" w:type="dxa"/>
            <w:tcBorders>
              <w:top w:val="nil"/>
              <w:left w:val="nil"/>
              <w:bottom w:val="nil"/>
              <w:right w:val="nil"/>
            </w:tcBorders>
          </w:tcPr>
          <w:p w14:paraId="733EFFC0" w14:textId="77777777" w:rsidR="000B3C5C" w:rsidRDefault="00ED192D">
            <w:pPr>
              <w:spacing w:after="0" w:line="259" w:lineRule="auto"/>
              <w:ind w:left="0" w:firstLine="0"/>
            </w:pPr>
            <w:r>
              <w:t xml:space="preserve">common terminology criteria for adverse events </w:t>
            </w:r>
          </w:p>
        </w:tc>
      </w:tr>
      <w:tr w:rsidR="000B3C5C" w14:paraId="5E396915" w14:textId="77777777">
        <w:trPr>
          <w:trHeight w:val="276"/>
        </w:trPr>
        <w:tc>
          <w:tcPr>
            <w:tcW w:w="1702" w:type="dxa"/>
            <w:tcBorders>
              <w:top w:val="nil"/>
              <w:left w:val="nil"/>
              <w:bottom w:val="nil"/>
              <w:right w:val="nil"/>
            </w:tcBorders>
          </w:tcPr>
          <w:p w14:paraId="67F13CE0" w14:textId="77777777" w:rsidR="000B3C5C" w:rsidRDefault="00ED192D">
            <w:pPr>
              <w:spacing w:after="0" w:line="259" w:lineRule="auto"/>
              <w:ind w:left="0" w:firstLine="0"/>
            </w:pPr>
            <w:r>
              <w:t xml:space="preserve">CTLA-4: </w:t>
            </w:r>
          </w:p>
        </w:tc>
        <w:tc>
          <w:tcPr>
            <w:tcW w:w="7798" w:type="dxa"/>
            <w:tcBorders>
              <w:top w:val="nil"/>
              <w:left w:val="nil"/>
              <w:bottom w:val="nil"/>
              <w:right w:val="nil"/>
            </w:tcBorders>
          </w:tcPr>
          <w:p w14:paraId="2CB95D34" w14:textId="77777777" w:rsidR="000B3C5C" w:rsidRDefault="00ED192D">
            <w:pPr>
              <w:spacing w:after="0" w:line="259" w:lineRule="auto"/>
              <w:ind w:left="0" w:firstLine="0"/>
            </w:pPr>
            <w:r>
              <w:t>cytotoxic T-lymphocyte-</w:t>
            </w:r>
            <w:r>
              <w:t xml:space="preserve">associated protein 4 </w:t>
            </w:r>
          </w:p>
        </w:tc>
      </w:tr>
      <w:tr w:rsidR="000B3C5C" w14:paraId="73AC0BAE" w14:textId="77777777">
        <w:trPr>
          <w:trHeight w:val="276"/>
        </w:trPr>
        <w:tc>
          <w:tcPr>
            <w:tcW w:w="1702" w:type="dxa"/>
            <w:tcBorders>
              <w:top w:val="nil"/>
              <w:left w:val="nil"/>
              <w:bottom w:val="nil"/>
              <w:right w:val="nil"/>
            </w:tcBorders>
          </w:tcPr>
          <w:p w14:paraId="5B81389F" w14:textId="77777777" w:rsidR="000B3C5C" w:rsidRDefault="00ED192D">
            <w:pPr>
              <w:spacing w:after="0" w:line="259" w:lineRule="auto"/>
              <w:ind w:left="0" w:firstLine="0"/>
            </w:pPr>
            <w:r>
              <w:t xml:space="preserve">DCR: </w:t>
            </w:r>
          </w:p>
        </w:tc>
        <w:tc>
          <w:tcPr>
            <w:tcW w:w="7798" w:type="dxa"/>
            <w:tcBorders>
              <w:top w:val="nil"/>
              <w:left w:val="nil"/>
              <w:bottom w:val="nil"/>
              <w:right w:val="nil"/>
            </w:tcBorders>
          </w:tcPr>
          <w:p w14:paraId="07661E7B" w14:textId="77777777" w:rsidR="000B3C5C" w:rsidRDefault="00ED192D">
            <w:pPr>
              <w:spacing w:after="0" w:line="259" w:lineRule="auto"/>
              <w:ind w:left="0" w:firstLine="0"/>
            </w:pPr>
            <w:r>
              <w:t xml:space="preserve">disease control rate </w:t>
            </w:r>
          </w:p>
        </w:tc>
      </w:tr>
      <w:tr w:rsidR="000B3C5C" w14:paraId="3FBA05CD" w14:textId="77777777">
        <w:trPr>
          <w:trHeight w:val="276"/>
        </w:trPr>
        <w:tc>
          <w:tcPr>
            <w:tcW w:w="1702" w:type="dxa"/>
            <w:tcBorders>
              <w:top w:val="nil"/>
              <w:left w:val="nil"/>
              <w:bottom w:val="nil"/>
              <w:right w:val="nil"/>
            </w:tcBorders>
          </w:tcPr>
          <w:p w14:paraId="2A48F87D" w14:textId="77777777" w:rsidR="000B3C5C" w:rsidRDefault="00ED192D">
            <w:pPr>
              <w:spacing w:after="0" w:line="259" w:lineRule="auto"/>
              <w:ind w:left="0" w:firstLine="0"/>
            </w:pPr>
            <w:r>
              <w:t xml:space="preserve">DIL: </w:t>
            </w:r>
          </w:p>
        </w:tc>
        <w:tc>
          <w:tcPr>
            <w:tcW w:w="7798" w:type="dxa"/>
            <w:tcBorders>
              <w:top w:val="nil"/>
              <w:left w:val="nil"/>
              <w:bottom w:val="nil"/>
              <w:right w:val="nil"/>
            </w:tcBorders>
          </w:tcPr>
          <w:p w14:paraId="4C71AB00" w14:textId="77777777" w:rsidR="000B3C5C" w:rsidRDefault="00ED192D">
            <w:pPr>
              <w:spacing w:after="0" w:line="259" w:lineRule="auto"/>
              <w:ind w:left="0" w:firstLine="0"/>
            </w:pPr>
            <w:r>
              <w:t xml:space="preserve">Dear Investigator Letter </w:t>
            </w:r>
          </w:p>
        </w:tc>
      </w:tr>
      <w:tr w:rsidR="000B3C5C" w14:paraId="46FE42E1" w14:textId="77777777">
        <w:trPr>
          <w:trHeight w:val="276"/>
        </w:trPr>
        <w:tc>
          <w:tcPr>
            <w:tcW w:w="1702" w:type="dxa"/>
            <w:tcBorders>
              <w:top w:val="nil"/>
              <w:left w:val="nil"/>
              <w:bottom w:val="nil"/>
              <w:right w:val="nil"/>
            </w:tcBorders>
          </w:tcPr>
          <w:p w14:paraId="5E7D6B67" w14:textId="77777777" w:rsidR="000B3C5C" w:rsidRDefault="00ED192D">
            <w:pPr>
              <w:spacing w:after="0" w:line="259" w:lineRule="auto"/>
              <w:ind w:left="0" w:firstLine="0"/>
            </w:pPr>
            <w:r>
              <w:t xml:space="preserve">DL: </w:t>
            </w:r>
          </w:p>
        </w:tc>
        <w:tc>
          <w:tcPr>
            <w:tcW w:w="7798" w:type="dxa"/>
            <w:tcBorders>
              <w:top w:val="nil"/>
              <w:left w:val="nil"/>
              <w:bottom w:val="nil"/>
              <w:right w:val="nil"/>
            </w:tcBorders>
          </w:tcPr>
          <w:p w14:paraId="0C8E37C5" w14:textId="77777777" w:rsidR="000B3C5C" w:rsidRDefault="00ED192D">
            <w:pPr>
              <w:spacing w:after="0" w:line="259" w:lineRule="auto"/>
              <w:ind w:left="0" w:firstLine="0"/>
            </w:pPr>
            <w:r>
              <w:t xml:space="preserve">dose level </w:t>
            </w:r>
          </w:p>
        </w:tc>
      </w:tr>
      <w:tr w:rsidR="000B3C5C" w14:paraId="47E3DFF6" w14:textId="77777777">
        <w:trPr>
          <w:trHeight w:val="247"/>
        </w:trPr>
        <w:tc>
          <w:tcPr>
            <w:tcW w:w="1702" w:type="dxa"/>
            <w:tcBorders>
              <w:top w:val="nil"/>
              <w:left w:val="nil"/>
              <w:bottom w:val="nil"/>
              <w:right w:val="nil"/>
            </w:tcBorders>
          </w:tcPr>
          <w:p w14:paraId="23588210" w14:textId="77777777" w:rsidR="000B3C5C" w:rsidRDefault="00ED192D">
            <w:pPr>
              <w:spacing w:after="0" w:line="259" w:lineRule="auto"/>
              <w:ind w:left="0" w:firstLine="0"/>
            </w:pPr>
            <w:r>
              <w:t xml:space="preserve">DL-1: </w:t>
            </w:r>
          </w:p>
        </w:tc>
        <w:tc>
          <w:tcPr>
            <w:tcW w:w="7798" w:type="dxa"/>
            <w:tcBorders>
              <w:top w:val="nil"/>
              <w:left w:val="nil"/>
              <w:bottom w:val="nil"/>
              <w:right w:val="nil"/>
            </w:tcBorders>
          </w:tcPr>
          <w:p w14:paraId="15826EDD" w14:textId="77777777" w:rsidR="000B3C5C" w:rsidRDefault="00ED192D">
            <w:pPr>
              <w:spacing w:after="0" w:line="259" w:lineRule="auto"/>
              <w:ind w:left="0" w:firstLine="0"/>
            </w:pPr>
            <w:r>
              <w:t xml:space="preserve">dose level minus -1 </w:t>
            </w:r>
          </w:p>
        </w:tc>
      </w:tr>
    </w:tbl>
    <w:p w14:paraId="0C13CBBE" w14:textId="77777777" w:rsidR="000B3C5C" w:rsidRDefault="000B3C5C">
      <w:pPr>
        <w:spacing w:after="0" w:line="259" w:lineRule="auto"/>
        <w:ind w:left="-1587" w:right="480" w:firstLine="0"/>
      </w:pPr>
    </w:p>
    <w:tbl>
      <w:tblPr>
        <w:tblStyle w:val="TableGrid"/>
        <w:tblW w:w="9052" w:type="dxa"/>
        <w:tblInd w:w="0" w:type="dxa"/>
        <w:tblCellMar>
          <w:top w:w="0" w:type="dxa"/>
          <w:left w:w="0" w:type="dxa"/>
          <w:bottom w:w="0" w:type="dxa"/>
          <w:right w:w="0" w:type="dxa"/>
        </w:tblCellMar>
        <w:tblLook w:val="04A0" w:firstRow="1" w:lastRow="0" w:firstColumn="1" w:lastColumn="0" w:noHBand="0" w:noVBand="1"/>
      </w:tblPr>
      <w:tblGrid>
        <w:gridCol w:w="1702"/>
        <w:gridCol w:w="7350"/>
      </w:tblGrid>
      <w:tr w:rsidR="000B3C5C" w14:paraId="75799628" w14:textId="77777777">
        <w:trPr>
          <w:trHeight w:val="247"/>
        </w:trPr>
        <w:tc>
          <w:tcPr>
            <w:tcW w:w="1702" w:type="dxa"/>
            <w:tcBorders>
              <w:top w:val="nil"/>
              <w:left w:val="nil"/>
              <w:bottom w:val="nil"/>
              <w:right w:val="nil"/>
            </w:tcBorders>
          </w:tcPr>
          <w:p w14:paraId="6E7BF6A9" w14:textId="77777777" w:rsidR="000B3C5C" w:rsidRDefault="00ED192D">
            <w:pPr>
              <w:spacing w:after="0" w:line="259" w:lineRule="auto"/>
              <w:ind w:left="0" w:firstLine="0"/>
            </w:pPr>
            <w:r>
              <w:t xml:space="preserve">DLT: </w:t>
            </w:r>
          </w:p>
        </w:tc>
        <w:tc>
          <w:tcPr>
            <w:tcW w:w="7350" w:type="dxa"/>
            <w:tcBorders>
              <w:top w:val="nil"/>
              <w:left w:val="nil"/>
              <w:bottom w:val="nil"/>
              <w:right w:val="nil"/>
            </w:tcBorders>
          </w:tcPr>
          <w:p w14:paraId="24B2ABE7" w14:textId="77777777" w:rsidR="000B3C5C" w:rsidRDefault="00ED192D">
            <w:pPr>
              <w:spacing w:after="0" w:line="259" w:lineRule="auto"/>
              <w:ind w:left="0" w:firstLine="0"/>
            </w:pPr>
            <w:r>
              <w:t xml:space="preserve">dose limiting toxicity </w:t>
            </w:r>
          </w:p>
        </w:tc>
      </w:tr>
      <w:tr w:rsidR="000B3C5C" w14:paraId="5ED83BC4" w14:textId="77777777">
        <w:trPr>
          <w:trHeight w:val="276"/>
        </w:trPr>
        <w:tc>
          <w:tcPr>
            <w:tcW w:w="1702" w:type="dxa"/>
            <w:tcBorders>
              <w:top w:val="nil"/>
              <w:left w:val="nil"/>
              <w:bottom w:val="nil"/>
              <w:right w:val="nil"/>
            </w:tcBorders>
          </w:tcPr>
          <w:p w14:paraId="5482632F" w14:textId="77777777" w:rsidR="000B3C5C" w:rsidRDefault="00ED192D">
            <w:pPr>
              <w:spacing w:after="0" w:line="259" w:lineRule="auto"/>
              <w:ind w:left="0" w:firstLine="0"/>
            </w:pPr>
            <w:r>
              <w:t xml:space="preserve">DoR: </w:t>
            </w:r>
          </w:p>
        </w:tc>
        <w:tc>
          <w:tcPr>
            <w:tcW w:w="7350" w:type="dxa"/>
            <w:tcBorders>
              <w:top w:val="nil"/>
              <w:left w:val="nil"/>
              <w:bottom w:val="nil"/>
              <w:right w:val="nil"/>
            </w:tcBorders>
          </w:tcPr>
          <w:p w14:paraId="2923D612" w14:textId="77777777" w:rsidR="000B3C5C" w:rsidRDefault="00ED192D">
            <w:pPr>
              <w:spacing w:after="0" w:line="259" w:lineRule="auto"/>
              <w:ind w:left="0" w:firstLine="0"/>
            </w:pPr>
            <w:r>
              <w:t xml:space="preserve">duration of response </w:t>
            </w:r>
          </w:p>
        </w:tc>
      </w:tr>
      <w:tr w:rsidR="000B3C5C" w14:paraId="01545FF6" w14:textId="77777777">
        <w:trPr>
          <w:trHeight w:val="276"/>
        </w:trPr>
        <w:tc>
          <w:tcPr>
            <w:tcW w:w="1702" w:type="dxa"/>
            <w:tcBorders>
              <w:top w:val="nil"/>
              <w:left w:val="nil"/>
              <w:bottom w:val="nil"/>
              <w:right w:val="nil"/>
            </w:tcBorders>
          </w:tcPr>
          <w:p w14:paraId="2879B621" w14:textId="77777777" w:rsidR="000B3C5C" w:rsidRDefault="00ED192D">
            <w:pPr>
              <w:spacing w:after="0" w:line="259" w:lineRule="auto"/>
              <w:ind w:left="0" w:firstLine="0"/>
            </w:pPr>
            <w:r>
              <w:t xml:space="preserve">DRE: </w:t>
            </w:r>
          </w:p>
        </w:tc>
        <w:tc>
          <w:tcPr>
            <w:tcW w:w="7350" w:type="dxa"/>
            <w:tcBorders>
              <w:top w:val="nil"/>
              <w:left w:val="nil"/>
              <w:bottom w:val="nil"/>
              <w:right w:val="nil"/>
            </w:tcBorders>
          </w:tcPr>
          <w:p w14:paraId="604CE75A" w14:textId="77777777" w:rsidR="000B3C5C" w:rsidRDefault="00ED192D">
            <w:pPr>
              <w:spacing w:after="0" w:line="259" w:lineRule="auto"/>
              <w:ind w:left="0" w:firstLine="0"/>
            </w:pPr>
            <w:r>
              <w:t xml:space="preserve">disease related event </w:t>
            </w:r>
          </w:p>
        </w:tc>
      </w:tr>
      <w:tr w:rsidR="000B3C5C" w14:paraId="5AF7C919" w14:textId="77777777">
        <w:trPr>
          <w:trHeight w:val="276"/>
        </w:trPr>
        <w:tc>
          <w:tcPr>
            <w:tcW w:w="1702" w:type="dxa"/>
            <w:tcBorders>
              <w:top w:val="nil"/>
              <w:left w:val="nil"/>
              <w:bottom w:val="nil"/>
              <w:right w:val="nil"/>
            </w:tcBorders>
          </w:tcPr>
          <w:p w14:paraId="1CF201F0" w14:textId="77777777" w:rsidR="000B3C5C" w:rsidRDefault="00ED192D">
            <w:pPr>
              <w:spacing w:after="0" w:line="259" w:lineRule="auto"/>
              <w:ind w:left="0" w:firstLine="0"/>
            </w:pPr>
            <w:r>
              <w:t xml:space="preserve">DRESS: </w:t>
            </w:r>
          </w:p>
        </w:tc>
        <w:tc>
          <w:tcPr>
            <w:tcW w:w="7350" w:type="dxa"/>
            <w:tcBorders>
              <w:top w:val="nil"/>
              <w:left w:val="nil"/>
              <w:bottom w:val="nil"/>
              <w:right w:val="nil"/>
            </w:tcBorders>
          </w:tcPr>
          <w:p w14:paraId="0B41160E" w14:textId="77777777" w:rsidR="000B3C5C" w:rsidRDefault="00ED192D">
            <w:pPr>
              <w:spacing w:after="0" w:line="259" w:lineRule="auto"/>
              <w:ind w:left="0" w:firstLine="0"/>
            </w:pPr>
            <w:r>
              <w:t xml:space="preserve">drug rash with eosinophilia and systemic symptoms </w:t>
            </w:r>
          </w:p>
        </w:tc>
      </w:tr>
      <w:tr w:rsidR="000B3C5C" w14:paraId="67A60464" w14:textId="77777777">
        <w:trPr>
          <w:trHeight w:val="276"/>
        </w:trPr>
        <w:tc>
          <w:tcPr>
            <w:tcW w:w="1702" w:type="dxa"/>
            <w:tcBorders>
              <w:top w:val="nil"/>
              <w:left w:val="nil"/>
              <w:bottom w:val="nil"/>
              <w:right w:val="nil"/>
            </w:tcBorders>
          </w:tcPr>
          <w:p w14:paraId="6EEABA81" w14:textId="77777777" w:rsidR="000B3C5C" w:rsidRDefault="00ED192D">
            <w:pPr>
              <w:spacing w:after="0" w:line="259" w:lineRule="auto"/>
              <w:ind w:left="0" w:firstLine="0"/>
            </w:pPr>
            <w:r>
              <w:t xml:space="preserve">ECG: </w:t>
            </w:r>
          </w:p>
        </w:tc>
        <w:tc>
          <w:tcPr>
            <w:tcW w:w="7350" w:type="dxa"/>
            <w:tcBorders>
              <w:top w:val="nil"/>
              <w:left w:val="nil"/>
              <w:bottom w:val="nil"/>
              <w:right w:val="nil"/>
            </w:tcBorders>
          </w:tcPr>
          <w:p w14:paraId="3E01D71B" w14:textId="77777777" w:rsidR="000B3C5C" w:rsidRDefault="00ED192D">
            <w:pPr>
              <w:spacing w:after="0" w:line="259" w:lineRule="auto"/>
              <w:ind w:left="0" w:firstLine="0"/>
            </w:pPr>
            <w:r>
              <w:t xml:space="preserve">electrocardiogram </w:t>
            </w:r>
          </w:p>
        </w:tc>
      </w:tr>
      <w:tr w:rsidR="000B3C5C" w14:paraId="02A698FC" w14:textId="77777777">
        <w:trPr>
          <w:trHeight w:val="276"/>
        </w:trPr>
        <w:tc>
          <w:tcPr>
            <w:tcW w:w="1702" w:type="dxa"/>
            <w:tcBorders>
              <w:top w:val="nil"/>
              <w:left w:val="nil"/>
              <w:bottom w:val="nil"/>
              <w:right w:val="nil"/>
            </w:tcBorders>
          </w:tcPr>
          <w:p w14:paraId="67036B82" w14:textId="77777777" w:rsidR="000B3C5C" w:rsidRDefault="00ED192D">
            <w:pPr>
              <w:spacing w:after="0" w:line="259" w:lineRule="auto"/>
              <w:ind w:left="0" w:firstLine="0"/>
            </w:pPr>
            <w:r>
              <w:t xml:space="preserve">ECOG: </w:t>
            </w:r>
          </w:p>
        </w:tc>
        <w:tc>
          <w:tcPr>
            <w:tcW w:w="7350" w:type="dxa"/>
            <w:tcBorders>
              <w:top w:val="nil"/>
              <w:left w:val="nil"/>
              <w:bottom w:val="nil"/>
              <w:right w:val="nil"/>
            </w:tcBorders>
          </w:tcPr>
          <w:p w14:paraId="09404BBF" w14:textId="77777777" w:rsidR="000B3C5C" w:rsidRDefault="00ED192D">
            <w:pPr>
              <w:spacing w:after="0" w:line="259" w:lineRule="auto"/>
              <w:ind w:left="0" w:firstLine="0"/>
            </w:pPr>
            <w:r>
              <w:t xml:space="preserve">Eastern Cooperative Oncology Group </w:t>
            </w:r>
          </w:p>
        </w:tc>
      </w:tr>
      <w:tr w:rsidR="000B3C5C" w14:paraId="53DB972E" w14:textId="77777777">
        <w:trPr>
          <w:trHeight w:val="276"/>
        </w:trPr>
        <w:tc>
          <w:tcPr>
            <w:tcW w:w="1702" w:type="dxa"/>
            <w:tcBorders>
              <w:top w:val="nil"/>
              <w:left w:val="nil"/>
              <w:bottom w:val="nil"/>
              <w:right w:val="nil"/>
            </w:tcBorders>
          </w:tcPr>
          <w:p w14:paraId="4C47B0AC" w14:textId="77777777" w:rsidR="000B3C5C" w:rsidRDefault="00ED192D">
            <w:pPr>
              <w:spacing w:after="0" w:line="259" w:lineRule="auto"/>
              <w:ind w:left="0" w:firstLine="0"/>
            </w:pPr>
            <w:r>
              <w:t xml:space="preserve">eCRF: </w:t>
            </w:r>
          </w:p>
        </w:tc>
        <w:tc>
          <w:tcPr>
            <w:tcW w:w="7350" w:type="dxa"/>
            <w:tcBorders>
              <w:top w:val="nil"/>
              <w:left w:val="nil"/>
              <w:bottom w:val="nil"/>
              <w:right w:val="nil"/>
            </w:tcBorders>
          </w:tcPr>
          <w:p w14:paraId="75518801" w14:textId="77777777" w:rsidR="000B3C5C" w:rsidRDefault="00ED192D">
            <w:pPr>
              <w:spacing w:after="0" w:line="259" w:lineRule="auto"/>
              <w:ind w:left="0" w:firstLine="0"/>
            </w:pPr>
            <w:r>
              <w:t xml:space="preserve">electronic case report form </w:t>
            </w:r>
          </w:p>
        </w:tc>
      </w:tr>
      <w:tr w:rsidR="000B3C5C" w14:paraId="49A353C0" w14:textId="77777777">
        <w:trPr>
          <w:trHeight w:val="276"/>
        </w:trPr>
        <w:tc>
          <w:tcPr>
            <w:tcW w:w="1702" w:type="dxa"/>
            <w:tcBorders>
              <w:top w:val="nil"/>
              <w:left w:val="nil"/>
              <w:bottom w:val="nil"/>
              <w:right w:val="nil"/>
            </w:tcBorders>
          </w:tcPr>
          <w:p w14:paraId="2A43B37A" w14:textId="77777777" w:rsidR="000B3C5C" w:rsidRDefault="00ED192D">
            <w:pPr>
              <w:spacing w:after="0" w:line="259" w:lineRule="auto"/>
              <w:ind w:left="0" w:firstLine="0"/>
            </w:pPr>
            <w:r>
              <w:t xml:space="preserve">eGFR: </w:t>
            </w:r>
          </w:p>
        </w:tc>
        <w:tc>
          <w:tcPr>
            <w:tcW w:w="7350" w:type="dxa"/>
            <w:tcBorders>
              <w:top w:val="nil"/>
              <w:left w:val="nil"/>
              <w:bottom w:val="nil"/>
              <w:right w:val="nil"/>
            </w:tcBorders>
          </w:tcPr>
          <w:p w14:paraId="02491B27" w14:textId="77777777" w:rsidR="000B3C5C" w:rsidRDefault="00ED192D">
            <w:pPr>
              <w:spacing w:after="0" w:line="259" w:lineRule="auto"/>
              <w:ind w:left="0" w:firstLine="0"/>
            </w:pPr>
            <w:r>
              <w:t xml:space="preserve">estimated glomerular filtration rate </w:t>
            </w:r>
          </w:p>
        </w:tc>
      </w:tr>
      <w:tr w:rsidR="000B3C5C" w14:paraId="2B338E78" w14:textId="77777777">
        <w:trPr>
          <w:trHeight w:val="273"/>
        </w:trPr>
        <w:tc>
          <w:tcPr>
            <w:tcW w:w="1702" w:type="dxa"/>
            <w:tcBorders>
              <w:top w:val="nil"/>
              <w:left w:val="nil"/>
              <w:bottom w:val="nil"/>
              <w:right w:val="nil"/>
            </w:tcBorders>
          </w:tcPr>
          <w:p w14:paraId="19D0C984" w14:textId="77777777" w:rsidR="000B3C5C" w:rsidRDefault="00ED192D">
            <w:pPr>
              <w:spacing w:after="0" w:line="259" w:lineRule="auto"/>
              <w:ind w:left="0" w:firstLine="0"/>
            </w:pPr>
            <w:r>
              <w:t xml:space="preserve">EOC: </w:t>
            </w:r>
          </w:p>
        </w:tc>
        <w:tc>
          <w:tcPr>
            <w:tcW w:w="7350" w:type="dxa"/>
            <w:tcBorders>
              <w:top w:val="nil"/>
              <w:left w:val="nil"/>
              <w:bottom w:val="nil"/>
              <w:right w:val="nil"/>
            </w:tcBorders>
          </w:tcPr>
          <w:p w14:paraId="79CF927C" w14:textId="77777777" w:rsidR="000B3C5C" w:rsidRDefault="00ED192D">
            <w:pPr>
              <w:spacing w:after="0" w:line="259" w:lineRule="auto"/>
              <w:ind w:left="0" w:firstLine="0"/>
            </w:pPr>
            <w:r>
              <w:t xml:space="preserve">epithelial ovarian cancer </w:t>
            </w:r>
          </w:p>
        </w:tc>
      </w:tr>
      <w:tr w:rsidR="000B3C5C" w14:paraId="4FD99452" w14:textId="77777777">
        <w:trPr>
          <w:trHeight w:val="280"/>
        </w:trPr>
        <w:tc>
          <w:tcPr>
            <w:tcW w:w="1702" w:type="dxa"/>
            <w:tcBorders>
              <w:top w:val="nil"/>
              <w:left w:val="nil"/>
              <w:bottom w:val="nil"/>
              <w:right w:val="nil"/>
            </w:tcBorders>
          </w:tcPr>
          <w:p w14:paraId="73ED48F7" w14:textId="77777777" w:rsidR="000B3C5C" w:rsidRDefault="00ED192D">
            <w:pPr>
              <w:spacing w:after="0" w:line="259" w:lineRule="auto"/>
              <w:ind w:left="0" w:firstLine="0"/>
            </w:pPr>
            <w:r>
              <w:rPr>
                <w:rFonts w:ascii="Arial" w:eastAsia="Arial" w:hAnsi="Arial" w:cs="Arial"/>
              </w:rPr>
              <w:t>EOI</w:t>
            </w:r>
            <w:r>
              <w:t xml:space="preserve">: </w:t>
            </w:r>
          </w:p>
        </w:tc>
        <w:tc>
          <w:tcPr>
            <w:tcW w:w="7350" w:type="dxa"/>
            <w:tcBorders>
              <w:top w:val="nil"/>
              <w:left w:val="nil"/>
              <w:bottom w:val="nil"/>
              <w:right w:val="nil"/>
            </w:tcBorders>
          </w:tcPr>
          <w:p w14:paraId="71150E7C" w14:textId="77777777" w:rsidR="000B3C5C" w:rsidRDefault="00ED192D">
            <w:pPr>
              <w:spacing w:after="0" w:line="259" w:lineRule="auto"/>
              <w:ind w:left="0" w:firstLine="0"/>
            </w:pPr>
            <w:r>
              <w:t xml:space="preserve">end of infusion </w:t>
            </w:r>
          </w:p>
        </w:tc>
      </w:tr>
      <w:tr w:rsidR="000B3C5C" w14:paraId="16061FB2" w14:textId="77777777">
        <w:trPr>
          <w:trHeight w:val="275"/>
        </w:trPr>
        <w:tc>
          <w:tcPr>
            <w:tcW w:w="1702" w:type="dxa"/>
            <w:tcBorders>
              <w:top w:val="nil"/>
              <w:left w:val="nil"/>
              <w:bottom w:val="nil"/>
              <w:right w:val="nil"/>
            </w:tcBorders>
          </w:tcPr>
          <w:p w14:paraId="691BEF91" w14:textId="77777777" w:rsidR="000B3C5C" w:rsidRDefault="00ED192D">
            <w:pPr>
              <w:spacing w:after="0" w:line="259" w:lineRule="auto"/>
              <w:ind w:left="0" w:firstLine="0"/>
            </w:pPr>
            <w:r>
              <w:t xml:space="preserve">EOT: </w:t>
            </w:r>
          </w:p>
        </w:tc>
        <w:tc>
          <w:tcPr>
            <w:tcW w:w="7350" w:type="dxa"/>
            <w:tcBorders>
              <w:top w:val="nil"/>
              <w:left w:val="nil"/>
              <w:bottom w:val="nil"/>
              <w:right w:val="nil"/>
            </w:tcBorders>
          </w:tcPr>
          <w:p w14:paraId="6FC28F73" w14:textId="77777777" w:rsidR="000B3C5C" w:rsidRDefault="00ED192D">
            <w:pPr>
              <w:spacing w:after="0" w:line="259" w:lineRule="auto"/>
              <w:ind w:left="0" w:firstLine="0"/>
            </w:pPr>
            <w:r>
              <w:t xml:space="preserve">end of treatment </w:t>
            </w:r>
          </w:p>
        </w:tc>
      </w:tr>
      <w:tr w:rsidR="000B3C5C" w14:paraId="6357BF07" w14:textId="77777777">
        <w:trPr>
          <w:trHeight w:val="276"/>
        </w:trPr>
        <w:tc>
          <w:tcPr>
            <w:tcW w:w="1702" w:type="dxa"/>
            <w:tcBorders>
              <w:top w:val="nil"/>
              <w:left w:val="nil"/>
              <w:bottom w:val="nil"/>
              <w:right w:val="nil"/>
            </w:tcBorders>
          </w:tcPr>
          <w:p w14:paraId="03FABF51" w14:textId="77777777" w:rsidR="000B3C5C" w:rsidRDefault="00ED192D">
            <w:pPr>
              <w:spacing w:after="0" w:line="259" w:lineRule="auto"/>
              <w:ind w:left="0" w:firstLine="0"/>
            </w:pPr>
            <w:r>
              <w:t xml:space="preserve">FDA: </w:t>
            </w:r>
          </w:p>
        </w:tc>
        <w:tc>
          <w:tcPr>
            <w:tcW w:w="7350" w:type="dxa"/>
            <w:tcBorders>
              <w:top w:val="nil"/>
              <w:left w:val="nil"/>
              <w:bottom w:val="nil"/>
              <w:right w:val="nil"/>
            </w:tcBorders>
          </w:tcPr>
          <w:p w14:paraId="458A3D20" w14:textId="77777777" w:rsidR="000B3C5C" w:rsidRDefault="00ED192D">
            <w:pPr>
              <w:spacing w:after="0" w:line="259" w:lineRule="auto"/>
              <w:ind w:left="0" w:firstLine="0"/>
            </w:pPr>
            <w:r>
              <w:t xml:space="preserve">Food and Drug Administration </w:t>
            </w:r>
          </w:p>
        </w:tc>
      </w:tr>
      <w:tr w:rsidR="000B3C5C" w14:paraId="78DDB227" w14:textId="77777777">
        <w:trPr>
          <w:trHeight w:val="273"/>
        </w:trPr>
        <w:tc>
          <w:tcPr>
            <w:tcW w:w="1702" w:type="dxa"/>
            <w:tcBorders>
              <w:top w:val="nil"/>
              <w:left w:val="nil"/>
              <w:bottom w:val="nil"/>
              <w:right w:val="nil"/>
            </w:tcBorders>
          </w:tcPr>
          <w:p w14:paraId="3848578B" w14:textId="77777777" w:rsidR="000B3C5C" w:rsidRDefault="00ED192D">
            <w:pPr>
              <w:spacing w:after="0" w:line="259" w:lineRule="auto"/>
              <w:ind w:left="0" w:firstLine="0"/>
            </w:pPr>
            <w:r>
              <w:t xml:space="preserve">FFPE: </w:t>
            </w:r>
          </w:p>
        </w:tc>
        <w:tc>
          <w:tcPr>
            <w:tcW w:w="7350" w:type="dxa"/>
            <w:tcBorders>
              <w:top w:val="nil"/>
              <w:left w:val="nil"/>
              <w:bottom w:val="nil"/>
              <w:right w:val="nil"/>
            </w:tcBorders>
          </w:tcPr>
          <w:p w14:paraId="4A534DD5" w14:textId="77777777" w:rsidR="000B3C5C" w:rsidRDefault="00ED192D">
            <w:pPr>
              <w:spacing w:after="0" w:line="259" w:lineRule="auto"/>
              <w:ind w:left="0" w:firstLine="0"/>
            </w:pPr>
            <w:r>
              <w:t xml:space="preserve">formalin-fixed paraffin-embedded </w:t>
            </w:r>
          </w:p>
        </w:tc>
      </w:tr>
      <w:tr w:rsidR="000B3C5C" w14:paraId="444A21FF" w14:textId="77777777">
        <w:trPr>
          <w:trHeight w:val="281"/>
        </w:trPr>
        <w:tc>
          <w:tcPr>
            <w:tcW w:w="1702" w:type="dxa"/>
            <w:tcBorders>
              <w:top w:val="nil"/>
              <w:left w:val="nil"/>
              <w:bottom w:val="nil"/>
              <w:right w:val="nil"/>
            </w:tcBorders>
          </w:tcPr>
          <w:p w14:paraId="6C0870D6" w14:textId="77777777" w:rsidR="000B3C5C" w:rsidRDefault="00ED192D">
            <w:pPr>
              <w:spacing w:after="0" w:line="259" w:lineRule="auto"/>
              <w:ind w:left="0" w:firstLine="0"/>
            </w:pPr>
            <w:r>
              <w:rPr>
                <w:rFonts w:ascii="Arial" w:eastAsia="Arial" w:hAnsi="Arial" w:cs="Arial"/>
              </w:rPr>
              <w:t>FUp</w:t>
            </w:r>
            <w:r>
              <w:t xml:space="preserve">: </w:t>
            </w:r>
          </w:p>
        </w:tc>
        <w:tc>
          <w:tcPr>
            <w:tcW w:w="7350" w:type="dxa"/>
            <w:tcBorders>
              <w:top w:val="nil"/>
              <w:left w:val="nil"/>
              <w:bottom w:val="nil"/>
              <w:right w:val="nil"/>
            </w:tcBorders>
          </w:tcPr>
          <w:p w14:paraId="1ADDA686" w14:textId="77777777" w:rsidR="000B3C5C" w:rsidRDefault="00ED192D">
            <w:pPr>
              <w:spacing w:after="0" w:line="259" w:lineRule="auto"/>
              <w:ind w:left="0" w:firstLine="0"/>
            </w:pPr>
            <w:r>
              <w:t xml:space="preserve">follow-up period </w:t>
            </w:r>
          </w:p>
        </w:tc>
      </w:tr>
      <w:tr w:rsidR="000B3C5C" w14:paraId="39006A7F" w14:textId="77777777">
        <w:trPr>
          <w:trHeight w:val="276"/>
        </w:trPr>
        <w:tc>
          <w:tcPr>
            <w:tcW w:w="1702" w:type="dxa"/>
            <w:tcBorders>
              <w:top w:val="nil"/>
              <w:left w:val="nil"/>
              <w:bottom w:val="nil"/>
              <w:right w:val="nil"/>
            </w:tcBorders>
          </w:tcPr>
          <w:p w14:paraId="6B06F9C4" w14:textId="77777777" w:rsidR="000B3C5C" w:rsidRDefault="00ED192D">
            <w:pPr>
              <w:spacing w:after="0" w:line="259" w:lineRule="auto"/>
              <w:ind w:left="0" w:firstLine="0"/>
            </w:pPr>
            <w:r>
              <w:t xml:space="preserve">GBM: </w:t>
            </w:r>
          </w:p>
        </w:tc>
        <w:tc>
          <w:tcPr>
            <w:tcW w:w="7350" w:type="dxa"/>
            <w:tcBorders>
              <w:top w:val="nil"/>
              <w:left w:val="nil"/>
              <w:bottom w:val="nil"/>
              <w:right w:val="nil"/>
            </w:tcBorders>
          </w:tcPr>
          <w:p w14:paraId="05A8D502" w14:textId="77777777" w:rsidR="000B3C5C" w:rsidRDefault="00ED192D">
            <w:pPr>
              <w:spacing w:after="0" w:line="259" w:lineRule="auto"/>
              <w:ind w:left="0" w:firstLine="0"/>
            </w:pPr>
            <w:r>
              <w:t xml:space="preserve">glioblastoma multiforme </w:t>
            </w:r>
          </w:p>
        </w:tc>
      </w:tr>
      <w:tr w:rsidR="000B3C5C" w14:paraId="65F29AC2" w14:textId="77777777">
        <w:trPr>
          <w:trHeight w:val="275"/>
        </w:trPr>
        <w:tc>
          <w:tcPr>
            <w:tcW w:w="1702" w:type="dxa"/>
            <w:tcBorders>
              <w:top w:val="nil"/>
              <w:left w:val="nil"/>
              <w:bottom w:val="nil"/>
              <w:right w:val="nil"/>
            </w:tcBorders>
          </w:tcPr>
          <w:p w14:paraId="60024986" w14:textId="77777777" w:rsidR="000B3C5C" w:rsidRDefault="00ED192D">
            <w:pPr>
              <w:spacing w:after="0" w:line="259" w:lineRule="auto"/>
              <w:ind w:left="0" w:firstLine="0"/>
            </w:pPr>
            <w:r>
              <w:t xml:space="preserve">GCIG: </w:t>
            </w:r>
          </w:p>
        </w:tc>
        <w:tc>
          <w:tcPr>
            <w:tcW w:w="7350" w:type="dxa"/>
            <w:tcBorders>
              <w:top w:val="nil"/>
              <w:left w:val="nil"/>
              <w:bottom w:val="nil"/>
              <w:right w:val="nil"/>
            </w:tcBorders>
          </w:tcPr>
          <w:p w14:paraId="52CB8D25" w14:textId="77777777" w:rsidR="000B3C5C" w:rsidRDefault="00ED192D">
            <w:pPr>
              <w:spacing w:after="0" w:line="259" w:lineRule="auto"/>
              <w:ind w:left="0" w:firstLine="0"/>
            </w:pPr>
            <w:r>
              <w:t xml:space="preserve">Gynaecologic Cancer Intergroup </w:t>
            </w:r>
          </w:p>
        </w:tc>
      </w:tr>
      <w:tr w:rsidR="000B3C5C" w14:paraId="19E7D97B" w14:textId="77777777">
        <w:trPr>
          <w:trHeight w:val="275"/>
        </w:trPr>
        <w:tc>
          <w:tcPr>
            <w:tcW w:w="1702" w:type="dxa"/>
            <w:tcBorders>
              <w:top w:val="nil"/>
              <w:left w:val="nil"/>
              <w:bottom w:val="nil"/>
              <w:right w:val="nil"/>
            </w:tcBorders>
          </w:tcPr>
          <w:p w14:paraId="2727E7E9" w14:textId="77777777" w:rsidR="000B3C5C" w:rsidRDefault="00ED192D">
            <w:pPr>
              <w:spacing w:after="0" w:line="259" w:lineRule="auto"/>
              <w:ind w:left="0" w:firstLine="0"/>
            </w:pPr>
            <w:r>
              <w:t xml:space="preserve">HBV: </w:t>
            </w:r>
          </w:p>
        </w:tc>
        <w:tc>
          <w:tcPr>
            <w:tcW w:w="7350" w:type="dxa"/>
            <w:tcBorders>
              <w:top w:val="nil"/>
              <w:left w:val="nil"/>
              <w:bottom w:val="nil"/>
              <w:right w:val="nil"/>
            </w:tcBorders>
          </w:tcPr>
          <w:p w14:paraId="40F88A8B" w14:textId="77777777" w:rsidR="000B3C5C" w:rsidRDefault="00ED192D">
            <w:pPr>
              <w:spacing w:after="0" w:line="259" w:lineRule="auto"/>
              <w:ind w:left="0" w:firstLine="0"/>
            </w:pPr>
            <w:r>
              <w:t xml:space="preserve">hepatitis B virus </w:t>
            </w:r>
          </w:p>
        </w:tc>
      </w:tr>
      <w:tr w:rsidR="000B3C5C" w14:paraId="43B7B618" w14:textId="77777777">
        <w:trPr>
          <w:trHeight w:val="276"/>
        </w:trPr>
        <w:tc>
          <w:tcPr>
            <w:tcW w:w="1702" w:type="dxa"/>
            <w:tcBorders>
              <w:top w:val="nil"/>
              <w:left w:val="nil"/>
              <w:bottom w:val="nil"/>
              <w:right w:val="nil"/>
            </w:tcBorders>
          </w:tcPr>
          <w:p w14:paraId="6E8EF522" w14:textId="77777777" w:rsidR="000B3C5C" w:rsidRDefault="00ED192D">
            <w:pPr>
              <w:spacing w:after="0" w:line="259" w:lineRule="auto"/>
              <w:ind w:left="0" w:firstLine="0"/>
            </w:pPr>
            <w:r>
              <w:t xml:space="preserve">HCC: </w:t>
            </w:r>
          </w:p>
        </w:tc>
        <w:tc>
          <w:tcPr>
            <w:tcW w:w="7350" w:type="dxa"/>
            <w:tcBorders>
              <w:top w:val="nil"/>
              <w:left w:val="nil"/>
              <w:bottom w:val="nil"/>
              <w:right w:val="nil"/>
            </w:tcBorders>
          </w:tcPr>
          <w:p w14:paraId="7D5F150E" w14:textId="77777777" w:rsidR="000B3C5C" w:rsidRDefault="00ED192D">
            <w:pPr>
              <w:spacing w:after="0" w:line="259" w:lineRule="auto"/>
              <w:ind w:left="0" w:firstLine="0"/>
            </w:pPr>
            <w:r>
              <w:t xml:space="preserve">hepatocellular carcinoma </w:t>
            </w:r>
          </w:p>
        </w:tc>
      </w:tr>
      <w:tr w:rsidR="000B3C5C" w14:paraId="6AE08D94" w14:textId="77777777">
        <w:trPr>
          <w:trHeight w:val="276"/>
        </w:trPr>
        <w:tc>
          <w:tcPr>
            <w:tcW w:w="1702" w:type="dxa"/>
            <w:tcBorders>
              <w:top w:val="nil"/>
              <w:left w:val="nil"/>
              <w:bottom w:val="nil"/>
              <w:right w:val="nil"/>
            </w:tcBorders>
          </w:tcPr>
          <w:p w14:paraId="79D181DE" w14:textId="77777777" w:rsidR="000B3C5C" w:rsidRDefault="00ED192D">
            <w:pPr>
              <w:spacing w:after="0" w:line="259" w:lineRule="auto"/>
              <w:ind w:left="0" w:firstLine="0"/>
            </w:pPr>
            <w:r>
              <w:t xml:space="preserve">HCV: </w:t>
            </w:r>
          </w:p>
        </w:tc>
        <w:tc>
          <w:tcPr>
            <w:tcW w:w="7350" w:type="dxa"/>
            <w:tcBorders>
              <w:top w:val="nil"/>
              <w:left w:val="nil"/>
              <w:bottom w:val="nil"/>
              <w:right w:val="nil"/>
            </w:tcBorders>
          </w:tcPr>
          <w:p w14:paraId="757028F7" w14:textId="77777777" w:rsidR="000B3C5C" w:rsidRDefault="00ED192D">
            <w:pPr>
              <w:spacing w:after="0" w:line="259" w:lineRule="auto"/>
              <w:ind w:left="0" w:firstLine="0"/>
            </w:pPr>
            <w:r>
              <w:t xml:space="preserve">hepatitis C virus </w:t>
            </w:r>
          </w:p>
        </w:tc>
      </w:tr>
      <w:tr w:rsidR="000B3C5C" w14:paraId="1AB7DD7E" w14:textId="77777777">
        <w:trPr>
          <w:trHeight w:val="276"/>
        </w:trPr>
        <w:tc>
          <w:tcPr>
            <w:tcW w:w="1702" w:type="dxa"/>
            <w:tcBorders>
              <w:top w:val="nil"/>
              <w:left w:val="nil"/>
              <w:bottom w:val="nil"/>
              <w:right w:val="nil"/>
            </w:tcBorders>
          </w:tcPr>
          <w:p w14:paraId="43A45EBA" w14:textId="77777777" w:rsidR="000B3C5C" w:rsidRDefault="00ED192D">
            <w:pPr>
              <w:spacing w:after="0" w:line="259" w:lineRule="auto"/>
              <w:ind w:left="0" w:firstLine="0"/>
            </w:pPr>
            <w:r>
              <w:t xml:space="preserve">IAR: </w:t>
            </w:r>
          </w:p>
        </w:tc>
        <w:tc>
          <w:tcPr>
            <w:tcW w:w="7350" w:type="dxa"/>
            <w:tcBorders>
              <w:top w:val="nil"/>
              <w:left w:val="nil"/>
              <w:bottom w:val="nil"/>
              <w:right w:val="nil"/>
            </w:tcBorders>
          </w:tcPr>
          <w:p w14:paraId="13D2D812" w14:textId="77777777" w:rsidR="000B3C5C" w:rsidRDefault="00ED192D">
            <w:pPr>
              <w:spacing w:after="0" w:line="259" w:lineRule="auto"/>
              <w:ind w:left="0" w:firstLine="0"/>
            </w:pPr>
            <w:r>
              <w:t xml:space="preserve">infusion associated reaction, infusion associated reaction </w:t>
            </w:r>
          </w:p>
        </w:tc>
      </w:tr>
      <w:tr w:rsidR="000B3C5C" w14:paraId="176D8043" w14:textId="77777777">
        <w:trPr>
          <w:trHeight w:val="276"/>
        </w:trPr>
        <w:tc>
          <w:tcPr>
            <w:tcW w:w="1702" w:type="dxa"/>
            <w:tcBorders>
              <w:top w:val="nil"/>
              <w:left w:val="nil"/>
              <w:bottom w:val="nil"/>
              <w:right w:val="nil"/>
            </w:tcBorders>
          </w:tcPr>
          <w:p w14:paraId="1AB8F208" w14:textId="77777777" w:rsidR="000B3C5C" w:rsidRDefault="00ED192D">
            <w:pPr>
              <w:spacing w:after="0" w:line="259" w:lineRule="auto"/>
              <w:ind w:left="0" w:firstLine="0"/>
            </w:pPr>
            <w:r>
              <w:t xml:space="preserve">ICH: </w:t>
            </w:r>
          </w:p>
        </w:tc>
        <w:tc>
          <w:tcPr>
            <w:tcW w:w="7350" w:type="dxa"/>
            <w:tcBorders>
              <w:top w:val="nil"/>
              <w:left w:val="nil"/>
              <w:bottom w:val="nil"/>
              <w:right w:val="nil"/>
            </w:tcBorders>
          </w:tcPr>
          <w:p w14:paraId="4429ECC8" w14:textId="77777777" w:rsidR="000B3C5C" w:rsidRDefault="00ED192D">
            <w:pPr>
              <w:spacing w:after="0" w:line="259" w:lineRule="auto"/>
              <w:ind w:left="0" w:firstLine="0"/>
            </w:pPr>
            <w:r>
              <w:t xml:space="preserve">International Council for Harmonisation </w:t>
            </w:r>
          </w:p>
        </w:tc>
      </w:tr>
      <w:tr w:rsidR="000B3C5C" w14:paraId="56ADB58E" w14:textId="77777777">
        <w:trPr>
          <w:trHeight w:val="276"/>
        </w:trPr>
        <w:tc>
          <w:tcPr>
            <w:tcW w:w="1702" w:type="dxa"/>
            <w:tcBorders>
              <w:top w:val="nil"/>
              <w:left w:val="nil"/>
              <w:bottom w:val="nil"/>
              <w:right w:val="nil"/>
            </w:tcBorders>
          </w:tcPr>
          <w:p w14:paraId="5EDE4861" w14:textId="77777777" w:rsidR="000B3C5C" w:rsidRDefault="00ED192D">
            <w:pPr>
              <w:spacing w:after="0" w:line="259" w:lineRule="auto"/>
              <w:ind w:left="0" w:firstLine="0"/>
            </w:pPr>
            <w:r>
              <w:t xml:space="preserve">IHC: </w:t>
            </w:r>
          </w:p>
        </w:tc>
        <w:tc>
          <w:tcPr>
            <w:tcW w:w="7350" w:type="dxa"/>
            <w:tcBorders>
              <w:top w:val="nil"/>
              <w:left w:val="nil"/>
              <w:bottom w:val="nil"/>
              <w:right w:val="nil"/>
            </w:tcBorders>
          </w:tcPr>
          <w:p w14:paraId="108B9A5E" w14:textId="77777777" w:rsidR="000B3C5C" w:rsidRDefault="00ED192D">
            <w:pPr>
              <w:spacing w:after="0" w:line="259" w:lineRule="auto"/>
              <w:ind w:left="0" w:firstLine="0"/>
            </w:pPr>
            <w:r>
              <w:t xml:space="preserve">immunohistochemistry </w:t>
            </w:r>
          </w:p>
        </w:tc>
      </w:tr>
      <w:tr w:rsidR="000B3C5C" w14:paraId="5BE1854D" w14:textId="77777777">
        <w:trPr>
          <w:trHeight w:val="276"/>
        </w:trPr>
        <w:tc>
          <w:tcPr>
            <w:tcW w:w="1702" w:type="dxa"/>
            <w:tcBorders>
              <w:top w:val="nil"/>
              <w:left w:val="nil"/>
              <w:bottom w:val="nil"/>
              <w:right w:val="nil"/>
            </w:tcBorders>
          </w:tcPr>
          <w:p w14:paraId="611AE545" w14:textId="77777777" w:rsidR="000B3C5C" w:rsidRDefault="00ED192D">
            <w:pPr>
              <w:spacing w:after="0" w:line="259" w:lineRule="auto"/>
              <w:ind w:left="0" w:firstLine="0"/>
            </w:pPr>
            <w:r>
              <w:t xml:space="preserve">IMP: </w:t>
            </w:r>
          </w:p>
        </w:tc>
        <w:tc>
          <w:tcPr>
            <w:tcW w:w="7350" w:type="dxa"/>
            <w:tcBorders>
              <w:top w:val="nil"/>
              <w:left w:val="nil"/>
              <w:bottom w:val="nil"/>
              <w:right w:val="nil"/>
            </w:tcBorders>
          </w:tcPr>
          <w:p w14:paraId="5FDA7C5A" w14:textId="77777777" w:rsidR="000B3C5C" w:rsidRDefault="00ED192D">
            <w:pPr>
              <w:spacing w:after="0" w:line="259" w:lineRule="auto"/>
              <w:ind w:left="0" w:firstLine="0"/>
            </w:pPr>
            <w:r>
              <w:t xml:space="preserve">investigational medicinal product </w:t>
            </w:r>
          </w:p>
        </w:tc>
      </w:tr>
      <w:tr w:rsidR="000B3C5C" w14:paraId="53CB8E6F" w14:textId="77777777">
        <w:trPr>
          <w:trHeight w:val="276"/>
        </w:trPr>
        <w:tc>
          <w:tcPr>
            <w:tcW w:w="1702" w:type="dxa"/>
            <w:tcBorders>
              <w:top w:val="nil"/>
              <w:left w:val="nil"/>
              <w:bottom w:val="nil"/>
              <w:right w:val="nil"/>
            </w:tcBorders>
          </w:tcPr>
          <w:p w14:paraId="75C3B76E" w14:textId="77777777" w:rsidR="000B3C5C" w:rsidRDefault="00ED192D">
            <w:pPr>
              <w:spacing w:after="0" w:line="259" w:lineRule="auto"/>
              <w:ind w:left="0" w:firstLine="0"/>
            </w:pPr>
            <w:r>
              <w:t xml:space="preserve">INR: </w:t>
            </w:r>
          </w:p>
        </w:tc>
        <w:tc>
          <w:tcPr>
            <w:tcW w:w="7350" w:type="dxa"/>
            <w:tcBorders>
              <w:top w:val="nil"/>
              <w:left w:val="nil"/>
              <w:bottom w:val="nil"/>
              <w:right w:val="nil"/>
            </w:tcBorders>
          </w:tcPr>
          <w:p w14:paraId="7060FCB5" w14:textId="77777777" w:rsidR="000B3C5C" w:rsidRDefault="00ED192D">
            <w:pPr>
              <w:spacing w:after="0" w:line="259" w:lineRule="auto"/>
              <w:ind w:left="0" w:firstLine="0"/>
            </w:pPr>
            <w:r>
              <w:t xml:space="preserve">international normalized ratio </w:t>
            </w:r>
          </w:p>
        </w:tc>
      </w:tr>
      <w:tr w:rsidR="000B3C5C" w14:paraId="2940F963" w14:textId="77777777">
        <w:trPr>
          <w:trHeight w:val="276"/>
        </w:trPr>
        <w:tc>
          <w:tcPr>
            <w:tcW w:w="1702" w:type="dxa"/>
            <w:tcBorders>
              <w:top w:val="nil"/>
              <w:left w:val="nil"/>
              <w:bottom w:val="nil"/>
              <w:right w:val="nil"/>
            </w:tcBorders>
          </w:tcPr>
          <w:p w14:paraId="43241AB5" w14:textId="77777777" w:rsidR="000B3C5C" w:rsidRDefault="00ED192D">
            <w:pPr>
              <w:spacing w:after="0" w:line="259" w:lineRule="auto"/>
              <w:ind w:left="0" w:firstLine="0"/>
            </w:pPr>
            <w:r>
              <w:t xml:space="preserve">irAE: </w:t>
            </w:r>
          </w:p>
        </w:tc>
        <w:tc>
          <w:tcPr>
            <w:tcW w:w="7350" w:type="dxa"/>
            <w:tcBorders>
              <w:top w:val="nil"/>
              <w:left w:val="nil"/>
              <w:bottom w:val="nil"/>
              <w:right w:val="nil"/>
            </w:tcBorders>
          </w:tcPr>
          <w:p w14:paraId="5B21582F" w14:textId="77777777" w:rsidR="000B3C5C" w:rsidRDefault="00ED192D">
            <w:pPr>
              <w:spacing w:after="0" w:line="259" w:lineRule="auto"/>
              <w:ind w:left="0" w:firstLine="0"/>
            </w:pPr>
            <w:r>
              <w:t xml:space="preserve">immune-related adverse event </w:t>
            </w:r>
          </w:p>
        </w:tc>
      </w:tr>
      <w:tr w:rsidR="000B3C5C" w14:paraId="432D6939" w14:textId="77777777">
        <w:trPr>
          <w:trHeight w:val="276"/>
        </w:trPr>
        <w:tc>
          <w:tcPr>
            <w:tcW w:w="1702" w:type="dxa"/>
            <w:tcBorders>
              <w:top w:val="nil"/>
              <w:left w:val="nil"/>
              <w:bottom w:val="nil"/>
              <w:right w:val="nil"/>
            </w:tcBorders>
          </w:tcPr>
          <w:p w14:paraId="3CAC1D89" w14:textId="77777777" w:rsidR="000B3C5C" w:rsidRDefault="00ED192D">
            <w:pPr>
              <w:spacing w:after="0" w:line="259" w:lineRule="auto"/>
              <w:ind w:left="0" w:firstLine="0"/>
            </w:pPr>
            <w:r>
              <w:t xml:space="preserve">iRANO: </w:t>
            </w:r>
          </w:p>
        </w:tc>
        <w:tc>
          <w:tcPr>
            <w:tcW w:w="7350" w:type="dxa"/>
            <w:tcBorders>
              <w:top w:val="nil"/>
              <w:left w:val="nil"/>
              <w:bottom w:val="nil"/>
              <w:right w:val="nil"/>
            </w:tcBorders>
          </w:tcPr>
          <w:p w14:paraId="31F5F10E" w14:textId="77777777" w:rsidR="000B3C5C" w:rsidRDefault="00ED192D">
            <w:pPr>
              <w:spacing w:after="0" w:line="259" w:lineRule="auto"/>
              <w:ind w:left="0" w:firstLine="0"/>
            </w:pPr>
            <w:r>
              <w:t xml:space="preserve">Immunotherapy Response Assessment in Neuro-Oncology </w:t>
            </w:r>
          </w:p>
        </w:tc>
      </w:tr>
      <w:tr w:rsidR="000B3C5C" w14:paraId="5705F5CA" w14:textId="77777777">
        <w:trPr>
          <w:trHeight w:val="552"/>
        </w:trPr>
        <w:tc>
          <w:tcPr>
            <w:tcW w:w="1702" w:type="dxa"/>
            <w:tcBorders>
              <w:top w:val="nil"/>
              <w:left w:val="nil"/>
              <w:bottom w:val="nil"/>
              <w:right w:val="nil"/>
            </w:tcBorders>
          </w:tcPr>
          <w:p w14:paraId="402A7FF5" w14:textId="77777777" w:rsidR="000B3C5C" w:rsidRDefault="00ED192D">
            <w:pPr>
              <w:spacing w:after="0" w:line="259" w:lineRule="auto"/>
              <w:ind w:left="0" w:firstLine="0"/>
            </w:pPr>
            <w:r>
              <w:t xml:space="preserve">iRECIST: </w:t>
            </w:r>
          </w:p>
        </w:tc>
        <w:tc>
          <w:tcPr>
            <w:tcW w:w="7350" w:type="dxa"/>
            <w:tcBorders>
              <w:top w:val="nil"/>
              <w:left w:val="nil"/>
              <w:bottom w:val="nil"/>
              <w:right w:val="nil"/>
            </w:tcBorders>
          </w:tcPr>
          <w:p w14:paraId="397BA216" w14:textId="77777777" w:rsidR="000B3C5C" w:rsidRDefault="00ED192D">
            <w:pPr>
              <w:spacing w:after="0" w:line="259" w:lineRule="auto"/>
              <w:ind w:left="0" w:firstLine="0"/>
            </w:pPr>
            <w:r>
              <w:t xml:space="preserve">Response Evaluation Criteria in Solid Tumors for immune-based therapies , RECIST for immunotherapies </w:t>
            </w:r>
          </w:p>
        </w:tc>
      </w:tr>
      <w:tr w:rsidR="000B3C5C" w14:paraId="57C6A797" w14:textId="77777777">
        <w:trPr>
          <w:trHeight w:val="276"/>
        </w:trPr>
        <w:tc>
          <w:tcPr>
            <w:tcW w:w="1702" w:type="dxa"/>
            <w:tcBorders>
              <w:top w:val="nil"/>
              <w:left w:val="nil"/>
              <w:bottom w:val="nil"/>
              <w:right w:val="nil"/>
            </w:tcBorders>
          </w:tcPr>
          <w:p w14:paraId="1AB33162" w14:textId="77777777" w:rsidR="000B3C5C" w:rsidRDefault="00ED192D">
            <w:pPr>
              <w:spacing w:after="0" w:line="259" w:lineRule="auto"/>
              <w:ind w:left="0" w:firstLine="0"/>
            </w:pPr>
            <w:r>
              <w:t xml:space="preserve">ITSM: </w:t>
            </w:r>
          </w:p>
        </w:tc>
        <w:tc>
          <w:tcPr>
            <w:tcW w:w="7350" w:type="dxa"/>
            <w:tcBorders>
              <w:top w:val="nil"/>
              <w:left w:val="nil"/>
              <w:bottom w:val="nil"/>
              <w:right w:val="nil"/>
            </w:tcBorders>
          </w:tcPr>
          <w:p w14:paraId="677A3EC3" w14:textId="77777777" w:rsidR="000B3C5C" w:rsidRDefault="00ED192D">
            <w:pPr>
              <w:spacing w:after="0" w:line="259" w:lineRule="auto"/>
              <w:ind w:left="0" w:firstLine="0"/>
            </w:pPr>
            <w:r>
              <w:t xml:space="preserve">immunoreceptor tyrosine-based switch motif </w:t>
            </w:r>
          </w:p>
        </w:tc>
      </w:tr>
      <w:tr w:rsidR="000B3C5C" w14:paraId="44127F59" w14:textId="77777777">
        <w:trPr>
          <w:trHeight w:val="276"/>
        </w:trPr>
        <w:tc>
          <w:tcPr>
            <w:tcW w:w="1702" w:type="dxa"/>
            <w:tcBorders>
              <w:top w:val="nil"/>
              <w:left w:val="nil"/>
              <w:bottom w:val="nil"/>
              <w:right w:val="nil"/>
            </w:tcBorders>
          </w:tcPr>
          <w:p w14:paraId="7B182325" w14:textId="77777777" w:rsidR="000B3C5C" w:rsidRDefault="00ED192D">
            <w:pPr>
              <w:spacing w:after="0" w:line="259" w:lineRule="auto"/>
              <w:ind w:left="0" w:firstLine="0"/>
            </w:pPr>
            <w:r>
              <w:t xml:space="preserve">IV: </w:t>
            </w:r>
          </w:p>
        </w:tc>
        <w:tc>
          <w:tcPr>
            <w:tcW w:w="7350" w:type="dxa"/>
            <w:tcBorders>
              <w:top w:val="nil"/>
              <w:left w:val="nil"/>
              <w:bottom w:val="nil"/>
              <w:right w:val="nil"/>
            </w:tcBorders>
          </w:tcPr>
          <w:p w14:paraId="680933BB" w14:textId="77777777" w:rsidR="000B3C5C" w:rsidRDefault="00ED192D">
            <w:pPr>
              <w:spacing w:after="0" w:line="259" w:lineRule="auto"/>
              <w:ind w:left="0" w:firstLine="0"/>
            </w:pPr>
            <w:r>
              <w:t xml:space="preserve">intravenous </w:t>
            </w:r>
          </w:p>
        </w:tc>
      </w:tr>
      <w:tr w:rsidR="000B3C5C" w14:paraId="41CCAFFA" w14:textId="77777777">
        <w:trPr>
          <w:trHeight w:val="276"/>
        </w:trPr>
        <w:tc>
          <w:tcPr>
            <w:tcW w:w="1702" w:type="dxa"/>
            <w:tcBorders>
              <w:top w:val="nil"/>
              <w:left w:val="nil"/>
              <w:bottom w:val="nil"/>
              <w:right w:val="nil"/>
            </w:tcBorders>
          </w:tcPr>
          <w:p w14:paraId="14AC6130" w14:textId="77777777" w:rsidR="000B3C5C" w:rsidRDefault="00ED192D">
            <w:pPr>
              <w:spacing w:after="0" w:line="259" w:lineRule="auto"/>
              <w:ind w:left="0" w:firstLine="0"/>
            </w:pPr>
            <w:r>
              <w:t xml:space="preserve">mAb: </w:t>
            </w:r>
          </w:p>
        </w:tc>
        <w:tc>
          <w:tcPr>
            <w:tcW w:w="7350" w:type="dxa"/>
            <w:tcBorders>
              <w:top w:val="nil"/>
              <w:left w:val="nil"/>
              <w:bottom w:val="nil"/>
              <w:right w:val="nil"/>
            </w:tcBorders>
          </w:tcPr>
          <w:p w14:paraId="34191879" w14:textId="77777777" w:rsidR="000B3C5C" w:rsidRDefault="00ED192D">
            <w:pPr>
              <w:spacing w:after="0" w:line="259" w:lineRule="auto"/>
              <w:ind w:left="0" w:firstLine="0"/>
            </w:pPr>
            <w:r>
              <w:t xml:space="preserve">monoclonal antibody, monoclonal antibody </w:t>
            </w:r>
          </w:p>
        </w:tc>
      </w:tr>
      <w:tr w:rsidR="000B3C5C" w14:paraId="2494243F" w14:textId="77777777">
        <w:trPr>
          <w:trHeight w:val="276"/>
        </w:trPr>
        <w:tc>
          <w:tcPr>
            <w:tcW w:w="1702" w:type="dxa"/>
            <w:tcBorders>
              <w:top w:val="nil"/>
              <w:left w:val="nil"/>
              <w:bottom w:val="nil"/>
              <w:right w:val="nil"/>
            </w:tcBorders>
          </w:tcPr>
          <w:p w14:paraId="6487D160" w14:textId="77777777" w:rsidR="000B3C5C" w:rsidRDefault="00ED192D">
            <w:pPr>
              <w:spacing w:after="0" w:line="259" w:lineRule="auto"/>
              <w:ind w:left="0" w:firstLine="0"/>
            </w:pPr>
            <w:r>
              <w:t xml:space="preserve">MDRD: </w:t>
            </w:r>
          </w:p>
        </w:tc>
        <w:tc>
          <w:tcPr>
            <w:tcW w:w="7350" w:type="dxa"/>
            <w:tcBorders>
              <w:top w:val="nil"/>
              <w:left w:val="nil"/>
              <w:bottom w:val="nil"/>
              <w:right w:val="nil"/>
            </w:tcBorders>
          </w:tcPr>
          <w:p w14:paraId="49783B9F" w14:textId="77777777" w:rsidR="000B3C5C" w:rsidRDefault="00ED192D">
            <w:pPr>
              <w:spacing w:after="0" w:line="259" w:lineRule="auto"/>
              <w:ind w:left="0" w:firstLine="0"/>
            </w:pPr>
            <w:r>
              <w:t xml:space="preserve">modification of diet in renal disease </w:t>
            </w:r>
          </w:p>
        </w:tc>
      </w:tr>
      <w:tr w:rsidR="000B3C5C" w14:paraId="5EC00F4A" w14:textId="77777777">
        <w:trPr>
          <w:trHeight w:val="276"/>
        </w:trPr>
        <w:tc>
          <w:tcPr>
            <w:tcW w:w="1702" w:type="dxa"/>
            <w:tcBorders>
              <w:top w:val="nil"/>
              <w:left w:val="nil"/>
              <w:bottom w:val="nil"/>
              <w:right w:val="nil"/>
            </w:tcBorders>
          </w:tcPr>
          <w:p w14:paraId="623F446D" w14:textId="77777777" w:rsidR="000B3C5C" w:rsidRDefault="00ED192D">
            <w:pPr>
              <w:spacing w:after="0" w:line="259" w:lineRule="auto"/>
              <w:ind w:left="0" w:firstLine="0"/>
            </w:pPr>
            <w:r>
              <w:t xml:space="preserve">MedDRA: </w:t>
            </w:r>
          </w:p>
        </w:tc>
        <w:tc>
          <w:tcPr>
            <w:tcW w:w="7350" w:type="dxa"/>
            <w:tcBorders>
              <w:top w:val="nil"/>
              <w:left w:val="nil"/>
              <w:bottom w:val="nil"/>
              <w:right w:val="nil"/>
            </w:tcBorders>
          </w:tcPr>
          <w:p w14:paraId="3030E4A3" w14:textId="77777777" w:rsidR="000B3C5C" w:rsidRDefault="00ED192D">
            <w:pPr>
              <w:spacing w:after="0" w:line="259" w:lineRule="auto"/>
              <w:ind w:left="0" w:firstLine="0"/>
            </w:pPr>
            <w:r>
              <w:t xml:space="preserve">Medical Dictionary for Regulatory Activities </w:t>
            </w:r>
          </w:p>
        </w:tc>
      </w:tr>
      <w:tr w:rsidR="000B3C5C" w14:paraId="33CD830A" w14:textId="77777777">
        <w:trPr>
          <w:trHeight w:val="276"/>
        </w:trPr>
        <w:tc>
          <w:tcPr>
            <w:tcW w:w="1702" w:type="dxa"/>
            <w:tcBorders>
              <w:top w:val="nil"/>
              <w:left w:val="nil"/>
              <w:bottom w:val="nil"/>
              <w:right w:val="nil"/>
            </w:tcBorders>
          </w:tcPr>
          <w:p w14:paraId="09176E11" w14:textId="77777777" w:rsidR="000B3C5C" w:rsidRDefault="00ED192D">
            <w:pPr>
              <w:spacing w:after="0" w:line="259" w:lineRule="auto"/>
              <w:ind w:left="0" w:firstLine="0"/>
            </w:pPr>
            <w:r>
              <w:t xml:space="preserve">MM: </w:t>
            </w:r>
          </w:p>
        </w:tc>
        <w:tc>
          <w:tcPr>
            <w:tcW w:w="7350" w:type="dxa"/>
            <w:tcBorders>
              <w:top w:val="nil"/>
              <w:left w:val="nil"/>
              <w:bottom w:val="nil"/>
              <w:right w:val="nil"/>
            </w:tcBorders>
          </w:tcPr>
          <w:p w14:paraId="62E63008" w14:textId="77777777" w:rsidR="000B3C5C" w:rsidRDefault="00ED192D">
            <w:pPr>
              <w:spacing w:after="0" w:line="259" w:lineRule="auto"/>
              <w:ind w:left="0" w:firstLine="0"/>
            </w:pPr>
            <w:r>
              <w:t xml:space="preserve">multiple myeloma </w:t>
            </w:r>
          </w:p>
        </w:tc>
      </w:tr>
      <w:tr w:rsidR="000B3C5C" w14:paraId="3D1D3470" w14:textId="77777777">
        <w:trPr>
          <w:trHeight w:val="276"/>
        </w:trPr>
        <w:tc>
          <w:tcPr>
            <w:tcW w:w="1702" w:type="dxa"/>
            <w:tcBorders>
              <w:top w:val="nil"/>
              <w:left w:val="nil"/>
              <w:bottom w:val="nil"/>
              <w:right w:val="nil"/>
            </w:tcBorders>
          </w:tcPr>
          <w:p w14:paraId="6E28F231" w14:textId="77777777" w:rsidR="000B3C5C" w:rsidRDefault="00ED192D">
            <w:pPr>
              <w:spacing w:after="0" w:line="259" w:lineRule="auto"/>
              <w:ind w:left="0" w:firstLine="0"/>
            </w:pPr>
            <w:r>
              <w:t xml:space="preserve">MRI: </w:t>
            </w:r>
          </w:p>
        </w:tc>
        <w:tc>
          <w:tcPr>
            <w:tcW w:w="7350" w:type="dxa"/>
            <w:tcBorders>
              <w:top w:val="nil"/>
              <w:left w:val="nil"/>
              <w:bottom w:val="nil"/>
              <w:right w:val="nil"/>
            </w:tcBorders>
          </w:tcPr>
          <w:p w14:paraId="33E040A8" w14:textId="77777777" w:rsidR="000B3C5C" w:rsidRDefault="00ED192D">
            <w:pPr>
              <w:spacing w:after="0" w:line="259" w:lineRule="auto"/>
              <w:ind w:left="0" w:firstLine="0"/>
            </w:pPr>
            <w:r>
              <w:t xml:space="preserve">magnetic resonance imaging </w:t>
            </w:r>
          </w:p>
        </w:tc>
      </w:tr>
      <w:tr w:rsidR="000B3C5C" w14:paraId="1995C414" w14:textId="77777777">
        <w:trPr>
          <w:trHeight w:val="276"/>
        </w:trPr>
        <w:tc>
          <w:tcPr>
            <w:tcW w:w="1702" w:type="dxa"/>
            <w:tcBorders>
              <w:top w:val="nil"/>
              <w:left w:val="nil"/>
              <w:bottom w:val="nil"/>
              <w:right w:val="nil"/>
            </w:tcBorders>
          </w:tcPr>
          <w:p w14:paraId="24718A80" w14:textId="77777777" w:rsidR="000B3C5C" w:rsidRDefault="00ED192D">
            <w:pPr>
              <w:spacing w:after="0" w:line="259" w:lineRule="auto"/>
              <w:ind w:left="0" w:firstLine="0"/>
            </w:pPr>
            <w:r>
              <w:t xml:space="preserve">MTD: </w:t>
            </w:r>
          </w:p>
        </w:tc>
        <w:tc>
          <w:tcPr>
            <w:tcW w:w="7350" w:type="dxa"/>
            <w:tcBorders>
              <w:top w:val="nil"/>
              <w:left w:val="nil"/>
              <w:bottom w:val="nil"/>
              <w:right w:val="nil"/>
            </w:tcBorders>
          </w:tcPr>
          <w:p w14:paraId="32DB13DD" w14:textId="77777777" w:rsidR="000B3C5C" w:rsidRDefault="00ED192D">
            <w:pPr>
              <w:spacing w:after="0" w:line="259" w:lineRule="auto"/>
              <w:ind w:left="0" w:firstLine="0"/>
            </w:pPr>
            <w:r>
              <w:t xml:space="preserve">maximum tolerated dose </w:t>
            </w:r>
          </w:p>
        </w:tc>
      </w:tr>
      <w:tr w:rsidR="000B3C5C" w14:paraId="2D2E7E07" w14:textId="77777777">
        <w:trPr>
          <w:trHeight w:val="276"/>
        </w:trPr>
        <w:tc>
          <w:tcPr>
            <w:tcW w:w="1702" w:type="dxa"/>
            <w:tcBorders>
              <w:top w:val="nil"/>
              <w:left w:val="nil"/>
              <w:bottom w:val="nil"/>
              <w:right w:val="nil"/>
            </w:tcBorders>
          </w:tcPr>
          <w:p w14:paraId="218FEEFC" w14:textId="77777777" w:rsidR="000B3C5C" w:rsidRDefault="00ED192D">
            <w:pPr>
              <w:spacing w:after="0" w:line="259" w:lineRule="auto"/>
              <w:ind w:left="0" w:firstLine="0"/>
            </w:pPr>
            <w:r>
              <w:t xml:space="preserve">NCI: </w:t>
            </w:r>
          </w:p>
        </w:tc>
        <w:tc>
          <w:tcPr>
            <w:tcW w:w="7350" w:type="dxa"/>
            <w:tcBorders>
              <w:top w:val="nil"/>
              <w:left w:val="nil"/>
              <w:bottom w:val="nil"/>
              <w:right w:val="nil"/>
            </w:tcBorders>
          </w:tcPr>
          <w:p w14:paraId="29D00A79" w14:textId="77777777" w:rsidR="000B3C5C" w:rsidRDefault="00ED192D">
            <w:pPr>
              <w:spacing w:after="0" w:line="259" w:lineRule="auto"/>
              <w:ind w:left="0" w:firstLine="0"/>
            </w:pPr>
            <w:r>
              <w:t xml:space="preserve">national cancer institute, National Cancer Institute </w:t>
            </w:r>
          </w:p>
        </w:tc>
      </w:tr>
      <w:tr w:rsidR="000B3C5C" w14:paraId="4C1CDAB0" w14:textId="77777777">
        <w:trPr>
          <w:trHeight w:val="276"/>
        </w:trPr>
        <w:tc>
          <w:tcPr>
            <w:tcW w:w="1702" w:type="dxa"/>
            <w:tcBorders>
              <w:top w:val="nil"/>
              <w:left w:val="nil"/>
              <w:bottom w:val="nil"/>
              <w:right w:val="nil"/>
            </w:tcBorders>
          </w:tcPr>
          <w:p w14:paraId="6BA5A39D" w14:textId="77777777" w:rsidR="000B3C5C" w:rsidRDefault="00ED192D">
            <w:pPr>
              <w:spacing w:after="0" w:line="259" w:lineRule="auto"/>
              <w:ind w:left="0" w:firstLine="0"/>
            </w:pPr>
            <w:r>
              <w:t xml:space="preserve">NIMP: </w:t>
            </w:r>
          </w:p>
        </w:tc>
        <w:tc>
          <w:tcPr>
            <w:tcW w:w="7350" w:type="dxa"/>
            <w:tcBorders>
              <w:top w:val="nil"/>
              <w:left w:val="nil"/>
              <w:bottom w:val="nil"/>
              <w:right w:val="nil"/>
            </w:tcBorders>
          </w:tcPr>
          <w:p w14:paraId="4C82AC67" w14:textId="77777777" w:rsidR="000B3C5C" w:rsidRDefault="00ED192D">
            <w:pPr>
              <w:spacing w:after="0" w:line="259" w:lineRule="auto"/>
              <w:ind w:left="0" w:firstLine="0"/>
            </w:pPr>
            <w:r>
              <w:t xml:space="preserve">noninvestigational medicinal product </w:t>
            </w:r>
          </w:p>
        </w:tc>
      </w:tr>
      <w:tr w:rsidR="000B3C5C" w14:paraId="29803FE2" w14:textId="77777777">
        <w:trPr>
          <w:trHeight w:val="276"/>
        </w:trPr>
        <w:tc>
          <w:tcPr>
            <w:tcW w:w="1702" w:type="dxa"/>
            <w:tcBorders>
              <w:top w:val="nil"/>
              <w:left w:val="nil"/>
              <w:bottom w:val="nil"/>
              <w:right w:val="nil"/>
            </w:tcBorders>
          </w:tcPr>
          <w:p w14:paraId="09FE61AA" w14:textId="77777777" w:rsidR="000B3C5C" w:rsidRDefault="00ED192D">
            <w:pPr>
              <w:spacing w:after="0" w:line="259" w:lineRule="auto"/>
              <w:ind w:left="0" w:firstLine="0"/>
            </w:pPr>
            <w:r>
              <w:t xml:space="preserve">NK: </w:t>
            </w:r>
          </w:p>
        </w:tc>
        <w:tc>
          <w:tcPr>
            <w:tcW w:w="7350" w:type="dxa"/>
            <w:tcBorders>
              <w:top w:val="nil"/>
              <w:left w:val="nil"/>
              <w:bottom w:val="nil"/>
              <w:right w:val="nil"/>
            </w:tcBorders>
          </w:tcPr>
          <w:p w14:paraId="7EF5746C" w14:textId="77777777" w:rsidR="000B3C5C" w:rsidRDefault="00ED192D">
            <w:pPr>
              <w:spacing w:after="0" w:line="259" w:lineRule="auto"/>
              <w:ind w:left="0" w:firstLine="0"/>
            </w:pPr>
            <w:r>
              <w:t xml:space="preserve">natural killer </w:t>
            </w:r>
          </w:p>
        </w:tc>
      </w:tr>
      <w:tr w:rsidR="000B3C5C" w14:paraId="0F6097DE" w14:textId="77777777">
        <w:trPr>
          <w:trHeight w:val="276"/>
        </w:trPr>
        <w:tc>
          <w:tcPr>
            <w:tcW w:w="1702" w:type="dxa"/>
            <w:tcBorders>
              <w:top w:val="nil"/>
              <w:left w:val="nil"/>
              <w:bottom w:val="nil"/>
              <w:right w:val="nil"/>
            </w:tcBorders>
          </w:tcPr>
          <w:p w14:paraId="381F831D" w14:textId="77777777" w:rsidR="000B3C5C" w:rsidRDefault="00ED192D">
            <w:pPr>
              <w:spacing w:after="0" w:line="259" w:lineRule="auto"/>
              <w:ind w:left="0" w:firstLine="0"/>
            </w:pPr>
            <w:r>
              <w:t xml:space="preserve">NSCLC: </w:t>
            </w:r>
          </w:p>
        </w:tc>
        <w:tc>
          <w:tcPr>
            <w:tcW w:w="7350" w:type="dxa"/>
            <w:tcBorders>
              <w:top w:val="nil"/>
              <w:left w:val="nil"/>
              <w:bottom w:val="nil"/>
              <w:right w:val="nil"/>
            </w:tcBorders>
          </w:tcPr>
          <w:p w14:paraId="2BF5CA5A" w14:textId="77777777" w:rsidR="000B3C5C" w:rsidRDefault="00ED192D">
            <w:pPr>
              <w:spacing w:after="0" w:line="259" w:lineRule="auto"/>
              <w:ind w:left="0" w:firstLine="0"/>
            </w:pPr>
            <w:r>
              <w:t xml:space="preserve">non-small cell lung cancer </w:t>
            </w:r>
          </w:p>
        </w:tc>
      </w:tr>
      <w:tr w:rsidR="000B3C5C" w14:paraId="1A2E45DF" w14:textId="77777777">
        <w:trPr>
          <w:trHeight w:val="273"/>
        </w:trPr>
        <w:tc>
          <w:tcPr>
            <w:tcW w:w="1702" w:type="dxa"/>
            <w:tcBorders>
              <w:top w:val="nil"/>
              <w:left w:val="nil"/>
              <w:bottom w:val="nil"/>
              <w:right w:val="nil"/>
            </w:tcBorders>
          </w:tcPr>
          <w:p w14:paraId="07AEE9D5" w14:textId="77777777" w:rsidR="000B3C5C" w:rsidRDefault="00ED192D">
            <w:pPr>
              <w:spacing w:after="0" w:line="259" w:lineRule="auto"/>
              <w:ind w:left="0" w:firstLine="0"/>
            </w:pPr>
            <w:r>
              <w:t xml:space="preserve">OS: </w:t>
            </w:r>
          </w:p>
        </w:tc>
        <w:tc>
          <w:tcPr>
            <w:tcW w:w="7350" w:type="dxa"/>
            <w:tcBorders>
              <w:top w:val="nil"/>
              <w:left w:val="nil"/>
              <w:bottom w:val="nil"/>
              <w:right w:val="nil"/>
            </w:tcBorders>
          </w:tcPr>
          <w:p w14:paraId="5C4D3D1C" w14:textId="77777777" w:rsidR="000B3C5C" w:rsidRDefault="00ED192D">
            <w:pPr>
              <w:spacing w:after="0" w:line="259" w:lineRule="auto"/>
              <w:ind w:left="0" w:firstLine="0"/>
            </w:pPr>
            <w:r>
              <w:t xml:space="preserve">overall survival </w:t>
            </w:r>
          </w:p>
        </w:tc>
      </w:tr>
      <w:tr w:rsidR="000B3C5C" w14:paraId="2E0A1A48" w14:textId="77777777">
        <w:trPr>
          <w:trHeight w:val="281"/>
        </w:trPr>
        <w:tc>
          <w:tcPr>
            <w:tcW w:w="1702" w:type="dxa"/>
            <w:tcBorders>
              <w:top w:val="nil"/>
              <w:left w:val="nil"/>
              <w:bottom w:val="nil"/>
              <w:right w:val="nil"/>
            </w:tcBorders>
          </w:tcPr>
          <w:p w14:paraId="7C3B48A9" w14:textId="77777777" w:rsidR="000B3C5C" w:rsidRDefault="00ED192D">
            <w:pPr>
              <w:spacing w:after="0" w:line="259" w:lineRule="auto"/>
              <w:ind w:left="0" w:firstLine="0"/>
            </w:pPr>
            <w:r>
              <w:rPr>
                <w:rFonts w:ascii="Arial" w:eastAsia="Arial" w:hAnsi="Arial" w:cs="Arial"/>
              </w:rPr>
              <w:t>P</w:t>
            </w:r>
            <w:r>
              <w:t xml:space="preserve">: </w:t>
            </w:r>
          </w:p>
        </w:tc>
        <w:tc>
          <w:tcPr>
            <w:tcW w:w="7350" w:type="dxa"/>
            <w:tcBorders>
              <w:top w:val="nil"/>
              <w:left w:val="nil"/>
              <w:bottom w:val="nil"/>
              <w:right w:val="nil"/>
            </w:tcBorders>
          </w:tcPr>
          <w:p w14:paraId="095F74A2" w14:textId="77777777" w:rsidR="000B3C5C" w:rsidRDefault="00ED192D">
            <w:pPr>
              <w:spacing w:after="0" w:line="259" w:lineRule="auto"/>
              <w:ind w:left="0" w:firstLine="0"/>
            </w:pPr>
            <w:r>
              <w:t xml:space="preserve">plasma </w:t>
            </w:r>
          </w:p>
        </w:tc>
      </w:tr>
      <w:tr w:rsidR="000B3C5C" w14:paraId="6134884A" w14:textId="77777777">
        <w:trPr>
          <w:trHeight w:val="276"/>
        </w:trPr>
        <w:tc>
          <w:tcPr>
            <w:tcW w:w="1702" w:type="dxa"/>
            <w:tcBorders>
              <w:top w:val="nil"/>
              <w:left w:val="nil"/>
              <w:bottom w:val="nil"/>
              <w:right w:val="nil"/>
            </w:tcBorders>
          </w:tcPr>
          <w:p w14:paraId="549F152C" w14:textId="77777777" w:rsidR="000B3C5C" w:rsidRDefault="00ED192D">
            <w:pPr>
              <w:spacing w:after="0" w:line="259" w:lineRule="auto"/>
              <w:ind w:left="0" w:firstLine="0"/>
            </w:pPr>
            <w:r>
              <w:t xml:space="preserve">PARP: </w:t>
            </w:r>
          </w:p>
        </w:tc>
        <w:tc>
          <w:tcPr>
            <w:tcW w:w="7350" w:type="dxa"/>
            <w:tcBorders>
              <w:top w:val="nil"/>
              <w:left w:val="nil"/>
              <w:bottom w:val="nil"/>
              <w:right w:val="nil"/>
            </w:tcBorders>
          </w:tcPr>
          <w:p w14:paraId="75FC0ABA" w14:textId="77777777" w:rsidR="000B3C5C" w:rsidRDefault="00ED192D">
            <w:pPr>
              <w:spacing w:after="0" w:line="259" w:lineRule="auto"/>
              <w:ind w:left="0" w:firstLine="0"/>
            </w:pPr>
            <w:r>
              <w:t xml:space="preserve">poly (ADP ribose) polymerase </w:t>
            </w:r>
          </w:p>
        </w:tc>
      </w:tr>
      <w:tr w:rsidR="000B3C5C" w14:paraId="1EB7B61C" w14:textId="77777777">
        <w:trPr>
          <w:trHeight w:val="276"/>
        </w:trPr>
        <w:tc>
          <w:tcPr>
            <w:tcW w:w="1702" w:type="dxa"/>
            <w:tcBorders>
              <w:top w:val="nil"/>
              <w:left w:val="nil"/>
              <w:bottom w:val="nil"/>
              <w:right w:val="nil"/>
            </w:tcBorders>
          </w:tcPr>
          <w:p w14:paraId="375D6F5A" w14:textId="77777777" w:rsidR="000B3C5C" w:rsidRDefault="00ED192D">
            <w:pPr>
              <w:spacing w:after="0" w:line="259" w:lineRule="auto"/>
              <w:ind w:left="0" w:firstLine="0"/>
            </w:pPr>
            <w:r>
              <w:t xml:space="preserve">PD: </w:t>
            </w:r>
          </w:p>
        </w:tc>
        <w:tc>
          <w:tcPr>
            <w:tcW w:w="7350" w:type="dxa"/>
            <w:tcBorders>
              <w:top w:val="nil"/>
              <w:left w:val="nil"/>
              <w:bottom w:val="nil"/>
              <w:right w:val="nil"/>
            </w:tcBorders>
          </w:tcPr>
          <w:p w14:paraId="16859BD3" w14:textId="77777777" w:rsidR="000B3C5C" w:rsidRDefault="00ED192D">
            <w:pPr>
              <w:spacing w:after="0" w:line="259" w:lineRule="auto"/>
              <w:ind w:left="0" w:firstLine="0"/>
            </w:pPr>
            <w:r>
              <w:t xml:space="preserve">progressive disease </w:t>
            </w:r>
          </w:p>
        </w:tc>
      </w:tr>
      <w:tr w:rsidR="000B3C5C" w14:paraId="5B4FE205" w14:textId="77777777">
        <w:trPr>
          <w:trHeight w:val="276"/>
        </w:trPr>
        <w:tc>
          <w:tcPr>
            <w:tcW w:w="1702" w:type="dxa"/>
            <w:tcBorders>
              <w:top w:val="nil"/>
              <w:left w:val="nil"/>
              <w:bottom w:val="nil"/>
              <w:right w:val="nil"/>
            </w:tcBorders>
          </w:tcPr>
          <w:p w14:paraId="08D21C74" w14:textId="77777777" w:rsidR="000B3C5C" w:rsidRDefault="00ED192D">
            <w:pPr>
              <w:spacing w:after="0" w:line="259" w:lineRule="auto"/>
              <w:ind w:left="0" w:firstLine="0"/>
            </w:pPr>
            <w:r>
              <w:t xml:space="preserve">PD-1: </w:t>
            </w:r>
          </w:p>
        </w:tc>
        <w:tc>
          <w:tcPr>
            <w:tcW w:w="7350" w:type="dxa"/>
            <w:tcBorders>
              <w:top w:val="nil"/>
              <w:left w:val="nil"/>
              <w:bottom w:val="nil"/>
              <w:right w:val="nil"/>
            </w:tcBorders>
          </w:tcPr>
          <w:p w14:paraId="7F9A3E2B" w14:textId="77777777" w:rsidR="000B3C5C" w:rsidRDefault="00ED192D">
            <w:pPr>
              <w:spacing w:after="0" w:line="259" w:lineRule="auto"/>
              <w:ind w:left="0" w:firstLine="0"/>
            </w:pPr>
            <w:r>
              <w:t xml:space="preserve">programmed cell death-1 </w:t>
            </w:r>
          </w:p>
        </w:tc>
      </w:tr>
      <w:tr w:rsidR="000B3C5C" w14:paraId="7F83BFB6" w14:textId="77777777">
        <w:trPr>
          <w:trHeight w:val="247"/>
        </w:trPr>
        <w:tc>
          <w:tcPr>
            <w:tcW w:w="1702" w:type="dxa"/>
            <w:tcBorders>
              <w:top w:val="nil"/>
              <w:left w:val="nil"/>
              <w:bottom w:val="nil"/>
              <w:right w:val="nil"/>
            </w:tcBorders>
          </w:tcPr>
          <w:p w14:paraId="229EB0F6" w14:textId="77777777" w:rsidR="000B3C5C" w:rsidRDefault="00ED192D">
            <w:pPr>
              <w:spacing w:after="0" w:line="259" w:lineRule="auto"/>
              <w:ind w:left="0" w:firstLine="0"/>
            </w:pPr>
            <w:r>
              <w:t xml:space="preserve">PD-L1: </w:t>
            </w:r>
          </w:p>
        </w:tc>
        <w:tc>
          <w:tcPr>
            <w:tcW w:w="7350" w:type="dxa"/>
            <w:tcBorders>
              <w:top w:val="nil"/>
              <w:left w:val="nil"/>
              <w:bottom w:val="nil"/>
              <w:right w:val="nil"/>
            </w:tcBorders>
          </w:tcPr>
          <w:p w14:paraId="3CF78A5C" w14:textId="77777777" w:rsidR="000B3C5C" w:rsidRDefault="00ED192D">
            <w:pPr>
              <w:spacing w:after="0" w:line="259" w:lineRule="auto"/>
              <w:ind w:left="0" w:firstLine="0"/>
            </w:pPr>
            <w:r>
              <w:t xml:space="preserve">programmed cell death-ligand 1 </w:t>
            </w:r>
          </w:p>
        </w:tc>
      </w:tr>
    </w:tbl>
    <w:p w14:paraId="7C5EB694" w14:textId="77777777" w:rsidR="000B3C5C" w:rsidRDefault="000B3C5C">
      <w:pPr>
        <w:sectPr w:rsidR="000B3C5C">
          <w:headerReference w:type="even" r:id="rId35"/>
          <w:headerReference w:type="default" r:id="rId36"/>
          <w:footerReference w:type="even" r:id="rId37"/>
          <w:footerReference w:type="default" r:id="rId38"/>
          <w:headerReference w:type="first" r:id="rId39"/>
          <w:footerReference w:type="first" r:id="rId40"/>
          <w:pgSz w:w="11906" w:h="16838"/>
          <w:pgMar w:top="1170" w:right="787" w:bottom="2161" w:left="1587" w:header="720" w:footer="454" w:gutter="0"/>
          <w:cols w:space="720"/>
          <w:titlePg/>
        </w:sectPr>
      </w:pPr>
    </w:p>
    <w:tbl>
      <w:tblPr>
        <w:tblStyle w:val="TableGrid"/>
        <w:tblW w:w="6234" w:type="dxa"/>
        <w:tblInd w:w="0" w:type="dxa"/>
        <w:tblCellMar>
          <w:top w:w="0" w:type="dxa"/>
          <w:left w:w="0" w:type="dxa"/>
          <w:bottom w:w="0" w:type="dxa"/>
          <w:right w:w="0" w:type="dxa"/>
        </w:tblCellMar>
        <w:tblLook w:val="04A0" w:firstRow="1" w:lastRow="0" w:firstColumn="1" w:lastColumn="0" w:noHBand="0" w:noVBand="1"/>
      </w:tblPr>
      <w:tblGrid>
        <w:gridCol w:w="1702"/>
        <w:gridCol w:w="4532"/>
      </w:tblGrid>
      <w:tr w:rsidR="000B3C5C" w14:paraId="66AAEDF6" w14:textId="77777777">
        <w:trPr>
          <w:trHeight w:val="247"/>
        </w:trPr>
        <w:tc>
          <w:tcPr>
            <w:tcW w:w="1702" w:type="dxa"/>
            <w:tcBorders>
              <w:top w:val="nil"/>
              <w:left w:val="nil"/>
              <w:bottom w:val="nil"/>
              <w:right w:val="nil"/>
            </w:tcBorders>
          </w:tcPr>
          <w:p w14:paraId="588F4992" w14:textId="77777777" w:rsidR="000B3C5C" w:rsidRDefault="00ED192D">
            <w:pPr>
              <w:spacing w:after="0" w:line="259" w:lineRule="auto"/>
              <w:ind w:left="0" w:firstLine="0"/>
            </w:pPr>
            <w:r>
              <w:t xml:space="preserve">PD-L1: </w:t>
            </w:r>
          </w:p>
        </w:tc>
        <w:tc>
          <w:tcPr>
            <w:tcW w:w="4532" w:type="dxa"/>
            <w:tcBorders>
              <w:top w:val="nil"/>
              <w:left w:val="nil"/>
              <w:bottom w:val="nil"/>
              <w:right w:val="nil"/>
            </w:tcBorders>
          </w:tcPr>
          <w:p w14:paraId="0C063EFC" w14:textId="77777777" w:rsidR="000B3C5C" w:rsidRDefault="00ED192D">
            <w:pPr>
              <w:spacing w:after="0" w:line="259" w:lineRule="auto"/>
              <w:ind w:left="0" w:firstLine="0"/>
            </w:pPr>
            <w:r>
              <w:t xml:space="preserve">programmed cell death-ligand 1 </w:t>
            </w:r>
          </w:p>
        </w:tc>
      </w:tr>
      <w:tr w:rsidR="000B3C5C" w14:paraId="2A37E3F7" w14:textId="77777777">
        <w:trPr>
          <w:trHeight w:val="276"/>
        </w:trPr>
        <w:tc>
          <w:tcPr>
            <w:tcW w:w="1702" w:type="dxa"/>
            <w:tcBorders>
              <w:top w:val="nil"/>
              <w:left w:val="nil"/>
              <w:bottom w:val="nil"/>
              <w:right w:val="nil"/>
            </w:tcBorders>
          </w:tcPr>
          <w:p w14:paraId="4677DAD9" w14:textId="77777777" w:rsidR="000B3C5C" w:rsidRDefault="00ED192D">
            <w:pPr>
              <w:spacing w:after="0" w:line="259" w:lineRule="auto"/>
              <w:ind w:left="0" w:firstLine="0"/>
            </w:pPr>
            <w:r>
              <w:t xml:space="preserve">PD-L2: </w:t>
            </w:r>
          </w:p>
        </w:tc>
        <w:tc>
          <w:tcPr>
            <w:tcW w:w="4532" w:type="dxa"/>
            <w:tcBorders>
              <w:top w:val="nil"/>
              <w:left w:val="nil"/>
              <w:bottom w:val="nil"/>
              <w:right w:val="nil"/>
            </w:tcBorders>
          </w:tcPr>
          <w:p w14:paraId="7F13808F" w14:textId="77777777" w:rsidR="000B3C5C" w:rsidRDefault="00ED192D">
            <w:pPr>
              <w:spacing w:after="0" w:line="259" w:lineRule="auto"/>
              <w:ind w:left="0" w:firstLine="0"/>
            </w:pPr>
            <w:r>
              <w:t xml:space="preserve">programmed cell death-ligand 2 </w:t>
            </w:r>
          </w:p>
        </w:tc>
      </w:tr>
      <w:tr w:rsidR="000B3C5C" w14:paraId="273428AE" w14:textId="77777777">
        <w:trPr>
          <w:trHeight w:val="276"/>
        </w:trPr>
        <w:tc>
          <w:tcPr>
            <w:tcW w:w="1702" w:type="dxa"/>
            <w:tcBorders>
              <w:top w:val="nil"/>
              <w:left w:val="nil"/>
              <w:bottom w:val="nil"/>
              <w:right w:val="nil"/>
            </w:tcBorders>
          </w:tcPr>
          <w:p w14:paraId="3D313181" w14:textId="77777777" w:rsidR="000B3C5C" w:rsidRDefault="00ED192D">
            <w:pPr>
              <w:spacing w:after="0" w:line="259" w:lineRule="auto"/>
              <w:ind w:left="0" w:firstLine="0"/>
            </w:pPr>
            <w:r>
              <w:t xml:space="preserve">PFS: </w:t>
            </w:r>
          </w:p>
        </w:tc>
        <w:tc>
          <w:tcPr>
            <w:tcW w:w="4532" w:type="dxa"/>
            <w:tcBorders>
              <w:top w:val="nil"/>
              <w:left w:val="nil"/>
              <w:bottom w:val="nil"/>
              <w:right w:val="nil"/>
            </w:tcBorders>
          </w:tcPr>
          <w:p w14:paraId="2344F33D" w14:textId="77777777" w:rsidR="000B3C5C" w:rsidRDefault="00ED192D">
            <w:pPr>
              <w:spacing w:after="0" w:line="259" w:lineRule="auto"/>
              <w:ind w:left="0" w:firstLine="0"/>
            </w:pPr>
            <w:r>
              <w:t xml:space="preserve">progression free survival </w:t>
            </w:r>
          </w:p>
        </w:tc>
      </w:tr>
      <w:tr w:rsidR="000B3C5C" w14:paraId="706C27F4" w14:textId="77777777">
        <w:trPr>
          <w:trHeight w:val="276"/>
        </w:trPr>
        <w:tc>
          <w:tcPr>
            <w:tcW w:w="1702" w:type="dxa"/>
            <w:tcBorders>
              <w:top w:val="nil"/>
              <w:left w:val="nil"/>
              <w:bottom w:val="nil"/>
              <w:right w:val="nil"/>
            </w:tcBorders>
          </w:tcPr>
          <w:p w14:paraId="1709538F" w14:textId="77777777" w:rsidR="000B3C5C" w:rsidRDefault="00ED192D">
            <w:pPr>
              <w:spacing w:after="0" w:line="259" w:lineRule="auto"/>
              <w:ind w:left="0" w:firstLine="0"/>
            </w:pPr>
            <w:r>
              <w:t xml:space="preserve">PFS-6: </w:t>
            </w:r>
          </w:p>
        </w:tc>
        <w:tc>
          <w:tcPr>
            <w:tcW w:w="4532" w:type="dxa"/>
            <w:tcBorders>
              <w:top w:val="nil"/>
              <w:left w:val="nil"/>
              <w:bottom w:val="nil"/>
              <w:right w:val="nil"/>
            </w:tcBorders>
          </w:tcPr>
          <w:p w14:paraId="5BD75F34" w14:textId="77777777" w:rsidR="000B3C5C" w:rsidRDefault="00ED192D">
            <w:pPr>
              <w:spacing w:after="0" w:line="259" w:lineRule="auto"/>
              <w:ind w:left="0" w:firstLine="0"/>
            </w:pPr>
            <w:r>
              <w:t xml:space="preserve">progression free survival rate at 6 months </w:t>
            </w:r>
          </w:p>
        </w:tc>
      </w:tr>
      <w:tr w:rsidR="000B3C5C" w14:paraId="145CEABC" w14:textId="77777777">
        <w:trPr>
          <w:trHeight w:val="276"/>
        </w:trPr>
        <w:tc>
          <w:tcPr>
            <w:tcW w:w="1702" w:type="dxa"/>
            <w:tcBorders>
              <w:top w:val="nil"/>
              <w:left w:val="nil"/>
              <w:bottom w:val="nil"/>
              <w:right w:val="nil"/>
            </w:tcBorders>
          </w:tcPr>
          <w:p w14:paraId="0045A239" w14:textId="77777777" w:rsidR="000B3C5C" w:rsidRDefault="00ED192D">
            <w:pPr>
              <w:spacing w:after="0" w:line="259" w:lineRule="auto"/>
              <w:ind w:left="0" w:firstLine="0"/>
            </w:pPr>
            <w:r>
              <w:t xml:space="preserve">PK: </w:t>
            </w:r>
          </w:p>
        </w:tc>
        <w:tc>
          <w:tcPr>
            <w:tcW w:w="4532" w:type="dxa"/>
            <w:tcBorders>
              <w:top w:val="nil"/>
              <w:left w:val="nil"/>
              <w:bottom w:val="nil"/>
              <w:right w:val="nil"/>
            </w:tcBorders>
          </w:tcPr>
          <w:p w14:paraId="0A6D0B73" w14:textId="77777777" w:rsidR="000B3C5C" w:rsidRDefault="00ED192D">
            <w:pPr>
              <w:spacing w:after="0" w:line="259" w:lineRule="auto"/>
              <w:ind w:left="0" w:firstLine="0"/>
            </w:pPr>
            <w:r>
              <w:t xml:space="preserve">pharmacokinetic </w:t>
            </w:r>
          </w:p>
        </w:tc>
      </w:tr>
      <w:tr w:rsidR="000B3C5C" w14:paraId="4DB7EB22" w14:textId="77777777">
        <w:trPr>
          <w:trHeight w:val="276"/>
        </w:trPr>
        <w:tc>
          <w:tcPr>
            <w:tcW w:w="1702" w:type="dxa"/>
            <w:tcBorders>
              <w:top w:val="nil"/>
              <w:left w:val="nil"/>
              <w:bottom w:val="nil"/>
              <w:right w:val="nil"/>
            </w:tcBorders>
          </w:tcPr>
          <w:p w14:paraId="4BA5F9BD" w14:textId="77777777" w:rsidR="000B3C5C" w:rsidRDefault="00ED192D">
            <w:pPr>
              <w:spacing w:after="0" w:line="259" w:lineRule="auto"/>
              <w:ind w:left="0" w:firstLine="0"/>
            </w:pPr>
            <w:r>
              <w:t xml:space="preserve">PLD: </w:t>
            </w:r>
          </w:p>
        </w:tc>
        <w:tc>
          <w:tcPr>
            <w:tcW w:w="4532" w:type="dxa"/>
            <w:tcBorders>
              <w:top w:val="nil"/>
              <w:left w:val="nil"/>
              <w:bottom w:val="nil"/>
              <w:right w:val="nil"/>
            </w:tcBorders>
          </w:tcPr>
          <w:p w14:paraId="396AB53E" w14:textId="77777777" w:rsidR="000B3C5C" w:rsidRDefault="00ED192D">
            <w:pPr>
              <w:spacing w:after="0" w:line="259" w:lineRule="auto"/>
              <w:ind w:left="0" w:firstLine="0"/>
            </w:pPr>
            <w:r>
              <w:t xml:space="preserve">pegylated liposomal doxorubicin </w:t>
            </w:r>
          </w:p>
        </w:tc>
      </w:tr>
      <w:tr w:rsidR="000B3C5C" w14:paraId="6B907E07" w14:textId="77777777">
        <w:trPr>
          <w:trHeight w:val="276"/>
        </w:trPr>
        <w:tc>
          <w:tcPr>
            <w:tcW w:w="1702" w:type="dxa"/>
            <w:tcBorders>
              <w:top w:val="nil"/>
              <w:left w:val="nil"/>
              <w:bottom w:val="nil"/>
              <w:right w:val="nil"/>
            </w:tcBorders>
          </w:tcPr>
          <w:p w14:paraId="23C44880" w14:textId="77777777" w:rsidR="000B3C5C" w:rsidRDefault="00ED192D">
            <w:pPr>
              <w:spacing w:after="0" w:line="259" w:lineRule="auto"/>
              <w:ind w:left="0" w:firstLine="0"/>
            </w:pPr>
            <w:r>
              <w:t xml:space="preserve">PO: </w:t>
            </w:r>
          </w:p>
        </w:tc>
        <w:tc>
          <w:tcPr>
            <w:tcW w:w="4532" w:type="dxa"/>
            <w:tcBorders>
              <w:top w:val="nil"/>
              <w:left w:val="nil"/>
              <w:bottom w:val="nil"/>
              <w:right w:val="nil"/>
            </w:tcBorders>
          </w:tcPr>
          <w:p w14:paraId="3C1E257A" w14:textId="77777777" w:rsidR="000B3C5C" w:rsidRDefault="00ED192D">
            <w:pPr>
              <w:spacing w:after="0" w:line="259" w:lineRule="auto"/>
              <w:ind w:left="0" w:firstLine="0"/>
            </w:pPr>
            <w:r>
              <w:t xml:space="preserve">oral route </w:t>
            </w:r>
          </w:p>
        </w:tc>
      </w:tr>
      <w:tr w:rsidR="000B3C5C" w14:paraId="77B2CA38" w14:textId="77777777">
        <w:trPr>
          <w:trHeight w:val="276"/>
        </w:trPr>
        <w:tc>
          <w:tcPr>
            <w:tcW w:w="1702" w:type="dxa"/>
            <w:tcBorders>
              <w:top w:val="nil"/>
              <w:left w:val="nil"/>
              <w:bottom w:val="nil"/>
              <w:right w:val="nil"/>
            </w:tcBorders>
          </w:tcPr>
          <w:p w14:paraId="213FC20A" w14:textId="77777777" w:rsidR="000B3C5C" w:rsidRDefault="00ED192D">
            <w:pPr>
              <w:spacing w:after="0" w:line="259" w:lineRule="auto"/>
              <w:ind w:left="0" w:firstLine="0"/>
            </w:pPr>
            <w:r>
              <w:t xml:space="preserve">PP: </w:t>
            </w:r>
          </w:p>
        </w:tc>
        <w:tc>
          <w:tcPr>
            <w:tcW w:w="4532" w:type="dxa"/>
            <w:tcBorders>
              <w:top w:val="nil"/>
              <w:left w:val="nil"/>
              <w:bottom w:val="nil"/>
              <w:right w:val="nil"/>
            </w:tcBorders>
          </w:tcPr>
          <w:p w14:paraId="2603B7E6" w14:textId="77777777" w:rsidR="000B3C5C" w:rsidRDefault="00ED192D">
            <w:pPr>
              <w:spacing w:after="0" w:line="259" w:lineRule="auto"/>
              <w:ind w:left="0" w:firstLine="0"/>
            </w:pPr>
            <w:r>
              <w:t xml:space="preserve">Polypropylene </w:t>
            </w:r>
          </w:p>
        </w:tc>
      </w:tr>
      <w:tr w:rsidR="000B3C5C" w14:paraId="2FF6EB91" w14:textId="77777777">
        <w:trPr>
          <w:trHeight w:val="276"/>
        </w:trPr>
        <w:tc>
          <w:tcPr>
            <w:tcW w:w="1702" w:type="dxa"/>
            <w:tcBorders>
              <w:top w:val="nil"/>
              <w:left w:val="nil"/>
              <w:bottom w:val="nil"/>
              <w:right w:val="nil"/>
            </w:tcBorders>
          </w:tcPr>
          <w:p w14:paraId="2104B41E" w14:textId="77777777" w:rsidR="000B3C5C" w:rsidRDefault="00ED192D">
            <w:pPr>
              <w:spacing w:after="0" w:line="259" w:lineRule="auto"/>
              <w:ind w:left="0" w:firstLine="0"/>
            </w:pPr>
            <w:r>
              <w:t xml:space="preserve">PT: </w:t>
            </w:r>
          </w:p>
        </w:tc>
        <w:tc>
          <w:tcPr>
            <w:tcW w:w="4532" w:type="dxa"/>
            <w:tcBorders>
              <w:top w:val="nil"/>
              <w:left w:val="nil"/>
              <w:bottom w:val="nil"/>
              <w:right w:val="nil"/>
            </w:tcBorders>
          </w:tcPr>
          <w:p w14:paraId="4C7E9A6B" w14:textId="77777777" w:rsidR="000B3C5C" w:rsidRDefault="00ED192D">
            <w:pPr>
              <w:spacing w:after="0" w:line="259" w:lineRule="auto"/>
              <w:ind w:left="0" w:firstLine="0"/>
            </w:pPr>
            <w:r>
              <w:t xml:space="preserve">preferred term </w:t>
            </w:r>
          </w:p>
        </w:tc>
      </w:tr>
      <w:tr w:rsidR="000B3C5C" w14:paraId="641B20FF" w14:textId="77777777">
        <w:trPr>
          <w:trHeight w:val="276"/>
        </w:trPr>
        <w:tc>
          <w:tcPr>
            <w:tcW w:w="1702" w:type="dxa"/>
            <w:tcBorders>
              <w:top w:val="nil"/>
              <w:left w:val="nil"/>
              <w:bottom w:val="nil"/>
              <w:right w:val="nil"/>
            </w:tcBorders>
          </w:tcPr>
          <w:p w14:paraId="2EB7D459" w14:textId="77777777" w:rsidR="000B3C5C" w:rsidRDefault="00ED192D">
            <w:pPr>
              <w:spacing w:after="0" w:line="259" w:lineRule="auto"/>
              <w:ind w:left="0" w:firstLine="0"/>
            </w:pPr>
            <w:r>
              <w:t xml:space="preserve">Q2W: </w:t>
            </w:r>
          </w:p>
        </w:tc>
        <w:tc>
          <w:tcPr>
            <w:tcW w:w="4532" w:type="dxa"/>
            <w:tcBorders>
              <w:top w:val="nil"/>
              <w:left w:val="nil"/>
              <w:bottom w:val="nil"/>
              <w:right w:val="nil"/>
            </w:tcBorders>
          </w:tcPr>
          <w:p w14:paraId="5D5A166C" w14:textId="77777777" w:rsidR="000B3C5C" w:rsidRDefault="00ED192D">
            <w:pPr>
              <w:spacing w:after="0" w:line="259" w:lineRule="auto"/>
              <w:ind w:left="0" w:firstLine="0"/>
            </w:pPr>
            <w:r>
              <w:t xml:space="preserve">once every 2 weeks </w:t>
            </w:r>
          </w:p>
        </w:tc>
      </w:tr>
      <w:tr w:rsidR="000B3C5C" w14:paraId="16089D35" w14:textId="77777777">
        <w:trPr>
          <w:trHeight w:val="276"/>
        </w:trPr>
        <w:tc>
          <w:tcPr>
            <w:tcW w:w="1702" w:type="dxa"/>
            <w:tcBorders>
              <w:top w:val="nil"/>
              <w:left w:val="nil"/>
              <w:bottom w:val="nil"/>
              <w:right w:val="nil"/>
            </w:tcBorders>
          </w:tcPr>
          <w:p w14:paraId="7FCDC8D3" w14:textId="77777777" w:rsidR="000B3C5C" w:rsidRDefault="00ED192D">
            <w:pPr>
              <w:spacing w:after="0" w:line="259" w:lineRule="auto"/>
              <w:ind w:left="0" w:firstLine="0"/>
            </w:pPr>
            <w:r>
              <w:t xml:space="preserve">Q3W: </w:t>
            </w:r>
          </w:p>
        </w:tc>
        <w:tc>
          <w:tcPr>
            <w:tcW w:w="4532" w:type="dxa"/>
            <w:tcBorders>
              <w:top w:val="nil"/>
              <w:left w:val="nil"/>
              <w:bottom w:val="nil"/>
              <w:right w:val="nil"/>
            </w:tcBorders>
          </w:tcPr>
          <w:p w14:paraId="149E3FF7" w14:textId="77777777" w:rsidR="000B3C5C" w:rsidRDefault="00ED192D">
            <w:pPr>
              <w:spacing w:after="0" w:line="259" w:lineRule="auto"/>
              <w:ind w:left="0" w:firstLine="0"/>
            </w:pPr>
            <w:r>
              <w:t xml:space="preserve">once every 3 weeks </w:t>
            </w:r>
          </w:p>
        </w:tc>
      </w:tr>
      <w:tr w:rsidR="000B3C5C" w14:paraId="166D2EC0" w14:textId="77777777">
        <w:trPr>
          <w:trHeight w:val="276"/>
        </w:trPr>
        <w:tc>
          <w:tcPr>
            <w:tcW w:w="1702" w:type="dxa"/>
            <w:tcBorders>
              <w:top w:val="nil"/>
              <w:left w:val="nil"/>
              <w:bottom w:val="nil"/>
              <w:right w:val="nil"/>
            </w:tcBorders>
          </w:tcPr>
          <w:p w14:paraId="6383AFC0" w14:textId="77777777" w:rsidR="000B3C5C" w:rsidRDefault="00ED192D">
            <w:pPr>
              <w:spacing w:after="0" w:line="259" w:lineRule="auto"/>
              <w:ind w:left="0" w:firstLine="0"/>
            </w:pPr>
            <w:r>
              <w:t xml:space="preserve">QW: </w:t>
            </w:r>
          </w:p>
        </w:tc>
        <w:tc>
          <w:tcPr>
            <w:tcW w:w="4532" w:type="dxa"/>
            <w:tcBorders>
              <w:top w:val="nil"/>
              <w:left w:val="nil"/>
              <w:bottom w:val="nil"/>
              <w:right w:val="nil"/>
            </w:tcBorders>
          </w:tcPr>
          <w:p w14:paraId="4DFA4D1D" w14:textId="77777777" w:rsidR="000B3C5C" w:rsidRDefault="00ED192D">
            <w:pPr>
              <w:spacing w:after="0" w:line="259" w:lineRule="auto"/>
              <w:ind w:left="0" w:firstLine="0"/>
            </w:pPr>
            <w:r>
              <w:t xml:space="preserve">once weekly </w:t>
            </w:r>
          </w:p>
        </w:tc>
      </w:tr>
      <w:tr w:rsidR="000B3C5C" w14:paraId="64BC2D99" w14:textId="77777777">
        <w:trPr>
          <w:trHeight w:val="276"/>
        </w:trPr>
        <w:tc>
          <w:tcPr>
            <w:tcW w:w="1702" w:type="dxa"/>
            <w:tcBorders>
              <w:top w:val="nil"/>
              <w:left w:val="nil"/>
              <w:bottom w:val="nil"/>
              <w:right w:val="nil"/>
            </w:tcBorders>
          </w:tcPr>
          <w:p w14:paraId="75A72DB9" w14:textId="77777777" w:rsidR="000B3C5C" w:rsidRDefault="00ED192D">
            <w:pPr>
              <w:spacing w:after="0" w:line="259" w:lineRule="auto"/>
              <w:ind w:left="0" w:firstLine="0"/>
            </w:pPr>
            <w:r>
              <w:t xml:space="preserve">RANO: </w:t>
            </w:r>
          </w:p>
        </w:tc>
        <w:tc>
          <w:tcPr>
            <w:tcW w:w="4532" w:type="dxa"/>
            <w:tcBorders>
              <w:top w:val="nil"/>
              <w:left w:val="nil"/>
              <w:bottom w:val="nil"/>
              <w:right w:val="nil"/>
            </w:tcBorders>
          </w:tcPr>
          <w:p w14:paraId="29921855" w14:textId="77777777" w:rsidR="000B3C5C" w:rsidRDefault="00ED192D">
            <w:pPr>
              <w:spacing w:after="0" w:line="259" w:lineRule="auto"/>
              <w:ind w:left="0" w:firstLine="0"/>
            </w:pPr>
            <w:r>
              <w:t xml:space="preserve">response assessment for neuro-oncology </w:t>
            </w:r>
          </w:p>
        </w:tc>
      </w:tr>
      <w:tr w:rsidR="000B3C5C" w14:paraId="3B400B92" w14:textId="77777777">
        <w:trPr>
          <w:trHeight w:val="273"/>
        </w:trPr>
        <w:tc>
          <w:tcPr>
            <w:tcW w:w="1702" w:type="dxa"/>
            <w:tcBorders>
              <w:top w:val="nil"/>
              <w:left w:val="nil"/>
              <w:bottom w:val="nil"/>
              <w:right w:val="nil"/>
            </w:tcBorders>
          </w:tcPr>
          <w:p w14:paraId="222E33AE" w14:textId="77777777" w:rsidR="000B3C5C" w:rsidRDefault="00ED192D">
            <w:pPr>
              <w:spacing w:after="0" w:line="259" w:lineRule="auto"/>
              <w:ind w:left="0" w:firstLine="0"/>
            </w:pPr>
            <w:r>
              <w:t xml:space="preserve">RECIST: </w:t>
            </w:r>
          </w:p>
        </w:tc>
        <w:tc>
          <w:tcPr>
            <w:tcW w:w="4532" w:type="dxa"/>
            <w:tcBorders>
              <w:top w:val="nil"/>
              <w:left w:val="nil"/>
              <w:bottom w:val="nil"/>
              <w:right w:val="nil"/>
            </w:tcBorders>
          </w:tcPr>
          <w:p w14:paraId="61815FAB" w14:textId="77777777" w:rsidR="000B3C5C" w:rsidRDefault="00ED192D">
            <w:pPr>
              <w:spacing w:after="0" w:line="259" w:lineRule="auto"/>
              <w:ind w:left="0" w:firstLine="0"/>
              <w:jc w:val="both"/>
            </w:pPr>
            <w:r>
              <w:t xml:space="preserve">Response Evaluation Criteria in Solid Tumors </w:t>
            </w:r>
          </w:p>
        </w:tc>
      </w:tr>
      <w:tr w:rsidR="000B3C5C" w14:paraId="05F073F3" w14:textId="77777777">
        <w:trPr>
          <w:trHeight w:val="280"/>
        </w:trPr>
        <w:tc>
          <w:tcPr>
            <w:tcW w:w="1702" w:type="dxa"/>
            <w:tcBorders>
              <w:top w:val="nil"/>
              <w:left w:val="nil"/>
              <w:bottom w:val="nil"/>
              <w:right w:val="nil"/>
            </w:tcBorders>
          </w:tcPr>
          <w:p w14:paraId="2308C1D3" w14:textId="77777777" w:rsidR="000B3C5C" w:rsidRDefault="00ED192D">
            <w:pPr>
              <w:spacing w:after="0" w:line="259" w:lineRule="auto"/>
              <w:ind w:left="0" w:firstLine="0"/>
            </w:pPr>
            <w:r>
              <w:rPr>
                <w:rFonts w:ascii="Arial" w:eastAsia="Arial" w:hAnsi="Arial" w:cs="Arial"/>
              </w:rPr>
              <w:t>RNT</w:t>
            </w:r>
            <w:r>
              <w:t xml:space="preserve">: </w:t>
            </w:r>
          </w:p>
        </w:tc>
        <w:tc>
          <w:tcPr>
            <w:tcW w:w="4532" w:type="dxa"/>
            <w:tcBorders>
              <w:top w:val="nil"/>
              <w:left w:val="nil"/>
              <w:bottom w:val="nil"/>
              <w:right w:val="nil"/>
            </w:tcBorders>
          </w:tcPr>
          <w:p w14:paraId="220070B4" w14:textId="77777777" w:rsidR="000B3C5C" w:rsidRDefault="00ED192D">
            <w:pPr>
              <w:spacing w:after="0" w:line="259" w:lineRule="auto"/>
              <w:ind w:left="0" w:firstLine="0"/>
            </w:pPr>
            <w:r>
              <w:t xml:space="preserve">relative nominal time </w:t>
            </w:r>
          </w:p>
        </w:tc>
      </w:tr>
      <w:tr w:rsidR="000B3C5C" w14:paraId="2736FA77" w14:textId="77777777">
        <w:trPr>
          <w:trHeight w:val="275"/>
        </w:trPr>
        <w:tc>
          <w:tcPr>
            <w:tcW w:w="1702" w:type="dxa"/>
            <w:tcBorders>
              <w:top w:val="nil"/>
              <w:left w:val="nil"/>
              <w:bottom w:val="nil"/>
              <w:right w:val="nil"/>
            </w:tcBorders>
          </w:tcPr>
          <w:p w14:paraId="749CDA7C" w14:textId="77777777" w:rsidR="000B3C5C" w:rsidRDefault="00ED192D">
            <w:pPr>
              <w:spacing w:after="0" w:line="259" w:lineRule="auto"/>
              <w:ind w:left="0" w:firstLine="0"/>
            </w:pPr>
            <w:r>
              <w:t xml:space="preserve">RP2D: </w:t>
            </w:r>
          </w:p>
        </w:tc>
        <w:tc>
          <w:tcPr>
            <w:tcW w:w="4532" w:type="dxa"/>
            <w:tcBorders>
              <w:top w:val="nil"/>
              <w:left w:val="nil"/>
              <w:bottom w:val="nil"/>
              <w:right w:val="nil"/>
            </w:tcBorders>
          </w:tcPr>
          <w:p w14:paraId="4076C381" w14:textId="77777777" w:rsidR="000B3C5C" w:rsidRDefault="00ED192D">
            <w:pPr>
              <w:spacing w:after="0" w:line="259" w:lineRule="auto"/>
              <w:ind w:left="0" w:firstLine="0"/>
            </w:pPr>
            <w:r>
              <w:t xml:space="preserve">recommended phase 2 dose </w:t>
            </w:r>
          </w:p>
        </w:tc>
      </w:tr>
      <w:tr w:rsidR="000B3C5C" w14:paraId="4B59F9B4" w14:textId="77777777">
        <w:trPr>
          <w:trHeight w:val="273"/>
        </w:trPr>
        <w:tc>
          <w:tcPr>
            <w:tcW w:w="1702" w:type="dxa"/>
            <w:tcBorders>
              <w:top w:val="nil"/>
              <w:left w:val="nil"/>
              <w:bottom w:val="nil"/>
              <w:right w:val="nil"/>
            </w:tcBorders>
          </w:tcPr>
          <w:p w14:paraId="03336F77" w14:textId="77777777" w:rsidR="000B3C5C" w:rsidRDefault="00ED192D">
            <w:pPr>
              <w:spacing w:after="0" w:line="259" w:lineRule="auto"/>
              <w:ind w:left="0" w:firstLine="0"/>
            </w:pPr>
            <w:r>
              <w:t xml:space="preserve">RR: </w:t>
            </w:r>
          </w:p>
        </w:tc>
        <w:tc>
          <w:tcPr>
            <w:tcW w:w="4532" w:type="dxa"/>
            <w:tcBorders>
              <w:top w:val="nil"/>
              <w:left w:val="nil"/>
              <w:bottom w:val="nil"/>
              <w:right w:val="nil"/>
            </w:tcBorders>
          </w:tcPr>
          <w:p w14:paraId="6747DF9A" w14:textId="77777777" w:rsidR="000B3C5C" w:rsidRDefault="00ED192D">
            <w:pPr>
              <w:spacing w:after="0" w:line="259" w:lineRule="auto"/>
              <w:ind w:left="0" w:firstLine="0"/>
            </w:pPr>
            <w:r>
              <w:t xml:space="preserve">response rate </w:t>
            </w:r>
          </w:p>
        </w:tc>
      </w:tr>
      <w:tr w:rsidR="000B3C5C" w14:paraId="3BA13C17" w14:textId="77777777">
        <w:trPr>
          <w:trHeight w:val="280"/>
        </w:trPr>
        <w:tc>
          <w:tcPr>
            <w:tcW w:w="1702" w:type="dxa"/>
            <w:tcBorders>
              <w:top w:val="nil"/>
              <w:left w:val="nil"/>
              <w:bottom w:val="nil"/>
              <w:right w:val="nil"/>
            </w:tcBorders>
          </w:tcPr>
          <w:p w14:paraId="55CD484E" w14:textId="77777777" w:rsidR="000B3C5C" w:rsidRDefault="00ED192D">
            <w:pPr>
              <w:spacing w:after="0" w:line="259" w:lineRule="auto"/>
              <w:ind w:left="0" w:firstLine="0"/>
            </w:pPr>
            <w:r>
              <w:rPr>
                <w:rFonts w:ascii="Arial" w:eastAsia="Arial" w:hAnsi="Arial" w:cs="Arial"/>
              </w:rPr>
              <w:t>S</w:t>
            </w:r>
            <w:r>
              <w:t xml:space="preserve">: </w:t>
            </w:r>
          </w:p>
        </w:tc>
        <w:tc>
          <w:tcPr>
            <w:tcW w:w="4532" w:type="dxa"/>
            <w:tcBorders>
              <w:top w:val="nil"/>
              <w:left w:val="nil"/>
              <w:bottom w:val="nil"/>
              <w:right w:val="nil"/>
            </w:tcBorders>
          </w:tcPr>
          <w:p w14:paraId="3F5BB0FA" w14:textId="77777777" w:rsidR="000B3C5C" w:rsidRDefault="00ED192D">
            <w:pPr>
              <w:spacing w:after="0" w:line="259" w:lineRule="auto"/>
              <w:ind w:left="0" w:firstLine="0"/>
            </w:pPr>
            <w:r>
              <w:t xml:space="preserve">serum </w:t>
            </w:r>
          </w:p>
        </w:tc>
      </w:tr>
      <w:tr w:rsidR="000B3C5C" w14:paraId="68F36A88" w14:textId="77777777">
        <w:trPr>
          <w:trHeight w:val="275"/>
        </w:trPr>
        <w:tc>
          <w:tcPr>
            <w:tcW w:w="1702" w:type="dxa"/>
            <w:tcBorders>
              <w:top w:val="nil"/>
              <w:left w:val="nil"/>
              <w:bottom w:val="nil"/>
              <w:right w:val="nil"/>
            </w:tcBorders>
          </w:tcPr>
          <w:p w14:paraId="338B0CF5" w14:textId="77777777" w:rsidR="000B3C5C" w:rsidRDefault="00ED192D">
            <w:pPr>
              <w:spacing w:after="0" w:line="259" w:lineRule="auto"/>
              <w:ind w:left="0" w:firstLine="0"/>
            </w:pPr>
            <w:r>
              <w:t xml:space="preserve">SAE: </w:t>
            </w:r>
          </w:p>
        </w:tc>
        <w:tc>
          <w:tcPr>
            <w:tcW w:w="4532" w:type="dxa"/>
            <w:tcBorders>
              <w:top w:val="nil"/>
              <w:left w:val="nil"/>
              <w:bottom w:val="nil"/>
              <w:right w:val="nil"/>
            </w:tcBorders>
          </w:tcPr>
          <w:p w14:paraId="787CDB3B" w14:textId="77777777" w:rsidR="000B3C5C" w:rsidRDefault="00ED192D">
            <w:pPr>
              <w:spacing w:after="0" w:line="259" w:lineRule="auto"/>
              <w:ind w:left="0" w:firstLine="0"/>
            </w:pPr>
            <w:r>
              <w:t xml:space="preserve">serious adverse event </w:t>
            </w:r>
          </w:p>
        </w:tc>
      </w:tr>
      <w:tr w:rsidR="000B3C5C" w14:paraId="613D4937" w14:textId="77777777">
        <w:trPr>
          <w:trHeight w:val="276"/>
        </w:trPr>
        <w:tc>
          <w:tcPr>
            <w:tcW w:w="1702" w:type="dxa"/>
            <w:tcBorders>
              <w:top w:val="nil"/>
              <w:left w:val="nil"/>
              <w:bottom w:val="nil"/>
              <w:right w:val="nil"/>
            </w:tcBorders>
          </w:tcPr>
          <w:p w14:paraId="5D4AC63C" w14:textId="77777777" w:rsidR="000B3C5C" w:rsidRDefault="00ED192D">
            <w:pPr>
              <w:spacing w:after="0" w:line="259" w:lineRule="auto"/>
              <w:ind w:left="0" w:firstLine="0"/>
            </w:pPr>
            <w:r>
              <w:t xml:space="preserve">SAE: </w:t>
            </w:r>
          </w:p>
        </w:tc>
        <w:tc>
          <w:tcPr>
            <w:tcW w:w="4532" w:type="dxa"/>
            <w:tcBorders>
              <w:top w:val="nil"/>
              <w:left w:val="nil"/>
              <w:bottom w:val="nil"/>
              <w:right w:val="nil"/>
            </w:tcBorders>
          </w:tcPr>
          <w:p w14:paraId="18A3DC0B" w14:textId="77777777" w:rsidR="000B3C5C" w:rsidRDefault="00ED192D">
            <w:pPr>
              <w:spacing w:after="0" w:line="259" w:lineRule="auto"/>
              <w:ind w:left="0" w:firstLine="0"/>
            </w:pPr>
            <w:r>
              <w:t xml:space="preserve">serious adverse event </w:t>
            </w:r>
          </w:p>
        </w:tc>
      </w:tr>
      <w:tr w:rsidR="000B3C5C" w14:paraId="2E48C91A" w14:textId="77777777">
        <w:trPr>
          <w:trHeight w:val="276"/>
        </w:trPr>
        <w:tc>
          <w:tcPr>
            <w:tcW w:w="1702" w:type="dxa"/>
            <w:tcBorders>
              <w:top w:val="nil"/>
              <w:left w:val="nil"/>
              <w:bottom w:val="nil"/>
              <w:right w:val="nil"/>
            </w:tcBorders>
          </w:tcPr>
          <w:p w14:paraId="072EBE2B" w14:textId="77777777" w:rsidR="000B3C5C" w:rsidRDefault="00ED192D">
            <w:pPr>
              <w:spacing w:after="0" w:line="259" w:lineRule="auto"/>
              <w:ind w:left="0" w:firstLine="0"/>
            </w:pPr>
            <w:r>
              <w:t xml:space="preserve">SCARs: </w:t>
            </w:r>
          </w:p>
        </w:tc>
        <w:tc>
          <w:tcPr>
            <w:tcW w:w="4532" w:type="dxa"/>
            <w:tcBorders>
              <w:top w:val="nil"/>
              <w:left w:val="nil"/>
              <w:bottom w:val="nil"/>
              <w:right w:val="nil"/>
            </w:tcBorders>
          </w:tcPr>
          <w:p w14:paraId="27421C6A" w14:textId="77777777" w:rsidR="000B3C5C" w:rsidRDefault="00ED192D">
            <w:pPr>
              <w:spacing w:after="0" w:line="259" w:lineRule="auto"/>
              <w:ind w:left="0" w:firstLine="0"/>
            </w:pPr>
            <w:r>
              <w:t xml:space="preserve">severe cutaneous adverse reactions </w:t>
            </w:r>
          </w:p>
        </w:tc>
      </w:tr>
      <w:tr w:rsidR="000B3C5C" w14:paraId="012BA8CA" w14:textId="77777777">
        <w:trPr>
          <w:trHeight w:val="276"/>
        </w:trPr>
        <w:tc>
          <w:tcPr>
            <w:tcW w:w="1702" w:type="dxa"/>
            <w:tcBorders>
              <w:top w:val="nil"/>
              <w:left w:val="nil"/>
              <w:bottom w:val="nil"/>
              <w:right w:val="nil"/>
            </w:tcBorders>
          </w:tcPr>
          <w:p w14:paraId="3957C5EF" w14:textId="77777777" w:rsidR="000B3C5C" w:rsidRDefault="00ED192D">
            <w:pPr>
              <w:spacing w:after="0" w:line="259" w:lineRule="auto"/>
              <w:ind w:left="0" w:firstLine="0"/>
            </w:pPr>
            <w:r>
              <w:t xml:space="preserve">SCCHN: </w:t>
            </w:r>
          </w:p>
        </w:tc>
        <w:tc>
          <w:tcPr>
            <w:tcW w:w="4532" w:type="dxa"/>
            <w:tcBorders>
              <w:top w:val="nil"/>
              <w:left w:val="nil"/>
              <w:bottom w:val="nil"/>
              <w:right w:val="nil"/>
            </w:tcBorders>
          </w:tcPr>
          <w:p w14:paraId="77513358" w14:textId="77777777" w:rsidR="000B3C5C" w:rsidRDefault="00ED192D">
            <w:pPr>
              <w:spacing w:after="0" w:line="259" w:lineRule="auto"/>
              <w:ind w:left="0" w:firstLine="0"/>
              <w:jc w:val="both"/>
            </w:pPr>
            <w:r>
              <w:t xml:space="preserve">squamous cell carcinoma of the head and neck </w:t>
            </w:r>
          </w:p>
        </w:tc>
      </w:tr>
      <w:tr w:rsidR="000B3C5C" w14:paraId="01707DEC" w14:textId="77777777">
        <w:trPr>
          <w:trHeight w:val="276"/>
        </w:trPr>
        <w:tc>
          <w:tcPr>
            <w:tcW w:w="1702" w:type="dxa"/>
            <w:tcBorders>
              <w:top w:val="nil"/>
              <w:left w:val="nil"/>
              <w:bottom w:val="nil"/>
              <w:right w:val="nil"/>
            </w:tcBorders>
          </w:tcPr>
          <w:p w14:paraId="02F6FD91" w14:textId="77777777" w:rsidR="000B3C5C" w:rsidRDefault="00ED192D">
            <w:pPr>
              <w:spacing w:after="0" w:line="259" w:lineRule="auto"/>
              <w:ind w:left="0" w:firstLine="0"/>
            </w:pPr>
            <w:r>
              <w:t xml:space="preserve">SJS: </w:t>
            </w:r>
          </w:p>
        </w:tc>
        <w:tc>
          <w:tcPr>
            <w:tcW w:w="4532" w:type="dxa"/>
            <w:tcBorders>
              <w:top w:val="nil"/>
              <w:left w:val="nil"/>
              <w:bottom w:val="nil"/>
              <w:right w:val="nil"/>
            </w:tcBorders>
          </w:tcPr>
          <w:p w14:paraId="586A4F49" w14:textId="77777777" w:rsidR="000B3C5C" w:rsidRDefault="00ED192D">
            <w:pPr>
              <w:spacing w:after="0" w:line="259" w:lineRule="auto"/>
              <w:ind w:left="0" w:firstLine="0"/>
            </w:pPr>
            <w:r>
              <w:t xml:space="preserve">Stevens-Johnson Syndrome </w:t>
            </w:r>
          </w:p>
        </w:tc>
      </w:tr>
      <w:tr w:rsidR="000B3C5C" w14:paraId="33922BE5" w14:textId="77777777">
        <w:trPr>
          <w:trHeight w:val="276"/>
        </w:trPr>
        <w:tc>
          <w:tcPr>
            <w:tcW w:w="1702" w:type="dxa"/>
            <w:tcBorders>
              <w:top w:val="nil"/>
              <w:left w:val="nil"/>
              <w:bottom w:val="nil"/>
              <w:right w:val="nil"/>
            </w:tcBorders>
          </w:tcPr>
          <w:p w14:paraId="539B7C28" w14:textId="77777777" w:rsidR="000B3C5C" w:rsidRDefault="00ED192D">
            <w:pPr>
              <w:spacing w:after="0" w:line="259" w:lineRule="auto"/>
              <w:ind w:left="0" w:firstLine="0"/>
            </w:pPr>
            <w:r>
              <w:t xml:space="preserve">SoA: </w:t>
            </w:r>
          </w:p>
        </w:tc>
        <w:tc>
          <w:tcPr>
            <w:tcW w:w="4532" w:type="dxa"/>
            <w:tcBorders>
              <w:top w:val="nil"/>
              <w:left w:val="nil"/>
              <w:bottom w:val="nil"/>
              <w:right w:val="nil"/>
            </w:tcBorders>
          </w:tcPr>
          <w:p w14:paraId="0EF6F7EE" w14:textId="77777777" w:rsidR="000B3C5C" w:rsidRDefault="00ED192D">
            <w:pPr>
              <w:spacing w:after="0" w:line="259" w:lineRule="auto"/>
              <w:ind w:left="0" w:firstLine="0"/>
            </w:pPr>
            <w:r>
              <w:t xml:space="preserve">Schedule of Activities </w:t>
            </w:r>
          </w:p>
        </w:tc>
      </w:tr>
      <w:tr w:rsidR="000B3C5C" w14:paraId="0BBE7B97" w14:textId="77777777">
        <w:trPr>
          <w:trHeight w:val="273"/>
        </w:trPr>
        <w:tc>
          <w:tcPr>
            <w:tcW w:w="1702" w:type="dxa"/>
            <w:tcBorders>
              <w:top w:val="nil"/>
              <w:left w:val="nil"/>
              <w:bottom w:val="nil"/>
              <w:right w:val="nil"/>
            </w:tcBorders>
          </w:tcPr>
          <w:p w14:paraId="09AAC025" w14:textId="77777777" w:rsidR="000B3C5C" w:rsidRDefault="00ED192D">
            <w:pPr>
              <w:spacing w:after="0" w:line="259" w:lineRule="auto"/>
              <w:ind w:left="0" w:firstLine="0"/>
            </w:pPr>
            <w:r>
              <w:t xml:space="preserve">SOC: </w:t>
            </w:r>
          </w:p>
        </w:tc>
        <w:tc>
          <w:tcPr>
            <w:tcW w:w="4532" w:type="dxa"/>
            <w:tcBorders>
              <w:top w:val="nil"/>
              <w:left w:val="nil"/>
              <w:bottom w:val="nil"/>
              <w:right w:val="nil"/>
            </w:tcBorders>
          </w:tcPr>
          <w:p w14:paraId="7699F7A5" w14:textId="77777777" w:rsidR="000B3C5C" w:rsidRDefault="00ED192D">
            <w:pPr>
              <w:spacing w:after="0" w:line="259" w:lineRule="auto"/>
              <w:ind w:left="0" w:firstLine="0"/>
            </w:pPr>
            <w:r>
              <w:t xml:space="preserve">system organ class </w:t>
            </w:r>
          </w:p>
        </w:tc>
      </w:tr>
      <w:tr w:rsidR="000B3C5C" w14:paraId="2FD2C8A7" w14:textId="77777777">
        <w:trPr>
          <w:trHeight w:val="282"/>
        </w:trPr>
        <w:tc>
          <w:tcPr>
            <w:tcW w:w="1702" w:type="dxa"/>
            <w:tcBorders>
              <w:top w:val="nil"/>
              <w:left w:val="nil"/>
              <w:bottom w:val="nil"/>
              <w:right w:val="nil"/>
            </w:tcBorders>
          </w:tcPr>
          <w:p w14:paraId="25981311" w14:textId="77777777" w:rsidR="000B3C5C" w:rsidRDefault="00ED192D">
            <w:pPr>
              <w:spacing w:after="0" w:line="259" w:lineRule="auto"/>
              <w:ind w:left="0" w:firstLine="0"/>
            </w:pPr>
            <w:r>
              <w:rPr>
                <w:rFonts w:ascii="Arial" w:eastAsia="Arial" w:hAnsi="Arial" w:cs="Arial"/>
              </w:rPr>
              <w:t>SOI</w:t>
            </w:r>
            <w:r>
              <w:t xml:space="preserve">: </w:t>
            </w:r>
          </w:p>
        </w:tc>
        <w:tc>
          <w:tcPr>
            <w:tcW w:w="4532" w:type="dxa"/>
            <w:tcBorders>
              <w:top w:val="nil"/>
              <w:left w:val="nil"/>
              <w:bottom w:val="nil"/>
              <w:right w:val="nil"/>
            </w:tcBorders>
          </w:tcPr>
          <w:p w14:paraId="56204A64" w14:textId="77777777" w:rsidR="000B3C5C" w:rsidRDefault="00ED192D">
            <w:pPr>
              <w:spacing w:after="0" w:line="259" w:lineRule="auto"/>
              <w:ind w:left="0" w:firstLine="0"/>
            </w:pPr>
            <w:r>
              <w:t xml:space="preserve">start of infusion </w:t>
            </w:r>
          </w:p>
        </w:tc>
      </w:tr>
      <w:tr w:rsidR="000B3C5C" w14:paraId="0A32590D" w14:textId="77777777">
        <w:trPr>
          <w:trHeight w:val="276"/>
        </w:trPr>
        <w:tc>
          <w:tcPr>
            <w:tcW w:w="1702" w:type="dxa"/>
            <w:tcBorders>
              <w:top w:val="nil"/>
              <w:left w:val="nil"/>
              <w:bottom w:val="nil"/>
              <w:right w:val="nil"/>
            </w:tcBorders>
          </w:tcPr>
          <w:p w14:paraId="44687ED7" w14:textId="77777777" w:rsidR="000B3C5C" w:rsidRDefault="00ED192D">
            <w:pPr>
              <w:spacing w:after="0" w:line="259" w:lineRule="auto"/>
              <w:ind w:left="0" w:firstLine="0"/>
            </w:pPr>
            <w:r>
              <w:t xml:space="preserve">TEAE: </w:t>
            </w:r>
          </w:p>
        </w:tc>
        <w:tc>
          <w:tcPr>
            <w:tcW w:w="4532" w:type="dxa"/>
            <w:tcBorders>
              <w:top w:val="nil"/>
              <w:left w:val="nil"/>
              <w:bottom w:val="nil"/>
              <w:right w:val="nil"/>
            </w:tcBorders>
          </w:tcPr>
          <w:p w14:paraId="77D6E594" w14:textId="77777777" w:rsidR="000B3C5C" w:rsidRDefault="00ED192D">
            <w:pPr>
              <w:spacing w:after="0" w:line="259" w:lineRule="auto"/>
              <w:ind w:left="0" w:firstLine="0"/>
            </w:pPr>
            <w:r>
              <w:t xml:space="preserve">treatment-emergent adverse event </w:t>
            </w:r>
          </w:p>
        </w:tc>
      </w:tr>
      <w:tr w:rsidR="000B3C5C" w14:paraId="4536166D" w14:textId="77777777">
        <w:trPr>
          <w:trHeight w:val="276"/>
        </w:trPr>
        <w:tc>
          <w:tcPr>
            <w:tcW w:w="1702" w:type="dxa"/>
            <w:tcBorders>
              <w:top w:val="nil"/>
              <w:left w:val="nil"/>
              <w:bottom w:val="nil"/>
              <w:right w:val="nil"/>
            </w:tcBorders>
          </w:tcPr>
          <w:p w14:paraId="488F0BFB" w14:textId="77777777" w:rsidR="000B3C5C" w:rsidRDefault="00ED192D">
            <w:pPr>
              <w:spacing w:after="0" w:line="259" w:lineRule="auto"/>
              <w:ind w:left="0" w:firstLine="0"/>
            </w:pPr>
            <w:r>
              <w:t xml:space="preserve">TEN: </w:t>
            </w:r>
          </w:p>
        </w:tc>
        <w:tc>
          <w:tcPr>
            <w:tcW w:w="4532" w:type="dxa"/>
            <w:tcBorders>
              <w:top w:val="nil"/>
              <w:left w:val="nil"/>
              <w:bottom w:val="nil"/>
              <w:right w:val="nil"/>
            </w:tcBorders>
          </w:tcPr>
          <w:p w14:paraId="32CB883B" w14:textId="77777777" w:rsidR="000B3C5C" w:rsidRDefault="00ED192D">
            <w:pPr>
              <w:spacing w:after="0" w:line="259" w:lineRule="auto"/>
              <w:ind w:left="0" w:firstLine="0"/>
            </w:pPr>
            <w:r>
              <w:t xml:space="preserve">Toxic Epidermal Necrolysis </w:t>
            </w:r>
          </w:p>
        </w:tc>
      </w:tr>
      <w:tr w:rsidR="000B3C5C" w14:paraId="13588244" w14:textId="77777777">
        <w:trPr>
          <w:trHeight w:val="276"/>
        </w:trPr>
        <w:tc>
          <w:tcPr>
            <w:tcW w:w="1702" w:type="dxa"/>
            <w:tcBorders>
              <w:top w:val="nil"/>
              <w:left w:val="nil"/>
              <w:bottom w:val="nil"/>
              <w:right w:val="nil"/>
            </w:tcBorders>
          </w:tcPr>
          <w:p w14:paraId="47072904" w14:textId="77777777" w:rsidR="000B3C5C" w:rsidRDefault="00ED192D">
            <w:pPr>
              <w:spacing w:after="0" w:line="259" w:lineRule="auto"/>
              <w:ind w:left="0" w:firstLine="0"/>
            </w:pPr>
            <w:r>
              <w:t xml:space="preserve">TTP: </w:t>
            </w:r>
          </w:p>
        </w:tc>
        <w:tc>
          <w:tcPr>
            <w:tcW w:w="4532" w:type="dxa"/>
            <w:tcBorders>
              <w:top w:val="nil"/>
              <w:left w:val="nil"/>
              <w:bottom w:val="nil"/>
              <w:right w:val="nil"/>
            </w:tcBorders>
          </w:tcPr>
          <w:p w14:paraId="78BD5AFD" w14:textId="77777777" w:rsidR="000B3C5C" w:rsidRDefault="00ED192D">
            <w:pPr>
              <w:spacing w:after="0" w:line="259" w:lineRule="auto"/>
              <w:ind w:left="0" w:firstLine="0"/>
            </w:pPr>
            <w:r>
              <w:t xml:space="preserve">Time to progression </w:t>
            </w:r>
          </w:p>
        </w:tc>
      </w:tr>
      <w:tr w:rsidR="000B3C5C" w14:paraId="06EDDA37" w14:textId="77777777">
        <w:trPr>
          <w:trHeight w:val="276"/>
        </w:trPr>
        <w:tc>
          <w:tcPr>
            <w:tcW w:w="1702" w:type="dxa"/>
            <w:tcBorders>
              <w:top w:val="nil"/>
              <w:left w:val="nil"/>
              <w:bottom w:val="nil"/>
              <w:right w:val="nil"/>
            </w:tcBorders>
          </w:tcPr>
          <w:p w14:paraId="458A22D3" w14:textId="77777777" w:rsidR="000B3C5C" w:rsidRDefault="00ED192D">
            <w:pPr>
              <w:spacing w:after="0" w:line="259" w:lineRule="auto"/>
              <w:ind w:left="0" w:firstLine="0"/>
            </w:pPr>
            <w:r>
              <w:t xml:space="preserve">TTR: </w:t>
            </w:r>
          </w:p>
        </w:tc>
        <w:tc>
          <w:tcPr>
            <w:tcW w:w="4532" w:type="dxa"/>
            <w:tcBorders>
              <w:top w:val="nil"/>
              <w:left w:val="nil"/>
              <w:bottom w:val="nil"/>
              <w:right w:val="nil"/>
            </w:tcBorders>
          </w:tcPr>
          <w:p w14:paraId="5F66D45D" w14:textId="77777777" w:rsidR="000B3C5C" w:rsidRDefault="00ED192D">
            <w:pPr>
              <w:spacing w:after="0" w:line="259" w:lineRule="auto"/>
              <w:ind w:left="0" w:firstLine="0"/>
            </w:pPr>
            <w:r>
              <w:t xml:space="preserve">Time to response </w:t>
            </w:r>
          </w:p>
        </w:tc>
      </w:tr>
      <w:tr w:rsidR="000B3C5C" w14:paraId="666BE1DD" w14:textId="77777777">
        <w:trPr>
          <w:trHeight w:val="276"/>
        </w:trPr>
        <w:tc>
          <w:tcPr>
            <w:tcW w:w="1702" w:type="dxa"/>
            <w:tcBorders>
              <w:top w:val="nil"/>
              <w:left w:val="nil"/>
              <w:bottom w:val="nil"/>
              <w:right w:val="nil"/>
            </w:tcBorders>
          </w:tcPr>
          <w:p w14:paraId="6DD92F11" w14:textId="77777777" w:rsidR="000B3C5C" w:rsidRDefault="00ED192D">
            <w:pPr>
              <w:spacing w:after="0" w:line="259" w:lineRule="auto"/>
              <w:ind w:left="0" w:firstLine="0"/>
            </w:pPr>
            <w:r>
              <w:t xml:space="preserve">UC: </w:t>
            </w:r>
          </w:p>
        </w:tc>
        <w:tc>
          <w:tcPr>
            <w:tcW w:w="4532" w:type="dxa"/>
            <w:tcBorders>
              <w:top w:val="nil"/>
              <w:left w:val="nil"/>
              <w:bottom w:val="nil"/>
              <w:right w:val="nil"/>
            </w:tcBorders>
          </w:tcPr>
          <w:p w14:paraId="3FEF9D21" w14:textId="77777777" w:rsidR="000B3C5C" w:rsidRDefault="00ED192D">
            <w:pPr>
              <w:spacing w:after="0" w:line="259" w:lineRule="auto"/>
              <w:ind w:left="0" w:firstLine="0"/>
            </w:pPr>
            <w:r>
              <w:t xml:space="preserve">urothelial carcinoma </w:t>
            </w:r>
          </w:p>
        </w:tc>
      </w:tr>
      <w:tr w:rsidR="000B3C5C" w14:paraId="2D288706" w14:textId="77777777">
        <w:trPr>
          <w:trHeight w:val="276"/>
        </w:trPr>
        <w:tc>
          <w:tcPr>
            <w:tcW w:w="1702" w:type="dxa"/>
            <w:tcBorders>
              <w:top w:val="nil"/>
              <w:left w:val="nil"/>
              <w:bottom w:val="nil"/>
              <w:right w:val="nil"/>
            </w:tcBorders>
          </w:tcPr>
          <w:p w14:paraId="53C4C42F" w14:textId="77777777" w:rsidR="000B3C5C" w:rsidRDefault="00ED192D">
            <w:pPr>
              <w:spacing w:after="0" w:line="259" w:lineRule="auto"/>
              <w:ind w:left="0" w:firstLine="0"/>
            </w:pPr>
            <w:r>
              <w:t xml:space="preserve">ULN: </w:t>
            </w:r>
          </w:p>
        </w:tc>
        <w:tc>
          <w:tcPr>
            <w:tcW w:w="4532" w:type="dxa"/>
            <w:tcBorders>
              <w:top w:val="nil"/>
              <w:left w:val="nil"/>
              <w:bottom w:val="nil"/>
              <w:right w:val="nil"/>
            </w:tcBorders>
          </w:tcPr>
          <w:p w14:paraId="3EA7244E" w14:textId="77777777" w:rsidR="000B3C5C" w:rsidRDefault="00ED192D">
            <w:pPr>
              <w:spacing w:after="0" w:line="259" w:lineRule="auto"/>
              <w:ind w:left="0" w:firstLine="0"/>
            </w:pPr>
            <w:r>
              <w:t xml:space="preserve">upper limit of the normal range </w:t>
            </w:r>
          </w:p>
        </w:tc>
      </w:tr>
      <w:tr w:rsidR="000B3C5C" w14:paraId="7385ABD2" w14:textId="77777777">
        <w:trPr>
          <w:trHeight w:val="276"/>
        </w:trPr>
        <w:tc>
          <w:tcPr>
            <w:tcW w:w="1702" w:type="dxa"/>
            <w:tcBorders>
              <w:top w:val="nil"/>
              <w:left w:val="nil"/>
              <w:bottom w:val="nil"/>
              <w:right w:val="nil"/>
            </w:tcBorders>
          </w:tcPr>
          <w:p w14:paraId="06D0BDFC" w14:textId="77777777" w:rsidR="000B3C5C" w:rsidRDefault="00ED192D">
            <w:pPr>
              <w:spacing w:after="0" w:line="259" w:lineRule="auto"/>
              <w:ind w:left="0" w:firstLine="0"/>
            </w:pPr>
            <w:r>
              <w:t xml:space="preserve">VEGF: </w:t>
            </w:r>
          </w:p>
        </w:tc>
        <w:tc>
          <w:tcPr>
            <w:tcW w:w="4532" w:type="dxa"/>
            <w:tcBorders>
              <w:top w:val="nil"/>
              <w:left w:val="nil"/>
              <w:bottom w:val="nil"/>
              <w:right w:val="nil"/>
            </w:tcBorders>
          </w:tcPr>
          <w:p w14:paraId="111526FE" w14:textId="77777777" w:rsidR="000B3C5C" w:rsidRDefault="00ED192D">
            <w:pPr>
              <w:spacing w:after="0" w:line="259" w:lineRule="auto"/>
              <w:ind w:left="0" w:firstLine="0"/>
            </w:pPr>
            <w:r>
              <w:t xml:space="preserve">vascular endothelial growth factor </w:t>
            </w:r>
          </w:p>
        </w:tc>
      </w:tr>
      <w:tr w:rsidR="000B3C5C" w14:paraId="0EA41AEB" w14:textId="77777777">
        <w:trPr>
          <w:trHeight w:val="247"/>
        </w:trPr>
        <w:tc>
          <w:tcPr>
            <w:tcW w:w="1702" w:type="dxa"/>
            <w:tcBorders>
              <w:top w:val="nil"/>
              <w:left w:val="nil"/>
              <w:bottom w:val="nil"/>
              <w:right w:val="nil"/>
            </w:tcBorders>
          </w:tcPr>
          <w:p w14:paraId="6A1D976A" w14:textId="77777777" w:rsidR="000B3C5C" w:rsidRDefault="00ED192D">
            <w:pPr>
              <w:spacing w:after="0" w:line="259" w:lineRule="auto"/>
              <w:ind w:left="0" w:firstLine="0"/>
            </w:pPr>
            <w:r>
              <w:t xml:space="preserve">WOCBP: </w:t>
            </w:r>
          </w:p>
        </w:tc>
        <w:tc>
          <w:tcPr>
            <w:tcW w:w="4532" w:type="dxa"/>
            <w:tcBorders>
              <w:top w:val="nil"/>
              <w:left w:val="nil"/>
              <w:bottom w:val="nil"/>
              <w:right w:val="nil"/>
            </w:tcBorders>
          </w:tcPr>
          <w:p w14:paraId="0C46AE94" w14:textId="77777777" w:rsidR="000B3C5C" w:rsidRDefault="00ED192D">
            <w:pPr>
              <w:spacing w:after="0" w:line="259" w:lineRule="auto"/>
              <w:ind w:left="0" w:firstLine="0"/>
            </w:pPr>
            <w:r>
              <w:t xml:space="preserve">woman of child-bearing potential </w:t>
            </w:r>
          </w:p>
        </w:tc>
      </w:tr>
    </w:tbl>
    <w:p w14:paraId="48A950DC" w14:textId="77777777" w:rsidR="000B3C5C" w:rsidRDefault="00ED192D">
      <w:pPr>
        <w:spacing w:after="79" w:line="259" w:lineRule="auto"/>
        <w:ind w:left="0" w:firstLine="0"/>
      </w:pPr>
      <w:r>
        <w:t xml:space="preserve"> </w:t>
      </w:r>
    </w:p>
    <w:p w14:paraId="228FD733" w14:textId="77777777" w:rsidR="000B3C5C" w:rsidRDefault="00ED192D">
      <w:pPr>
        <w:pStyle w:val="Heading3"/>
        <w:spacing w:after="184"/>
        <w:ind w:left="-5"/>
      </w:pPr>
      <w:r>
        <w:t xml:space="preserve">10.10 APPENDIX 10: PROTOCOL AMENDMENT HISTORY  </w:t>
      </w:r>
    </w:p>
    <w:p w14:paraId="033F79C0" w14:textId="77777777" w:rsidR="000B3C5C" w:rsidRDefault="00ED192D">
      <w:pPr>
        <w:ind w:left="-3" w:right="14"/>
      </w:pPr>
      <w:r>
        <w:t xml:space="preserve">The Protocol Amendment Summary of Changes Table for the current amendment is located directly before the Table of Contents (TOC). </w:t>
      </w:r>
    </w:p>
    <w:p w14:paraId="352E7366" w14:textId="77777777" w:rsidR="000B3C5C" w:rsidRDefault="00ED192D">
      <w:pPr>
        <w:pStyle w:val="Heading4"/>
        <w:tabs>
          <w:tab w:val="center" w:pos="3025"/>
        </w:tabs>
        <w:spacing w:after="191"/>
        <w:ind w:left="-15" w:firstLine="0"/>
      </w:pPr>
      <w:r>
        <w:t xml:space="preserve">10.10.1 </w:t>
      </w:r>
      <w:r>
        <w:tab/>
        <w:t xml:space="preserve">Amendment 01 (06-April-2018)  </w:t>
      </w:r>
    </w:p>
    <w:p w14:paraId="520DCFD2" w14:textId="77777777" w:rsidR="000B3C5C" w:rsidRDefault="00ED192D">
      <w:pPr>
        <w:spacing w:after="11"/>
        <w:ind w:left="-3" w:right="14"/>
      </w:pPr>
      <w:r>
        <w:t xml:space="preserve">This amendment is considered to be substantial based on the criteria set forth in Article 10(a) of </w:t>
      </w:r>
    </w:p>
    <w:p w14:paraId="76EA8BDE" w14:textId="77777777" w:rsidR="000B3C5C" w:rsidRDefault="00ED192D">
      <w:pPr>
        <w:ind w:left="-3" w:right="14"/>
      </w:pPr>
      <w:r>
        <w:t xml:space="preserve">Directive 2001/20/EC of the European Parliament and the Council of the European Union </w:t>
      </w:r>
    </w:p>
    <w:p w14:paraId="1F04C906" w14:textId="77777777" w:rsidR="000B3C5C" w:rsidRDefault="00ED192D">
      <w:pPr>
        <w:pStyle w:val="Heading1"/>
        <w:spacing w:after="107"/>
        <w:ind w:left="-3"/>
      </w:pPr>
      <w:r>
        <w:t xml:space="preserve">OVERALL RATIONALE FOR THE AMENDMENT </w:t>
      </w:r>
    </w:p>
    <w:p w14:paraId="15A0AAF2" w14:textId="77777777" w:rsidR="000B3C5C" w:rsidRDefault="00ED192D">
      <w:pPr>
        <w:spacing w:after="11"/>
        <w:ind w:left="-3" w:right="14"/>
      </w:pPr>
      <w:r>
        <w:t xml:space="preserve">Revised DLT definition and incorporated stopping rules into the protocol to mitigate patient risk for cytokine release syndrome and anaphylactic reactions.  In addition, possible cohorts F-H were removed and Q3W isatuximab regimen wil be studied in one separate cohort only. General provision of testing an isatuximab dose of 20 mg/kg in combination with atezolizumab was also </w:t>
      </w:r>
      <w:r>
        <w:rPr>
          <w:u w:val="single" w:color="000000"/>
        </w:rPr>
        <w:t>removed fro</w:t>
      </w:r>
      <w:r>
        <w:t xml:space="preserve">m the protocol.  </w:t>
      </w:r>
    </w:p>
    <w:tbl>
      <w:tblPr>
        <w:tblStyle w:val="TableGrid"/>
        <w:tblW w:w="9700" w:type="dxa"/>
        <w:tblInd w:w="-122" w:type="dxa"/>
        <w:tblCellMar>
          <w:top w:w="81" w:type="dxa"/>
          <w:left w:w="0" w:type="dxa"/>
          <w:bottom w:w="0" w:type="dxa"/>
          <w:right w:w="95" w:type="dxa"/>
        </w:tblCellMar>
        <w:tblLook w:val="04A0" w:firstRow="1" w:lastRow="0" w:firstColumn="1" w:lastColumn="0" w:noHBand="0" w:noVBand="1"/>
      </w:tblPr>
      <w:tblGrid>
        <w:gridCol w:w="1870"/>
        <w:gridCol w:w="3736"/>
        <w:gridCol w:w="4094"/>
      </w:tblGrid>
      <w:tr w:rsidR="000B3C5C" w14:paraId="1055665F" w14:textId="77777777">
        <w:trPr>
          <w:trHeight w:val="590"/>
        </w:trPr>
        <w:tc>
          <w:tcPr>
            <w:tcW w:w="1363" w:type="dxa"/>
            <w:tcBorders>
              <w:top w:val="nil"/>
              <w:left w:val="nil"/>
              <w:bottom w:val="single" w:sz="4" w:space="0" w:color="000000"/>
              <w:right w:val="nil"/>
            </w:tcBorders>
          </w:tcPr>
          <w:p w14:paraId="4FCACF7E" w14:textId="77777777" w:rsidR="000B3C5C" w:rsidRDefault="00ED192D">
            <w:pPr>
              <w:spacing w:after="0" w:line="259" w:lineRule="auto"/>
              <w:ind w:left="122" w:firstLine="0"/>
              <w:jc w:val="both"/>
            </w:pPr>
            <w:r>
              <w:rPr>
                <w:rFonts w:ascii="Arial" w:eastAsia="Arial" w:hAnsi="Arial" w:cs="Arial"/>
                <w:b/>
                <w:sz w:val="20"/>
              </w:rPr>
              <w:t xml:space="preserve">Section # and Name </w:t>
            </w:r>
          </w:p>
        </w:tc>
        <w:tc>
          <w:tcPr>
            <w:tcW w:w="3980" w:type="dxa"/>
            <w:tcBorders>
              <w:top w:val="single" w:sz="4" w:space="0" w:color="000000"/>
              <w:left w:val="nil"/>
              <w:bottom w:val="single" w:sz="4" w:space="0" w:color="000000"/>
              <w:right w:val="nil"/>
            </w:tcBorders>
          </w:tcPr>
          <w:p w14:paraId="3286FCDA" w14:textId="77777777" w:rsidR="000B3C5C" w:rsidRDefault="00ED192D">
            <w:pPr>
              <w:spacing w:after="0" w:line="259" w:lineRule="auto"/>
              <w:ind w:left="0" w:firstLine="0"/>
            </w:pPr>
            <w:r>
              <w:rPr>
                <w:rFonts w:ascii="Arial" w:eastAsia="Arial" w:hAnsi="Arial" w:cs="Arial"/>
                <w:b/>
                <w:sz w:val="20"/>
              </w:rPr>
              <w:t xml:space="preserve">Description of Change </w:t>
            </w:r>
          </w:p>
        </w:tc>
        <w:tc>
          <w:tcPr>
            <w:tcW w:w="4357" w:type="dxa"/>
            <w:tcBorders>
              <w:top w:val="single" w:sz="4" w:space="0" w:color="000000"/>
              <w:left w:val="nil"/>
              <w:bottom w:val="single" w:sz="4" w:space="0" w:color="000000"/>
              <w:right w:val="nil"/>
            </w:tcBorders>
          </w:tcPr>
          <w:p w14:paraId="7F9EF622" w14:textId="77777777" w:rsidR="000B3C5C" w:rsidRDefault="00ED192D">
            <w:pPr>
              <w:spacing w:after="0" w:line="259" w:lineRule="auto"/>
              <w:ind w:left="0" w:firstLine="0"/>
            </w:pPr>
            <w:r>
              <w:rPr>
                <w:rFonts w:ascii="Arial" w:eastAsia="Arial" w:hAnsi="Arial" w:cs="Arial"/>
                <w:b/>
                <w:sz w:val="20"/>
              </w:rPr>
              <w:t xml:space="preserve">Brief Rationale </w:t>
            </w:r>
          </w:p>
        </w:tc>
      </w:tr>
      <w:tr w:rsidR="000B3C5C" w14:paraId="526A41FD" w14:textId="77777777">
        <w:trPr>
          <w:trHeight w:val="2211"/>
        </w:trPr>
        <w:tc>
          <w:tcPr>
            <w:tcW w:w="1363" w:type="dxa"/>
            <w:tcBorders>
              <w:top w:val="single" w:sz="4" w:space="0" w:color="000000"/>
              <w:left w:val="nil"/>
              <w:bottom w:val="nil"/>
              <w:right w:val="nil"/>
            </w:tcBorders>
          </w:tcPr>
          <w:p w14:paraId="37451345" w14:textId="77777777" w:rsidR="000B3C5C" w:rsidRDefault="00ED192D">
            <w:pPr>
              <w:spacing w:after="0" w:line="259" w:lineRule="auto"/>
              <w:ind w:left="122" w:firstLine="0"/>
            </w:pPr>
            <w:r>
              <w:rPr>
                <w:rFonts w:ascii="Arial" w:eastAsia="Arial" w:hAnsi="Arial" w:cs="Arial"/>
                <w:sz w:val="20"/>
              </w:rPr>
              <w:t xml:space="preserve">1.1 Synopsis, </w:t>
            </w:r>
          </w:p>
          <w:p w14:paraId="7000FFDA" w14:textId="77777777" w:rsidR="000B3C5C" w:rsidRDefault="00ED192D">
            <w:pPr>
              <w:spacing w:after="0" w:line="259" w:lineRule="auto"/>
              <w:ind w:left="122" w:right="91" w:firstLine="0"/>
            </w:pPr>
            <w:r>
              <w:rPr>
                <w:rFonts w:ascii="Arial" w:eastAsia="Arial" w:hAnsi="Arial" w:cs="Arial"/>
                <w:sz w:val="20"/>
              </w:rPr>
              <w:t xml:space="preserve">4.1.2 Phase 2 (efficacy signal search with a 2-stage design in each cohort), 9.1 Statistical hypotheses </w:t>
            </w:r>
          </w:p>
        </w:tc>
        <w:tc>
          <w:tcPr>
            <w:tcW w:w="3980" w:type="dxa"/>
            <w:tcBorders>
              <w:top w:val="single" w:sz="4" w:space="0" w:color="000000"/>
              <w:left w:val="nil"/>
              <w:bottom w:val="nil"/>
              <w:right w:val="nil"/>
            </w:tcBorders>
          </w:tcPr>
          <w:p w14:paraId="71643A77" w14:textId="77777777" w:rsidR="000B3C5C" w:rsidRDefault="00ED192D">
            <w:pPr>
              <w:spacing w:after="0" w:line="259" w:lineRule="auto"/>
              <w:ind w:left="0" w:right="151" w:firstLine="0"/>
            </w:pPr>
            <w:r>
              <w:rPr>
                <w:rFonts w:ascii="Arial" w:eastAsia="Arial" w:hAnsi="Arial" w:cs="Arial"/>
                <w:sz w:val="20"/>
              </w:rPr>
              <w:t xml:space="preserve">Updating Phase 2 may include up to 6 cohorts, with cohort E remaining to evaluate Q3W isatuximab regimen (without initial weekly loading dose for 3 weeks) in one disease subgroup. Consequently, total number of participants for the study is now reduced to 350. </w:t>
            </w:r>
          </w:p>
        </w:tc>
        <w:tc>
          <w:tcPr>
            <w:tcW w:w="4357" w:type="dxa"/>
            <w:tcBorders>
              <w:top w:val="single" w:sz="4" w:space="0" w:color="000000"/>
              <w:left w:val="nil"/>
              <w:bottom w:val="nil"/>
              <w:right w:val="nil"/>
            </w:tcBorders>
          </w:tcPr>
          <w:p w14:paraId="2D23D334" w14:textId="77777777" w:rsidR="000B3C5C" w:rsidRDefault="00ED192D">
            <w:pPr>
              <w:spacing w:after="0" w:line="259" w:lineRule="auto"/>
              <w:ind w:left="0" w:firstLine="0"/>
            </w:pPr>
            <w:r>
              <w:rPr>
                <w:rFonts w:ascii="Arial" w:eastAsia="Arial" w:hAnsi="Arial" w:cs="Arial"/>
                <w:sz w:val="20"/>
              </w:rPr>
              <w:t xml:space="preserve">Q3W isatuximab regimen will be studied in one separate cohort only, if initiated.  </w:t>
            </w:r>
          </w:p>
        </w:tc>
      </w:tr>
      <w:tr w:rsidR="000B3C5C" w14:paraId="698D6B5C" w14:textId="77777777">
        <w:trPr>
          <w:trHeight w:val="1727"/>
        </w:trPr>
        <w:tc>
          <w:tcPr>
            <w:tcW w:w="1363" w:type="dxa"/>
            <w:tcBorders>
              <w:top w:val="nil"/>
              <w:left w:val="nil"/>
              <w:bottom w:val="nil"/>
              <w:right w:val="nil"/>
            </w:tcBorders>
          </w:tcPr>
          <w:p w14:paraId="5172676B" w14:textId="77777777" w:rsidR="000B3C5C" w:rsidRDefault="00ED192D">
            <w:pPr>
              <w:spacing w:after="0" w:line="259" w:lineRule="auto"/>
              <w:ind w:left="122" w:firstLine="0"/>
            </w:pPr>
            <w:r>
              <w:rPr>
                <w:rFonts w:ascii="Arial" w:eastAsia="Arial" w:hAnsi="Arial" w:cs="Arial"/>
                <w:sz w:val="20"/>
              </w:rPr>
              <w:t xml:space="preserve">4.1.1 Phase 1 </w:t>
            </w:r>
          </w:p>
          <w:p w14:paraId="2CF64BEA" w14:textId="77777777" w:rsidR="000B3C5C" w:rsidRDefault="00ED192D">
            <w:pPr>
              <w:spacing w:after="0" w:line="259" w:lineRule="auto"/>
              <w:ind w:left="122" w:firstLine="0"/>
            </w:pPr>
            <w:r>
              <w:rPr>
                <w:rFonts w:ascii="Arial" w:eastAsia="Arial" w:hAnsi="Arial" w:cs="Arial"/>
                <w:sz w:val="20"/>
              </w:rPr>
              <w:t xml:space="preserve">(safety run-in) </w:t>
            </w:r>
          </w:p>
        </w:tc>
        <w:tc>
          <w:tcPr>
            <w:tcW w:w="3980" w:type="dxa"/>
            <w:tcBorders>
              <w:top w:val="nil"/>
              <w:left w:val="nil"/>
              <w:bottom w:val="nil"/>
              <w:right w:val="nil"/>
            </w:tcBorders>
          </w:tcPr>
          <w:p w14:paraId="7FCB13E4" w14:textId="77777777" w:rsidR="000B3C5C" w:rsidRDefault="00ED192D">
            <w:pPr>
              <w:spacing w:after="0" w:line="259" w:lineRule="auto"/>
              <w:ind w:left="0" w:firstLine="0"/>
            </w:pPr>
            <w:r>
              <w:rPr>
                <w:rFonts w:ascii="Arial" w:eastAsia="Arial" w:hAnsi="Arial" w:cs="Arial"/>
                <w:sz w:val="20"/>
              </w:rPr>
              <w:t xml:space="preserve">DLT definition is revised. </w:t>
            </w:r>
          </w:p>
        </w:tc>
        <w:tc>
          <w:tcPr>
            <w:tcW w:w="4357" w:type="dxa"/>
            <w:tcBorders>
              <w:top w:val="nil"/>
              <w:left w:val="nil"/>
              <w:bottom w:val="nil"/>
              <w:right w:val="nil"/>
            </w:tcBorders>
          </w:tcPr>
          <w:p w14:paraId="2CC70166" w14:textId="77777777" w:rsidR="000B3C5C" w:rsidRDefault="00ED192D">
            <w:pPr>
              <w:spacing w:after="0" w:line="259" w:lineRule="auto"/>
              <w:ind w:left="0" w:firstLine="0"/>
            </w:pPr>
            <w:r>
              <w:rPr>
                <w:rFonts w:ascii="Arial" w:eastAsia="Arial" w:hAnsi="Arial" w:cs="Arial"/>
                <w:sz w:val="20"/>
              </w:rPr>
              <w:t xml:space="preserve">DLT definition is revised to address Grade 4 thrombocytopenia (regardless of evidence of bleeding) and Grade 3 cytokine release syndrome are to be considered as DLT, as well as clarify time to resolution to baseline for a Grade 4 AST, ALT or bilirubin elevation in patients with liver metastases or HCC to be excluded from DLT definition. </w:t>
            </w:r>
          </w:p>
        </w:tc>
      </w:tr>
      <w:tr w:rsidR="000B3C5C" w14:paraId="0A4B386D" w14:textId="77777777">
        <w:trPr>
          <w:trHeight w:val="1497"/>
        </w:trPr>
        <w:tc>
          <w:tcPr>
            <w:tcW w:w="1363" w:type="dxa"/>
            <w:tcBorders>
              <w:top w:val="nil"/>
              <w:left w:val="nil"/>
              <w:bottom w:val="nil"/>
              <w:right w:val="nil"/>
            </w:tcBorders>
          </w:tcPr>
          <w:p w14:paraId="715CA94C" w14:textId="77777777" w:rsidR="000B3C5C" w:rsidRDefault="00ED192D">
            <w:pPr>
              <w:spacing w:after="0" w:line="259" w:lineRule="auto"/>
              <w:ind w:left="122" w:right="91" w:firstLine="0"/>
            </w:pPr>
            <w:r>
              <w:rPr>
                <w:rFonts w:ascii="Arial" w:eastAsia="Arial" w:hAnsi="Arial" w:cs="Arial"/>
                <w:sz w:val="20"/>
              </w:rPr>
              <w:t xml:space="preserve">4.1.2 Phase 2 (efficacy signal search with a 2-stage design in each cohort) </w:t>
            </w:r>
          </w:p>
        </w:tc>
        <w:tc>
          <w:tcPr>
            <w:tcW w:w="3980" w:type="dxa"/>
            <w:tcBorders>
              <w:top w:val="nil"/>
              <w:left w:val="nil"/>
              <w:bottom w:val="nil"/>
              <w:right w:val="nil"/>
            </w:tcBorders>
          </w:tcPr>
          <w:p w14:paraId="0AD7B2A3" w14:textId="77777777" w:rsidR="000B3C5C" w:rsidRDefault="00ED192D">
            <w:pPr>
              <w:spacing w:after="0" w:line="259" w:lineRule="auto"/>
              <w:ind w:left="0" w:firstLine="0"/>
            </w:pPr>
            <w:r>
              <w:rPr>
                <w:rFonts w:ascii="Arial" w:eastAsia="Arial" w:hAnsi="Arial" w:cs="Arial"/>
                <w:sz w:val="20"/>
              </w:rPr>
              <w:t xml:space="preserve">Remove general provision of testing an isatuximab dose of 20 mg/kg in combination with atezolizumab. </w:t>
            </w:r>
          </w:p>
        </w:tc>
        <w:tc>
          <w:tcPr>
            <w:tcW w:w="4357" w:type="dxa"/>
            <w:tcBorders>
              <w:top w:val="nil"/>
              <w:left w:val="nil"/>
              <w:bottom w:val="nil"/>
              <w:right w:val="nil"/>
            </w:tcBorders>
          </w:tcPr>
          <w:p w14:paraId="0FECCB98" w14:textId="77777777" w:rsidR="000B3C5C" w:rsidRDefault="00ED192D">
            <w:pPr>
              <w:spacing w:after="0" w:line="259" w:lineRule="auto"/>
              <w:ind w:left="0" w:firstLine="0"/>
            </w:pPr>
            <w:r>
              <w:rPr>
                <w:rFonts w:ascii="Arial" w:eastAsia="Arial" w:hAnsi="Arial" w:cs="Arial"/>
                <w:sz w:val="20"/>
              </w:rPr>
              <w:t xml:space="preserve">A protocol amendment along with supporting rationale will be submitted if a 20 mg/kg dose is to be evaluated. </w:t>
            </w:r>
          </w:p>
        </w:tc>
      </w:tr>
      <w:tr w:rsidR="000B3C5C" w14:paraId="38EBB028" w14:textId="77777777">
        <w:trPr>
          <w:trHeight w:val="2076"/>
        </w:trPr>
        <w:tc>
          <w:tcPr>
            <w:tcW w:w="1363" w:type="dxa"/>
            <w:tcBorders>
              <w:top w:val="nil"/>
              <w:left w:val="nil"/>
              <w:bottom w:val="nil"/>
              <w:right w:val="nil"/>
            </w:tcBorders>
          </w:tcPr>
          <w:p w14:paraId="02C0558A" w14:textId="77777777" w:rsidR="000B3C5C" w:rsidRDefault="00ED192D">
            <w:pPr>
              <w:spacing w:after="1" w:line="241" w:lineRule="auto"/>
              <w:ind w:left="122" w:right="7" w:firstLine="0"/>
            </w:pPr>
            <w:r>
              <w:rPr>
                <w:rFonts w:ascii="Arial" w:eastAsia="Arial" w:hAnsi="Arial" w:cs="Arial"/>
                <w:sz w:val="20"/>
              </w:rPr>
              <w:t xml:space="preserve">6.6.4 General guidelines for management of infusionassociated reactions, 10.21 </w:t>
            </w:r>
          </w:p>
          <w:p w14:paraId="279E3B7E" w14:textId="77777777" w:rsidR="000B3C5C" w:rsidRDefault="00ED192D">
            <w:pPr>
              <w:spacing w:after="0" w:line="259" w:lineRule="auto"/>
              <w:ind w:left="122" w:firstLine="0"/>
            </w:pPr>
            <w:r>
              <w:rPr>
                <w:rFonts w:ascii="Arial" w:eastAsia="Arial" w:hAnsi="Arial" w:cs="Arial"/>
                <w:sz w:val="20"/>
              </w:rPr>
              <w:t xml:space="preserve">Appendix 21 </w:t>
            </w:r>
          </w:p>
        </w:tc>
        <w:tc>
          <w:tcPr>
            <w:tcW w:w="3980" w:type="dxa"/>
            <w:tcBorders>
              <w:top w:val="nil"/>
              <w:left w:val="nil"/>
              <w:bottom w:val="nil"/>
              <w:right w:val="nil"/>
            </w:tcBorders>
          </w:tcPr>
          <w:p w14:paraId="7C5D18A1" w14:textId="77777777" w:rsidR="000B3C5C" w:rsidRDefault="00ED192D">
            <w:pPr>
              <w:spacing w:after="60" w:line="241" w:lineRule="auto"/>
              <w:ind w:left="0" w:firstLine="0"/>
            </w:pPr>
            <w:r>
              <w:rPr>
                <w:rFonts w:ascii="Arial" w:eastAsia="Arial" w:hAnsi="Arial" w:cs="Arial"/>
                <w:sz w:val="20"/>
              </w:rPr>
              <w:t xml:space="preserve">Indicate using the same stopping rules for infusion associated reactions are applied also for cytokine release syndrome and for anaphylactic reactions. </w:t>
            </w:r>
          </w:p>
          <w:p w14:paraId="1A86D0C0" w14:textId="77777777" w:rsidR="000B3C5C" w:rsidRDefault="00ED192D">
            <w:pPr>
              <w:spacing w:after="41" w:line="259" w:lineRule="auto"/>
              <w:ind w:left="0" w:firstLine="0"/>
            </w:pPr>
            <w:r>
              <w:rPr>
                <w:rFonts w:ascii="Arial" w:eastAsia="Arial" w:hAnsi="Arial" w:cs="Arial"/>
                <w:sz w:val="20"/>
              </w:rPr>
              <w:t xml:space="preserve"> </w:t>
            </w:r>
          </w:p>
          <w:p w14:paraId="41031DC2" w14:textId="77777777" w:rsidR="000B3C5C" w:rsidRDefault="00ED192D">
            <w:pPr>
              <w:spacing w:after="0" w:line="259" w:lineRule="auto"/>
              <w:ind w:left="0" w:firstLine="0"/>
            </w:pPr>
            <w:r>
              <w:rPr>
                <w:rFonts w:ascii="Arial" w:eastAsia="Arial" w:hAnsi="Arial" w:cs="Arial"/>
                <w:sz w:val="20"/>
              </w:rPr>
              <w:t xml:space="preserve">Corrected inconsistencies between Table 5 and Table 25, as well as clarify that for G2 IAR, symptoms have to resolve to ≤G1 for isatuximab or baseline for atezolizumab before resuming infusion. </w:t>
            </w:r>
          </w:p>
        </w:tc>
        <w:tc>
          <w:tcPr>
            <w:tcW w:w="4357" w:type="dxa"/>
            <w:tcBorders>
              <w:top w:val="nil"/>
              <w:left w:val="nil"/>
              <w:bottom w:val="nil"/>
              <w:right w:val="nil"/>
            </w:tcBorders>
          </w:tcPr>
          <w:p w14:paraId="2F99644F" w14:textId="77777777" w:rsidR="000B3C5C" w:rsidRDefault="00ED192D">
            <w:pPr>
              <w:spacing w:after="60" w:line="241" w:lineRule="auto"/>
              <w:ind w:left="0" w:firstLine="0"/>
            </w:pPr>
            <w:r>
              <w:rPr>
                <w:rFonts w:ascii="Arial" w:eastAsia="Arial" w:hAnsi="Arial" w:cs="Arial"/>
                <w:sz w:val="20"/>
              </w:rPr>
              <w:t xml:space="preserve">Incorporate stopping rules to mitigate patient risk for cytokine release syndrome and anaphylaxis. </w:t>
            </w:r>
          </w:p>
          <w:p w14:paraId="2AA9F375" w14:textId="77777777" w:rsidR="000B3C5C" w:rsidRDefault="00ED192D">
            <w:pPr>
              <w:spacing w:after="41" w:line="259" w:lineRule="auto"/>
              <w:ind w:left="0" w:firstLine="0"/>
            </w:pPr>
            <w:r>
              <w:rPr>
                <w:rFonts w:ascii="Arial" w:eastAsia="Arial" w:hAnsi="Arial" w:cs="Arial"/>
                <w:sz w:val="20"/>
              </w:rPr>
              <w:t xml:space="preserve"> </w:t>
            </w:r>
          </w:p>
          <w:p w14:paraId="54ED914A" w14:textId="77777777" w:rsidR="000B3C5C" w:rsidRDefault="00ED192D">
            <w:pPr>
              <w:spacing w:after="0" w:line="259" w:lineRule="auto"/>
              <w:ind w:left="0" w:firstLine="0"/>
            </w:pPr>
            <w:r>
              <w:rPr>
                <w:rFonts w:ascii="Arial" w:eastAsia="Arial" w:hAnsi="Arial" w:cs="Arial"/>
                <w:sz w:val="20"/>
              </w:rPr>
              <w:t xml:space="preserve">Correction of inconsistencies among these tables and in accordance with IB. </w:t>
            </w:r>
          </w:p>
        </w:tc>
      </w:tr>
      <w:tr w:rsidR="000B3C5C" w14:paraId="2F547682" w14:textId="77777777">
        <w:trPr>
          <w:trHeight w:val="1269"/>
        </w:trPr>
        <w:tc>
          <w:tcPr>
            <w:tcW w:w="1363" w:type="dxa"/>
            <w:tcBorders>
              <w:top w:val="nil"/>
              <w:left w:val="nil"/>
              <w:bottom w:val="nil"/>
              <w:right w:val="nil"/>
            </w:tcBorders>
          </w:tcPr>
          <w:p w14:paraId="44D1B411" w14:textId="77777777" w:rsidR="000B3C5C" w:rsidRDefault="00ED192D">
            <w:pPr>
              <w:spacing w:after="0" w:line="259" w:lineRule="auto"/>
              <w:ind w:left="122" w:right="36" w:firstLine="0"/>
            </w:pPr>
            <w:r>
              <w:rPr>
                <w:rFonts w:ascii="Arial" w:eastAsia="Arial" w:hAnsi="Arial" w:cs="Arial"/>
                <w:sz w:val="20"/>
              </w:rPr>
              <w:t xml:space="preserve">8.3 Adverse events and serious adverse events </w:t>
            </w:r>
          </w:p>
        </w:tc>
        <w:tc>
          <w:tcPr>
            <w:tcW w:w="3980" w:type="dxa"/>
            <w:tcBorders>
              <w:top w:val="nil"/>
              <w:left w:val="nil"/>
              <w:bottom w:val="nil"/>
              <w:right w:val="nil"/>
            </w:tcBorders>
          </w:tcPr>
          <w:p w14:paraId="3BF5B93B" w14:textId="77777777" w:rsidR="000B3C5C" w:rsidRDefault="00ED192D">
            <w:pPr>
              <w:spacing w:after="0" w:line="259" w:lineRule="auto"/>
              <w:ind w:left="0" w:right="66" w:firstLine="0"/>
            </w:pPr>
            <w:r>
              <w:rPr>
                <w:rFonts w:ascii="Arial" w:eastAsia="Arial" w:hAnsi="Arial" w:cs="Arial"/>
                <w:sz w:val="20"/>
              </w:rPr>
              <w:t xml:space="preserve">Added trial stopping rule where enrollment will be halted for safety review after two patients with Grade ≥3 or one patient with Grade ≥4 cytokine release syndrome or anaphylaxis events, unless resulting from an obviously unrelated cause. </w:t>
            </w:r>
          </w:p>
        </w:tc>
        <w:tc>
          <w:tcPr>
            <w:tcW w:w="4357" w:type="dxa"/>
            <w:tcBorders>
              <w:top w:val="nil"/>
              <w:left w:val="nil"/>
              <w:bottom w:val="nil"/>
              <w:right w:val="nil"/>
            </w:tcBorders>
          </w:tcPr>
          <w:p w14:paraId="5CCFEA18" w14:textId="77777777" w:rsidR="000B3C5C" w:rsidRDefault="00ED192D">
            <w:pPr>
              <w:spacing w:after="0" w:line="259" w:lineRule="auto"/>
              <w:ind w:left="0" w:firstLine="0"/>
            </w:pPr>
            <w:r>
              <w:rPr>
                <w:rFonts w:ascii="Arial" w:eastAsia="Arial" w:hAnsi="Arial" w:cs="Arial"/>
                <w:sz w:val="20"/>
              </w:rPr>
              <w:t xml:space="preserve">Incorporate trial stopping rules for cytokine release syndrome and anaphylaxis. </w:t>
            </w:r>
          </w:p>
        </w:tc>
      </w:tr>
      <w:tr w:rsidR="000B3C5C" w14:paraId="2CE2E00A" w14:textId="77777777">
        <w:trPr>
          <w:trHeight w:val="349"/>
        </w:trPr>
        <w:tc>
          <w:tcPr>
            <w:tcW w:w="1363" w:type="dxa"/>
            <w:tcBorders>
              <w:top w:val="nil"/>
              <w:left w:val="nil"/>
              <w:bottom w:val="nil"/>
              <w:right w:val="nil"/>
            </w:tcBorders>
          </w:tcPr>
          <w:p w14:paraId="56532042" w14:textId="77777777" w:rsidR="000B3C5C" w:rsidRDefault="00ED192D">
            <w:pPr>
              <w:spacing w:after="0" w:line="259" w:lineRule="auto"/>
              <w:ind w:left="122" w:firstLine="0"/>
            </w:pPr>
            <w:r>
              <w:rPr>
                <w:rFonts w:ascii="Arial" w:eastAsia="Arial" w:hAnsi="Arial" w:cs="Arial"/>
                <w:sz w:val="20"/>
              </w:rPr>
              <w:t xml:space="preserve">Table 5 </w:t>
            </w:r>
          </w:p>
        </w:tc>
        <w:tc>
          <w:tcPr>
            <w:tcW w:w="3980" w:type="dxa"/>
            <w:tcBorders>
              <w:top w:val="nil"/>
              <w:left w:val="nil"/>
              <w:bottom w:val="nil"/>
              <w:right w:val="nil"/>
            </w:tcBorders>
          </w:tcPr>
          <w:p w14:paraId="4E09654F" w14:textId="77777777" w:rsidR="000B3C5C" w:rsidRDefault="00ED192D">
            <w:pPr>
              <w:spacing w:after="0" w:line="259" w:lineRule="auto"/>
              <w:ind w:left="0" w:firstLine="0"/>
            </w:pPr>
            <w:r>
              <w:rPr>
                <w:rFonts w:ascii="Arial" w:eastAsia="Arial" w:hAnsi="Arial" w:cs="Arial"/>
                <w:sz w:val="20"/>
              </w:rPr>
              <w:t xml:space="preserve">Correction of typographical error in title. </w:t>
            </w:r>
          </w:p>
        </w:tc>
        <w:tc>
          <w:tcPr>
            <w:tcW w:w="4357" w:type="dxa"/>
            <w:tcBorders>
              <w:top w:val="nil"/>
              <w:left w:val="nil"/>
              <w:bottom w:val="nil"/>
              <w:right w:val="nil"/>
            </w:tcBorders>
          </w:tcPr>
          <w:p w14:paraId="59805FAA" w14:textId="77777777" w:rsidR="000B3C5C" w:rsidRDefault="00ED192D">
            <w:pPr>
              <w:spacing w:after="0" w:line="259" w:lineRule="auto"/>
              <w:ind w:left="0" w:firstLine="0"/>
            </w:pPr>
            <w:r>
              <w:rPr>
                <w:rFonts w:ascii="Arial" w:eastAsia="Arial" w:hAnsi="Arial" w:cs="Arial"/>
                <w:sz w:val="20"/>
              </w:rPr>
              <w:t xml:space="preserve">Typographical error </w:t>
            </w:r>
          </w:p>
        </w:tc>
      </w:tr>
      <w:tr w:rsidR="000B3C5C" w14:paraId="5847EADC" w14:textId="77777777">
        <w:trPr>
          <w:trHeight w:val="792"/>
        </w:trPr>
        <w:tc>
          <w:tcPr>
            <w:tcW w:w="1363" w:type="dxa"/>
            <w:tcBorders>
              <w:top w:val="nil"/>
              <w:left w:val="nil"/>
              <w:bottom w:val="single" w:sz="4" w:space="0" w:color="000000"/>
              <w:right w:val="nil"/>
            </w:tcBorders>
          </w:tcPr>
          <w:p w14:paraId="16B9ACF6" w14:textId="77777777" w:rsidR="000B3C5C" w:rsidRDefault="00ED192D">
            <w:pPr>
              <w:spacing w:after="0" w:line="259" w:lineRule="auto"/>
              <w:ind w:left="122" w:firstLine="0"/>
            </w:pPr>
            <w:r>
              <w:rPr>
                <w:rFonts w:ascii="Arial" w:eastAsia="Arial" w:hAnsi="Arial" w:cs="Arial"/>
                <w:sz w:val="20"/>
              </w:rPr>
              <w:t xml:space="preserve">10.11 </w:t>
            </w:r>
          </w:p>
          <w:p w14:paraId="6C2D1E39" w14:textId="77777777" w:rsidR="000B3C5C" w:rsidRDefault="00ED192D">
            <w:pPr>
              <w:spacing w:after="0" w:line="259" w:lineRule="auto"/>
              <w:ind w:left="122" w:firstLine="0"/>
            </w:pPr>
            <w:r>
              <w:rPr>
                <w:rFonts w:ascii="Arial" w:eastAsia="Arial" w:hAnsi="Arial" w:cs="Arial"/>
                <w:sz w:val="20"/>
              </w:rPr>
              <w:t xml:space="preserve">Appendix 11 </w:t>
            </w:r>
          </w:p>
        </w:tc>
        <w:tc>
          <w:tcPr>
            <w:tcW w:w="3980" w:type="dxa"/>
            <w:tcBorders>
              <w:top w:val="nil"/>
              <w:left w:val="nil"/>
              <w:bottom w:val="single" w:sz="4" w:space="0" w:color="000000"/>
              <w:right w:val="nil"/>
            </w:tcBorders>
          </w:tcPr>
          <w:p w14:paraId="19ED6E24" w14:textId="77777777" w:rsidR="000B3C5C" w:rsidRDefault="00ED192D">
            <w:pPr>
              <w:spacing w:after="0" w:line="259" w:lineRule="auto"/>
              <w:ind w:left="0" w:right="4" w:firstLine="0"/>
            </w:pPr>
            <w:r>
              <w:rPr>
                <w:rFonts w:ascii="Arial" w:eastAsia="Arial" w:hAnsi="Arial" w:cs="Arial"/>
                <w:sz w:val="20"/>
              </w:rPr>
              <w:t xml:space="preserve">Correction of typographical error in description of non-target lesion consideration for pathological lymph nodes. </w:t>
            </w:r>
          </w:p>
        </w:tc>
        <w:tc>
          <w:tcPr>
            <w:tcW w:w="4357" w:type="dxa"/>
            <w:tcBorders>
              <w:top w:val="nil"/>
              <w:left w:val="nil"/>
              <w:bottom w:val="single" w:sz="4" w:space="0" w:color="000000"/>
              <w:right w:val="nil"/>
            </w:tcBorders>
          </w:tcPr>
          <w:p w14:paraId="44A7111A" w14:textId="77777777" w:rsidR="000B3C5C" w:rsidRDefault="00ED192D">
            <w:pPr>
              <w:spacing w:after="0" w:line="259" w:lineRule="auto"/>
              <w:ind w:left="0" w:firstLine="0"/>
            </w:pPr>
            <w:r>
              <w:rPr>
                <w:rFonts w:ascii="Arial" w:eastAsia="Arial" w:hAnsi="Arial" w:cs="Arial"/>
                <w:sz w:val="20"/>
              </w:rPr>
              <w:t xml:space="preserve">Typographical error </w:t>
            </w:r>
          </w:p>
        </w:tc>
      </w:tr>
    </w:tbl>
    <w:p w14:paraId="5A09E0A6" w14:textId="77777777" w:rsidR="000B3C5C" w:rsidRDefault="00ED192D">
      <w:pPr>
        <w:pStyle w:val="Heading2"/>
        <w:tabs>
          <w:tab w:val="center" w:pos="3154"/>
        </w:tabs>
        <w:spacing w:after="249"/>
        <w:ind w:left="-15" w:firstLine="0"/>
      </w:pPr>
      <w:r>
        <w:rPr>
          <w:rFonts w:ascii="Arial" w:eastAsia="Arial" w:hAnsi="Arial" w:cs="Arial"/>
          <w:sz w:val="22"/>
        </w:rPr>
        <w:t xml:space="preserve">10.10.2 </w:t>
      </w:r>
      <w:r>
        <w:rPr>
          <w:rFonts w:ascii="Arial" w:eastAsia="Arial" w:hAnsi="Arial" w:cs="Arial"/>
          <w:sz w:val="22"/>
        </w:rPr>
        <w:tab/>
        <w:t xml:space="preserve">Amendment 02 (09-August-2018)  </w:t>
      </w:r>
    </w:p>
    <w:p w14:paraId="47FC1B44" w14:textId="77777777" w:rsidR="000B3C5C" w:rsidRDefault="00ED192D">
      <w:pPr>
        <w:spacing w:after="268"/>
        <w:ind w:left="-3" w:right="14"/>
      </w:pPr>
      <w:r>
        <w:t xml:space="preserve">This amendment is considered to be substantial based on the criteria set forth in Article 10(a) of Directive 2001/20/EC of the European Parliament and the Council of the European Union. </w:t>
      </w:r>
    </w:p>
    <w:p w14:paraId="2DAEED2D" w14:textId="77777777" w:rsidR="000B3C5C" w:rsidRDefault="00ED192D">
      <w:pPr>
        <w:pStyle w:val="Heading1"/>
        <w:spacing w:after="110"/>
        <w:ind w:left="-3"/>
      </w:pPr>
      <w:r>
        <w:t xml:space="preserve">OVERALL RATIONALE FOR THE AMENDMENT </w:t>
      </w:r>
    </w:p>
    <w:p w14:paraId="2ACD9949" w14:textId="77777777" w:rsidR="000B3C5C" w:rsidRDefault="00ED192D">
      <w:pPr>
        <w:spacing w:after="95"/>
        <w:ind w:left="-3" w:right="14"/>
      </w:pPr>
      <w:r>
        <w:t xml:space="preserve">An independent Data Monitoring Committee (DMC) is implemented to review ongoing safety data.  Inclusion and exclusion criteria are updated to reflect mandatory tumor biopsy requirement and clarify exclusion of participants with active infections.  Other modifications or editorial changes were included to correct inconsistencies and improve operational feasibility.  </w:t>
      </w:r>
    </w:p>
    <w:p w14:paraId="2C7E595E" w14:textId="77777777" w:rsidR="000B3C5C" w:rsidRDefault="00ED192D">
      <w:pPr>
        <w:spacing w:after="4" w:line="250" w:lineRule="auto"/>
        <w:ind w:left="15" w:right="7"/>
        <w:jc w:val="center"/>
      </w:pPr>
      <w:r>
        <w:rPr>
          <w:rFonts w:ascii="Arial" w:eastAsia="Arial" w:hAnsi="Arial" w:cs="Arial"/>
          <w:b/>
          <w:sz w:val="20"/>
        </w:rPr>
        <w:t>Protocol amendment summary of changes table</w:t>
      </w:r>
      <w:r>
        <w:t xml:space="preserve"> </w:t>
      </w:r>
    </w:p>
    <w:tbl>
      <w:tblPr>
        <w:tblStyle w:val="TableGrid"/>
        <w:tblW w:w="9700" w:type="dxa"/>
        <w:tblInd w:w="-122" w:type="dxa"/>
        <w:tblCellMar>
          <w:top w:w="81" w:type="dxa"/>
          <w:left w:w="0" w:type="dxa"/>
          <w:bottom w:w="0" w:type="dxa"/>
          <w:right w:w="93" w:type="dxa"/>
        </w:tblCellMar>
        <w:tblLook w:val="04A0" w:firstRow="1" w:lastRow="0" w:firstColumn="1" w:lastColumn="0" w:noHBand="0" w:noVBand="1"/>
      </w:tblPr>
      <w:tblGrid>
        <w:gridCol w:w="1848"/>
        <w:gridCol w:w="93"/>
        <w:gridCol w:w="3566"/>
        <w:gridCol w:w="128"/>
        <w:gridCol w:w="3877"/>
        <w:gridCol w:w="188"/>
      </w:tblGrid>
      <w:tr w:rsidR="000B3C5C" w14:paraId="68F4E4A9" w14:textId="77777777">
        <w:trPr>
          <w:trHeight w:val="596"/>
        </w:trPr>
        <w:tc>
          <w:tcPr>
            <w:tcW w:w="1757" w:type="dxa"/>
            <w:gridSpan w:val="2"/>
            <w:tcBorders>
              <w:top w:val="single" w:sz="4" w:space="0" w:color="000000"/>
              <w:left w:val="nil"/>
              <w:bottom w:val="single" w:sz="8" w:space="0" w:color="000000"/>
              <w:right w:val="nil"/>
            </w:tcBorders>
          </w:tcPr>
          <w:p w14:paraId="06372872" w14:textId="77777777" w:rsidR="000B3C5C" w:rsidRDefault="00ED192D">
            <w:pPr>
              <w:spacing w:after="0" w:line="259" w:lineRule="auto"/>
              <w:ind w:left="122" w:firstLine="0"/>
            </w:pPr>
            <w:r>
              <w:rPr>
                <w:rFonts w:ascii="Arial" w:eastAsia="Arial" w:hAnsi="Arial" w:cs="Arial"/>
                <w:b/>
                <w:sz w:val="20"/>
              </w:rPr>
              <w:t xml:space="preserve">Section # and </w:t>
            </w:r>
          </w:p>
          <w:p w14:paraId="0D1740DC" w14:textId="77777777" w:rsidR="000B3C5C" w:rsidRDefault="00ED192D">
            <w:pPr>
              <w:spacing w:after="0" w:line="259" w:lineRule="auto"/>
              <w:ind w:left="122" w:firstLine="0"/>
            </w:pPr>
            <w:r>
              <w:rPr>
                <w:rFonts w:ascii="Arial" w:eastAsia="Arial" w:hAnsi="Arial" w:cs="Arial"/>
                <w:b/>
                <w:sz w:val="20"/>
              </w:rPr>
              <w:t xml:space="preserve">Name </w:t>
            </w:r>
          </w:p>
        </w:tc>
        <w:tc>
          <w:tcPr>
            <w:tcW w:w="3792" w:type="dxa"/>
            <w:gridSpan w:val="2"/>
            <w:tcBorders>
              <w:top w:val="single" w:sz="4" w:space="0" w:color="000000"/>
              <w:left w:val="nil"/>
              <w:bottom w:val="single" w:sz="8" w:space="0" w:color="000000"/>
              <w:right w:val="nil"/>
            </w:tcBorders>
          </w:tcPr>
          <w:p w14:paraId="501FE82D" w14:textId="77777777" w:rsidR="000B3C5C" w:rsidRDefault="00ED192D">
            <w:pPr>
              <w:spacing w:after="0" w:line="259" w:lineRule="auto"/>
              <w:ind w:left="0" w:firstLine="0"/>
            </w:pPr>
            <w:r>
              <w:rPr>
                <w:rFonts w:ascii="Arial" w:eastAsia="Arial" w:hAnsi="Arial" w:cs="Arial"/>
                <w:b/>
                <w:sz w:val="20"/>
              </w:rPr>
              <w:t xml:space="preserve">Description of Change </w:t>
            </w:r>
          </w:p>
        </w:tc>
        <w:tc>
          <w:tcPr>
            <w:tcW w:w="4151" w:type="dxa"/>
            <w:gridSpan w:val="2"/>
            <w:tcBorders>
              <w:top w:val="single" w:sz="4" w:space="0" w:color="000000"/>
              <w:left w:val="nil"/>
              <w:bottom w:val="single" w:sz="8" w:space="0" w:color="000000"/>
              <w:right w:val="nil"/>
            </w:tcBorders>
          </w:tcPr>
          <w:p w14:paraId="731ADF49" w14:textId="77777777" w:rsidR="000B3C5C" w:rsidRDefault="00ED192D">
            <w:pPr>
              <w:spacing w:after="0" w:line="259" w:lineRule="auto"/>
              <w:ind w:left="0" w:firstLine="0"/>
            </w:pPr>
            <w:r>
              <w:rPr>
                <w:rFonts w:ascii="Arial" w:eastAsia="Arial" w:hAnsi="Arial" w:cs="Arial"/>
                <w:b/>
                <w:sz w:val="20"/>
              </w:rPr>
              <w:t xml:space="preserve">Brief Rationale </w:t>
            </w:r>
          </w:p>
        </w:tc>
      </w:tr>
      <w:tr w:rsidR="000B3C5C" w14:paraId="47DDB028" w14:textId="77777777">
        <w:trPr>
          <w:trHeight w:val="1054"/>
        </w:trPr>
        <w:tc>
          <w:tcPr>
            <w:tcW w:w="1757" w:type="dxa"/>
            <w:gridSpan w:val="2"/>
            <w:tcBorders>
              <w:top w:val="single" w:sz="8" w:space="0" w:color="000000"/>
              <w:left w:val="nil"/>
              <w:bottom w:val="single" w:sz="4" w:space="0" w:color="000000"/>
              <w:right w:val="nil"/>
            </w:tcBorders>
          </w:tcPr>
          <w:p w14:paraId="15F50BE0" w14:textId="77777777" w:rsidR="000B3C5C" w:rsidRDefault="00ED192D">
            <w:pPr>
              <w:spacing w:after="0" w:line="259" w:lineRule="auto"/>
              <w:ind w:left="197" w:firstLine="0"/>
            </w:pPr>
            <w:r>
              <w:rPr>
                <w:rFonts w:ascii="Arial" w:eastAsia="Arial" w:hAnsi="Arial" w:cs="Arial"/>
                <w:sz w:val="20"/>
              </w:rPr>
              <w:t xml:space="preserve">1.1 Synopsis and </w:t>
            </w:r>
          </w:p>
          <w:p w14:paraId="74D55A1A" w14:textId="77777777" w:rsidR="000B3C5C" w:rsidRDefault="00ED192D">
            <w:pPr>
              <w:spacing w:after="0" w:line="259" w:lineRule="auto"/>
              <w:ind w:left="492" w:hanging="355"/>
            </w:pPr>
            <w:r>
              <w:rPr>
                <w:rFonts w:ascii="Arial" w:eastAsia="Arial" w:hAnsi="Arial" w:cs="Arial"/>
                <w:sz w:val="20"/>
              </w:rPr>
              <w:t xml:space="preserve">10.1.4 Committees Structure </w:t>
            </w:r>
          </w:p>
        </w:tc>
        <w:tc>
          <w:tcPr>
            <w:tcW w:w="3792" w:type="dxa"/>
            <w:gridSpan w:val="2"/>
            <w:tcBorders>
              <w:top w:val="single" w:sz="8" w:space="0" w:color="000000"/>
              <w:left w:val="nil"/>
              <w:bottom w:val="single" w:sz="4" w:space="0" w:color="000000"/>
              <w:right w:val="nil"/>
            </w:tcBorders>
          </w:tcPr>
          <w:p w14:paraId="37EE8D75" w14:textId="77777777" w:rsidR="000B3C5C" w:rsidRDefault="00ED192D">
            <w:pPr>
              <w:spacing w:after="0" w:line="259" w:lineRule="auto"/>
              <w:ind w:left="180" w:firstLine="0"/>
            </w:pPr>
            <w:r>
              <w:rPr>
                <w:rFonts w:ascii="Arial" w:eastAsia="Arial" w:hAnsi="Arial" w:cs="Arial"/>
                <w:sz w:val="20"/>
              </w:rPr>
              <w:t xml:space="preserve">An independent Data Monitoring Committee </w:t>
            </w:r>
          </w:p>
          <w:p w14:paraId="55B59EA4" w14:textId="77777777" w:rsidR="000B3C5C" w:rsidRDefault="00ED192D">
            <w:pPr>
              <w:spacing w:after="0" w:line="259" w:lineRule="auto"/>
              <w:ind w:left="0" w:firstLine="53"/>
            </w:pPr>
            <w:r>
              <w:rPr>
                <w:rFonts w:ascii="Arial" w:eastAsia="Arial" w:hAnsi="Arial" w:cs="Arial"/>
                <w:sz w:val="20"/>
              </w:rPr>
              <w:t xml:space="preserve">(DMC) is implemented to review ongoing safety data (starting from confirmation of recommended Phase 2 dose). </w:t>
            </w:r>
          </w:p>
        </w:tc>
        <w:tc>
          <w:tcPr>
            <w:tcW w:w="4151" w:type="dxa"/>
            <w:gridSpan w:val="2"/>
            <w:tcBorders>
              <w:top w:val="single" w:sz="8" w:space="0" w:color="000000"/>
              <w:left w:val="nil"/>
              <w:bottom w:val="single" w:sz="4" w:space="0" w:color="000000"/>
              <w:right w:val="nil"/>
            </w:tcBorders>
          </w:tcPr>
          <w:p w14:paraId="3393CAF4" w14:textId="77777777" w:rsidR="000B3C5C" w:rsidRDefault="00ED192D">
            <w:pPr>
              <w:spacing w:after="0" w:line="259" w:lineRule="auto"/>
              <w:ind w:left="50" w:firstLine="343"/>
            </w:pPr>
            <w:r>
              <w:rPr>
                <w:rFonts w:ascii="Arial" w:eastAsia="Arial" w:hAnsi="Arial" w:cs="Arial"/>
                <w:sz w:val="20"/>
              </w:rPr>
              <w:t xml:space="preserve">DMC is implemented to monitor safety of the isatuximab + atezolizumab combination for Phase 2 in addition to biweekly Study Committee which will monitor safety data of Phase 1. </w:t>
            </w:r>
          </w:p>
        </w:tc>
      </w:tr>
      <w:tr w:rsidR="000B3C5C" w14:paraId="4AF42667" w14:textId="77777777">
        <w:trPr>
          <w:trHeight w:val="1582"/>
        </w:trPr>
        <w:tc>
          <w:tcPr>
            <w:tcW w:w="1757" w:type="dxa"/>
            <w:gridSpan w:val="2"/>
            <w:tcBorders>
              <w:top w:val="single" w:sz="4" w:space="0" w:color="000000"/>
              <w:left w:val="nil"/>
              <w:bottom w:val="nil"/>
              <w:right w:val="nil"/>
            </w:tcBorders>
          </w:tcPr>
          <w:p w14:paraId="1EBBCD3E" w14:textId="77777777" w:rsidR="000B3C5C" w:rsidRDefault="00ED192D">
            <w:pPr>
              <w:spacing w:after="0" w:line="259" w:lineRule="auto"/>
              <w:ind w:left="0" w:right="19" w:firstLine="0"/>
              <w:jc w:val="center"/>
            </w:pPr>
            <w:r>
              <w:rPr>
                <w:rFonts w:ascii="Arial" w:eastAsia="Arial" w:hAnsi="Arial" w:cs="Arial"/>
                <w:sz w:val="20"/>
              </w:rPr>
              <w:t xml:space="preserve">1.3 Schedule of </w:t>
            </w:r>
          </w:p>
          <w:p w14:paraId="25BD8DC8" w14:textId="77777777" w:rsidR="000B3C5C" w:rsidRDefault="00ED192D">
            <w:pPr>
              <w:spacing w:after="0" w:line="259" w:lineRule="auto"/>
              <w:ind w:left="0" w:right="20" w:firstLine="0"/>
              <w:jc w:val="center"/>
            </w:pPr>
            <w:r>
              <w:rPr>
                <w:rFonts w:ascii="Arial" w:eastAsia="Arial" w:hAnsi="Arial" w:cs="Arial"/>
                <w:sz w:val="20"/>
              </w:rPr>
              <w:t xml:space="preserve">Activities (SOA) </w:t>
            </w:r>
          </w:p>
        </w:tc>
        <w:tc>
          <w:tcPr>
            <w:tcW w:w="3792" w:type="dxa"/>
            <w:gridSpan w:val="2"/>
            <w:tcBorders>
              <w:top w:val="single" w:sz="4" w:space="0" w:color="000000"/>
              <w:left w:val="nil"/>
              <w:bottom w:val="nil"/>
              <w:right w:val="nil"/>
            </w:tcBorders>
          </w:tcPr>
          <w:p w14:paraId="73F4E55B" w14:textId="77777777" w:rsidR="000B3C5C" w:rsidRDefault="00ED192D">
            <w:pPr>
              <w:spacing w:after="58" w:line="241" w:lineRule="auto"/>
              <w:ind w:left="1084" w:hanging="1070"/>
            </w:pPr>
            <w:r>
              <w:rPr>
                <w:rFonts w:ascii="Arial" w:eastAsia="Arial" w:hAnsi="Arial" w:cs="Arial"/>
                <w:sz w:val="20"/>
              </w:rPr>
              <w:t xml:space="preserve">Treatment time window of C1D1 is updated from ±2 days to ±1 day. </w:t>
            </w:r>
          </w:p>
          <w:p w14:paraId="150FBAA3" w14:textId="77777777" w:rsidR="000B3C5C" w:rsidRDefault="00ED192D">
            <w:pPr>
              <w:spacing w:after="0" w:line="259" w:lineRule="auto"/>
              <w:ind w:left="298" w:firstLine="0"/>
            </w:pPr>
            <w:r>
              <w:rPr>
                <w:rFonts w:ascii="Arial" w:eastAsia="Arial" w:hAnsi="Arial" w:cs="Arial"/>
                <w:sz w:val="20"/>
              </w:rPr>
              <w:t xml:space="preserve">Merged columns “Cycle 2-8”, “Cycle 9”, “ </w:t>
            </w:r>
          </w:p>
          <w:p w14:paraId="1777CC52" w14:textId="77777777" w:rsidR="000B3C5C" w:rsidRDefault="00ED192D">
            <w:pPr>
              <w:spacing w:after="0" w:line="259" w:lineRule="auto"/>
              <w:ind w:left="79" w:hanging="36"/>
            </w:pPr>
            <w:r>
              <w:rPr>
                <w:rFonts w:ascii="Arial" w:eastAsia="Arial" w:hAnsi="Arial" w:cs="Arial"/>
                <w:sz w:val="20"/>
              </w:rPr>
              <w:t xml:space="preserve">Cycle 10 and Beyond” into one column “Cycle 2 and Beyond” for clarify; study procedures have not been changed.  </w:t>
            </w:r>
          </w:p>
        </w:tc>
        <w:tc>
          <w:tcPr>
            <w:tcW w:w="4151" w:type="dxa"/>
            <w:gridSpan w:val="2"/>
            <w:tcBorders>
              <w:top w:val="single" w:sz="4" w:space="0" w:color="000000"/>
              <w:left w:val="nil"/>
              <w:bottom w:val="nil"/>
              <w:right w:val="nil"/>
            </w:tcBorders>
          </w:tcPr>
          <w:p w14:paraId="69E615BE" w14:textId="77777777" w:rsidR="000B3C5C" w:rsidRDefault="00ED192D">
            <w:pPr>
              <w:spacing w:after="58" w:line="241" w:lineRule="auto"/>
              <w:ind w:left="1510" w:hanging="1426"/>
            </w:pPr>
            <w:r>
              <w:rPr>
                <w:rFonts w:ascii="Arial" w:eastAsia="Arial" w:hAnsi="Arial" w:cs="Arial"/>
                <w:sz w:val="20"/>
              </w:rPr>
              <w:t xml:space="preserve">Corrected typographical error and in accordance with Section 6.6.2. </w:t>
            </w:r>
          </w:p>
          <w:p w14:paraId="3ADCFD74" w14:textId="77777777" w:rsidR="000B3C5C" w:rsidRDefault="00ED192D">
            <w:pPr>
              <w:spacing w:after="0" w:line="259" w:lineRule="auto"/>
              <w:ind w:left="19" w:hanging="12"/>
            </w:pPr>
            <w:r>
              <w:rPr>
                <w:rFonts w:ascii="Arial" w:eastAsia="Arial" w:hAnsi="Arial" w:cs="Arial"/>
                <w:sz w:val="20"/>
              </w:rPr>
              <w:t xml:space="preserve">Disease assessment schedule was ambiguous with the previous table format that it was unclear that frequency change should follow calendar days and not cycles. </w:t>
            </w:r>
          </w:p>
        </w:tc>
      </w:tr>
      <w:tr w:rsidR="000B3C5C" w14:paraId="027059E3" w14:textId="77777777">
        <w:trPr>
          <w:trHeight w:val="2187"/>
        </w:trPr>
        <w:tc>
          <w:tcPr>
            <w:tcW w:w="1757" w:type="dxa"/>
            <w:gridSpan w:val="2"/>
            <w:tcBorders>
              <w:top w:val="nil"/>
              <w:left w:val="nil"/>
              <w:bottom w:val="nil"/>
              <w:right w:val="nil"/>
            </w:tcBorders>
          </w:tcPr>
          <w:p w14:paraId="13722067" w14:textId="77777777" w:rsidR="000B3C5C" w:rsidRDefault="00ED192D">
            <w:pPr>
              <w:spacing w:after="0" w:line="259" w:lineRule="auto"/>
              <w:ind w:left="0" w:right="16" w:firstLine="0"/>
              <w:jc w:val="center"/>
            </w:pPr>
            <w:r>
              <w:rPr>
                <w:rFonts w:ascii="Arial" w:eastAsia="Arial" w:hAnsi="Arial" w:cs="Arial"/>
                <w:sz w:val="20"/>
              </w:rPr>
              <w:t xml:space="preserve">1.3 </w:t>
            </w:r>
          </w:p>
          <w:p w14:paraId="1C51C0E0" w14:textId="77777777" w:rsidR="000B3C5C" w:rsidRDefault="00ED192D">
            <w:pPr>
              <w:spacing w:after="0" w:line="241" w:lineRule="auto"/>
              <w:ind w:left="687" w:hanging="509"/>
            </w:pPr>
            <w:r>
              <w:rPr>
                <w:rFonts w:ascii="Arial" w:eastAsia="Arial" w:hAnsi="Arial" w:cs="Arial"/>
                <w:sz w:val="20"/>
              </w:rPr>
              <w:t xml:space="preserve">Pharmacokinetics and </w:t>
            </w:r>
          </w:p>
          <w:p w14:paraId="0761005C" w14:textId="77777777" w:rsidR="000B3C5C" w:rsidRDefault="00ED192D">
            <w:pPr>
              <w:spacing w:after="0" w:line="259" w:lineRule="auto"/>
              <w:ind w:left="0" w:right="18" w:firstLine="0"/>
              <w:jc w:val="center"/>
            </w:pPr>
            <w:r>
              <w:rPr>
                <w:rFonts w:ascii="Arial" w:eastAsia="Arial" w:hAnsi="Arial" w:cs="Arial"/>
                <w:sz w:val="20"/>
              </w:rPr>
              <w:t xml:space="preserve">Immunogenicity </w:t>
            </w:r>
          </w:p>
          <w:p w14:paraId="2F5778A1" w14:textId="77777777" w:rsidR="000B3C5C" w:rsidRDefault="00ED192D">
            <w:pPr>
              <w:spacing w:after="0" w:line="259" w:lineRule="auto"/>
              <w:ind w:left="199" w:firstLine="0"/>
            </w:pPr>
            <w:r>
              <w:rPr>
                <w:rFonts w:ascii="Arial" w:eastAsia="Arial" w:hAnsi="Arial" w:cs="Arial"/>
                <w:sz w:val="20"/>
              </w:rPr>
              <w:t xml:space="preserve">Flow Chart, 8.5.1 </w:t>
            </w:r>
          </w:p>
          <w:p w14:paraId="49BB7C99" w14:textId="77777777" w:rsidR="000B3C5C" w:rsidRDefault="00ED192D">
            <w:pPr>
              <w:spacing w:after="0" w:line="259" w:lineRule="auto"/>
              <w:ind w:left="0" w:right="19" w:firstLine="0"/>
              <w:jc w:val="center"/>
            </w:pPr>
            <w:r>
              <w:rPr>
                <w:rFonts w:ascii="Arial" w:eastAsia="Arial" w:hAnsi="Arial" w:cs="Arial"/>
                <w:sz w:val="20"/>
              </w:rPr>
              <w:t xml:space="preserve">Sampling Time, </w:t>
            </w:r>
          </w:p>
          <w:p w14:paraId="38A7D7B1" w14:textId="77777777" w:rsidR="000B3C5C" w:rsidRDefault="00ED192D">
            <w:pPr>
              <w:spacing w:after="0" w:line="259" w:lineRule="auto"/>
              <w:ind w:left="0" w:right="18" w:firstLine="0"/>
              <w:jc w:val="center"/>
            </w:pPr>
            <w:r>
              <w:rPr>
                <w:rFonts w:ascii="Arial" w:eastAsia="Arial" w:hAnsi="Arial" w:cs="Arial"/>
                <w:sz w:val="20"/>
              </w:rPr>
              <w:t xml:space="preserve">8.8.1 </w:t>
            </w:r>
          </w:p>
          <w:p w14:paraId="1A0A808A" w14:textId="77777777" w:rsidR="000B3C5C" w:rsidRDefault="00ED192D">
            <w:pPr>
              <w:spacing w:after="0" w:line="259" w:lineRule="auto"/>
              <w:ind w:left="346" w:hanging="96"/>
            </w:pPr>
            <w:r>
              <w:rPr>
                <w:rFonts w:ascii="Arial" w:eastAsia="Arial" w:hAnsi="Arial" w:cs="Arial"/>
                <w:sz w:val="20"/>
              </w:rPr>
              <w:t xml:space="preserve">Immunogenicity assessments </w:t>
            </w:r>
          </w:p>
        </w:tc>
        <w:tc>
          <w:tcPr>
            <w:tcW w:w="3792" w:type="dxa"/>
            <w:gridSpan w:val="2"/>
            <w:tcBorders>
              <w:top w:val="nil"/>
              <w:left w:val="nil"/>
              <w:bottom w:val="nil"/>
              <w:right w:val="nil"/>
            </w:tcBorders>
          </w:tcPr>
          <w:p w14:paraId="1FF1DC71" w14:textId="77777777" w:rsidR="000B3C5C" w:rsidRDefault="00ED192D">
            <w:pPr>
              <w:spacing w:after="0" w:line="242" w:lineRule="auto"/>
              <w:ind w:left="24" w:firstLine="60"/>
            </w:pPr>
            <w:r>
              <w:rPr>
                <w:rFonts w:ascii="Arial" w:eastAsia="Arial" w:hAnsi="Arial" w:cs="Arial"/>
                <w:sz w:val="20"/>
              </w:rPr>
              <w:t xml:space="preserve">Clarified sample collection details and updated sample collection time windows within flow chart to be consistent with footnote descriptions.  No </w:t>
            </w:r>
          </w:p>
          <w:p w14:paraId="1CA29845" w14:textId="77777777" w:rsidR="000B3C5C" w:rsidRDefault="00ED192D">
            <w:pPr>
              <w:spacing w:after="0" w:line="241" w:lineRule="auto"/>
              <w:ind w:left="439" w:hanging="391"/>
            </w:pPr>
            <w:r>
              <w:rPr>
                <w:rFonts w:ascii="Arial" w:eastAsia="Arial" w:hAnsi="Arial" w:cs="Arial"/>
                <w:sz w:val="20"/>
              </w:rPr>
              <w:t xml:space="preserve">further isatuximab ADA sample will be collected after FUP even if status is positive or </w:t>
            </w:r>
          </w:p>
          <w:p w14:paraId="24B851E8" w14:textId="77777777" w:rsidR="000B3C5C" w:rsidRDefault="00ED192D">
            <w:pPr>
              <w:spacing w:after="0" w:line="259" w:lineRule="auto"/>
              <w:ind w:left="576" w:hanging="547"/>
            </w:pPr>
            <w:r>
              <w:rPr>
                <w:rFonts w:ascii="Arial" w:eastAsia="Arial" w:hAnsi="Arial" w:cs="Arial"/>
                <w:sz w:val="20"/>
              </w:rPr>
              <w:t xml:space="preserve">inconclusive.  Defined abbreviation ID and ADA, removed AFP.  Updated Table 8. </w:t>
            </w:r>
          </w:p>
        </w:tc>
        <w:tc>
          <w:tcPr>
            <w:tcW w:w="4151" w:type="dxa"/>
            <w:gridSpan w:val="2"/>
            <w:tcBorders>
              <w:top w:val="nil"/>
              <w:left w:val="nil"/>
              <w:bottom w:val="nil"/>
              <w:right w:val="nil"/>
            </w:tcBorders>
          </w:tcPr>
          <w:p w14:paraId="4E2AE5A8" w14:textId="77777777" w:rsidR="000B3C5C" w:rsidRDefault="00ED192D">
            <w:pPr>
              <w:spacing w:after="0" w:line="242" w:lineRule="auto"/>
              <w:ind w:left="147" w:hanging="94"/>
            </w:pPr>
            <w:r>
              <w:rPr>
                <w:rFonts w:ascii="Arial" w:eastAsia="Arial" w:hAnsi="Arial" w:cs="Arial"/>
                <w:sz w:val="20"/>
              </w:rPr>
              <w:t xml:space="preserve">Clarification and minor corrections are implemented in PK/ADA flow chart to improve clarify and operation.  </w:t>
            </w:r>
          </w:p>
          <w:p w14:paraId="5EB93698" w14:textId="77777777" w:rsidR="000B3C5C" w:rsidRDefault="00ED192D">
            <w:pPr>
              <w:spacing w:after="0" w:line="259" w:lineRule="auto"/>
              <w:ind w:left="84" w:firstLine="199"/>
            </w:pPr>
            <w:r>
              <w:rPr>
                <w:rFonts w:ascii="Arial" w:eastAsia="Arial" w:hAnsi="Arial" w:cs="Arial"/>
                <w:sz w:val="20"/>
              </w:rPr>
              <w:t xml:space="preserve">Table 8 was updated to reflect details regarding bioanalytical methods for anti-atezolizumab antibody. </w:t>
            </w:r>
          </w:p>
        </w:tc>
      </w:tr>
      <w:tr w:rsidR="000B3C5C" w14:paraId="09E91365" w14:textId="77777777">
        <w:trPr>
          <w:trHeight w:val="1267"/>
        </w:trPr>
        <w:tc>
          <w:tcPr>
            <w:tcW w:w="1757" w:type="dxa"/>
            <w:gridSpan w:val="2"/>
            <w:tcBorders>
              <w:top w:val="nil"/>
              <w:left w:val="nil"/>
              <w:bottom w:val="nil"/>
              <w:right w:val="nil"/>
            </w:tcBorders>
          </w:tcPr>
          <w:p w14:paraId="2B3505D3" w14:textId="77777777" w:rsidR="000B3C5C" w:rsidRDefault="00ED192D">
            <w:pPr>
              <w:spacing w:after="0" w:line="259" w:lineRule="auto"/>
              <w:ind w:left="0" w:right="16" w:firstLine="0"/>
              <w:jc w:val="center"/>
            </w:pPr>
            <w:r>
              <w:rPr>
                <w:rFonts w:ascii="Arial" w:eastAsia="Arial" w:hAnsi="Arial" w:cs="Arial"/>
                <w:sz w:val="20"/>
              </w:rPr>
              <w:t xml:space="preserve">1.3 Exploratory </w:t>
            </w:r>
          </w:p>
          <w:p w14:paraId="2C2D3783" w14:textId="77777777" w:rsidR="000B3C5C" w:rsidRDefault="00ED192D">
            <w:pPr>
              <w:spacing w:after="0" w:line="259" w:lineRule="auto"/>
              <w:ind w:left="0" w:right="19" w:firstLine="0"/>
              <w:jc w:val="center"/>
            </w:pPr>
            <w:r>
              <w:rPr>
                <w:rFonts w:ascii="Arial" w:eastAsia="Arial" w:hAnsi="Arial" w:cs="Arial"/>
                <w:sz w:val="20"/>
              </w:rPr>
              <w:t xml:space="preserve">Biomarker Flow </w:t>
            </w:r>
          </w:p>
          <w:p w14:paraId="5DB76E7C" w14:textId="77777777" w:rsidR="000B3C5C" w:rsidRDefault="00ED192D">
            <w:pPr>
              <w:spacing w:after="0" w:line="259" w:lineRule="auto"/>
              <w:ind w:left="560" w:hanging="418"/>
            </w:pPr>
            <w:r>
              <w:rPr>
                <w:rFonts w:ascii="Arial" w:eastAsia="Arial" w:hAnsi="Arial" w:cs="Arial"/>
                <w:sz w:val="20"/>
              </w:rPr>
              <w:t xml:space="preserve">Chart 5.1 Inclusion Criteria </w:t>
            </w:r>
          </w:p>
        </w:tc>
        <w:tc>
          <w:tcPr>
            <w:tcW w:w="3792" w:type="dxa"/>
            <w:gridSpan w:val="2"/>
            <w:tcBorders>
              <w:top w:val="nil"/>
              <w:left w:val="nil"/>
              <w:bottom w:val="nil"/>
              <w:right w:val="nil"/>
            </w:tcBorders>
          </w:tcPr>
          <w:p w14:paraId="61167957" w14:textId="77777777" w:rsidR="000B3C5C" w:rsidRDefault="00ED192D">
            <w:pPr>
              <w:spacing w:after="0" w:line="241" w:lineRule="auto"/>
              <w:ind w:left="98" w:firstLine="163"/>
            </w:pPr>
            <w:r>
              <w:rPr>
                <w:rFonts w:ascii="Arial" w:eastAsia="Arial" w:hAnsi="Arial" w:cs="Arial"/>
                <w:sz w:val="20"/>
              </w:rPr>
              <w:t xml:space="preserve">Updated Biomarker Flow Chart and I02 to mandate tumor biopsy (for HCC, SCCHN, and </w:t>
            </w:r>
          </w:p>
          <w:p w14:paraId="3639E6D5" w14:textId="77777777" w:rsidR="000B3C5C" w:rsidRDefault="00ED192D">
            <w:pPr>
              <w:spacing w:after="0" w:line="259" w:lineRule="auto"/>
              <w:ind w:left="206" w:hanging="96"/>
            </w:pPr>
            <w:r>
              <w:rPr>
                <w:rFonts w:ascii="Arial" w:eastAsia="Arial" w:hAnsi="Arial" w:cs="Arial"/>
                <w:sz w:val="20"/>
              </w:rPr>
              <w:t xml:space="preserve">EOC) in Phase 1 and Phase 2 Stage 1 unless clinically unfeasible, or provision of archival tissue (for GBM). </w:t>
            </w:r>
          </w:p>
        </w:tc>
        <w:tc>
          <w:tcPr>
            <w:tcW w:w="4151" w:type="dxa"/>
            <w:gridSpan w:val="2"/>
            <w:tcBorders>
              <w:top w:val="nil"/>
              <w:left w:val="nil"/>
              <w:bottom w:val="nil"/>
              <w:right w:val="nil"/>
            </w:tcBorders>
          </w:tcPr>
          <w:p w14:paraId="66594641" w14:textId="77777777" w:rsidR="000B3C5C" w:rsidRDefault="00ED192D">
            <w:pPr>
              <w:spacing w:after="0" w:line="259" w:lineRule="auto"/>
              <w:ind w:left="218" w:hanging="144"/>
            </w:pPr>
            <w:r>
              <w:rPr>
                <w:rFonts w:ascii="Arial" w:eastAsia="Arial" w:hAnsi="Arial" w:cs="Arial"/>
                <w:sz w:val="20"/>
              </w:rPr>
              <w:t xml:space="preserve">To enable translational research in understanding the mechanism of isatuximab + atezolizumab in the 4 disease types, and identify potentially predictive biomarker. </w:t>
            </w:r>
          </w:p>
        </w:tc>
      </w:tr>
      <w:tr w:rsidR="000B3C5C" w14:paraId="121FE90A" w14:textId="77777777">
        <w:trPr>
          <w:trHeight w:val="579"/>
        </w:trPr>
        <w:tc>
          <w:tcPr>
            <w:tcW w:w="1757" w:type="dxa"/>
            <w:gridSpan w:val="2"/>
            <w:tcBorders>
              <w:top w:val="nil"/>
              <w:left w:val="nil"/>
              <w:bottom w:val="nil"/>
              <w:right w:val="nil"/>
            </w:tcBorders>
          </w:tcPr>
          <w:p w14:paraId="4D99ACC2" w14:textId="77777777" w:rsidR="000B3C5C" w:rsidRDefault="00ED192D">
            <w:pPr>
              <w:spacing w:after="0" w:line="259" w:lineRule="auto"/>
              <w:ind w:left="0" w:right="21" w:firstLine="0"/>
              <w:jc w:val="center"/>
            </w:pPr>
            <w:r>
              <w:rPr>
                <w:rFonts w:ascii="Arial" w:eastAsia="Arial" w:hAnsi="Arial" w:cs="Arial"/>
                <w:sz w:val="20"/>
              </w:rPr>
              <w:t xml:space="preserve">2.2.2 Isatuximab </w:t>
            </w:r>
          </w:p>
        </w:tc>
        <w:tc>
          <w:tcPr>
            <w:tcW w:w="3792" w:type="dxa"/>
            <w:gridSpan w:val="2"/>
            <w:tcBorders>
              <w:top w:val="nil"/>
              <w:left w:val="nil"/>
              <w:bottom w:val="nil"/>
              <w:right w:val="nil"/>
            </w:tcBorders>
          </w:tcPr>
          <w:p w14:paraId="1B85689E" w14:textId="77777777" w:rsidR="000B3C5C" w:rsidRDefault="00ED192D">
            <w:pPr>
              <w:spacing w:after="0" w:line="259" w:lineRule="auto"/>
              <w:ind w:left="211" w:firstLine="36"/>
            </w:pPr>
            <w:r>
              <w:rPr>
                <w:rFonts w:ascii="Arial" w:eastAsia="Arial" w:hAnsi="Arial" w:cs="Arial"/>
                <w:sz w:val="20"/>
              </w:rPr>
              <w:t xml:space="preserve">Under background of Isatuximab, updated number of patients treated with isatuximab. </w:t>
            </w:r>
          </w:p>
        </w:tc>
        <w:tc>
          <w:tcPr>
            <w:tcW w:w="4151" w:type="dxa"/>
            <w:gridSpan w:val="2"/>
            <w:tcBorders>
              <w:top w:val="nil"/>
              <w:left w:val="nil"/>
              <w:bottom w:val="nil"/>
              <w:right w:val="nil"/>
            </w:tcBorders>
          </w:tcPr>
          <w:p w14:paraId="680B3C94" w14:textId="77777777" w:rsidR="000B3C5C" w:rsidRDefault="00ED192D">
            <w:pPr>
              <w:spacing w:after="0" w:line="259" w:lineRule="auto"/>
              <w:ind w:left="0" w:right="38" w:firstLine="0"/>
              <w:jc w:val="center"/>
            </w:pPr>
            <w:r>
              <w:rPr>
                <w:rFonts w:ascii="Arial" w:eastAsia="Arial" w:hAnsi="Arial" w:cs="Arial"/>
                <w:sz w:val="20"/>
              </w:rPr>
              <w:t xml:space="preserve">Updated per IB Edition 9. </w:t>
            </w:r>
          </w:p>
        </w:tc>
      </w:tr>
      <w:tr w:rsidR="000B3C5C" w14:paraId="6B06E8A4" w14:textId="77777777">
        <w:trPr>
          <w:trHeight w:val="809"/>
        </w:trPr>
        <w:tc>
          <w:tcPr>
            <w:tcW w:w="1757" w:type="dxa"/>
            <w:gridSpan w:val="2"/>
            <w:tcBorders>
              <w:top w:val="nil"/>
              <w:left w:val="nil"/>
              <w:bottom w:val="nil"/>
              <w:right w:val="nil"/>
            </w:tcBorders>
          </w:tcPr>
          <w:p w14:paraId="6D3BCDFE" w14:textId="77777777" w:rsidR="000B3C5C" w:rsidRDefault="00ED192D">
            <w:pPr>
              <w:spacing w:after="0" w:line="259" w:lineRule="auto"/>
              <w:ind w:left="559" w:hanging="223"/>
            </w:pPr>
            <w:r>
              <w:rPr>
                <w:rFonts w:ascii="Arial" w:eastAsia="Arial" w:hAnsi="Arial" w:cs="Arial"/>
                <w:sz w:val="20"/>
              </w:rPr>
              <w:t xml:space="preserve">5.2 Exclusion Criteria </w:t>
            </w:r>
          </w:p>
        </w:tc>
        <w:tc>
          <w:tcPr>
            <w:tcW w:w="3792" w:type="dxa"/>
            <w:gridSpan w:val="2"/>
            <w:tcBorders>
              <w:top w:val="nil"/>
              <w:left w:val="nil"/>
              <w:bottom w:val="nil"/>
              <w:right w:val="nil"/>
            </w:tcBorders>
          </w:tcPr>
          <w:p w14:paraId="2A5A6D4E" w14:textId="77777777" w:rsidR="000B3C5C" w:rsidRDefault="00ED192D">
            <w:pPr>
              <w:spacing w:after="0" w:line="259" w:lineRule="auto"/>
              <w:ind w:left="279" w:hanging="226"/>
            </w:pPr>
            <w:r>
              <w:rPr>
                <w:rFonts w:ascii="Arial" w:eastAsia="Arial" w:hAnsi="Arial" w:cs="Arial"/>
                <w:sz w:val="20"/>
              </w:rPr>
              <w:t xml:space="preserve">Updated E34 to exclude participants with active tuberculosis, or severe infection requiring parenteral antibiotic treatment. </w:t>
            </w:r>
          </w:p>
        </w:tc>
        <w:tc>
          <w:tcPr>
            <w:tcW w:w="4151" w:type="dxa"/>
            <w:gridSpan w:val="2"/>
            <w:tcBorders>
              <w:top w:val="nil"/>
              <w:left w:val="nil"/>
              <w:bottom w:val="nil"/>
              <w:right w:val="nil"/>
            </w:tcBorders>
          </w:tcPr>
          <w:p w14:paraId="6A200FB1" w14:textId="77777777" w:rsidR="000B3C5C" w:rsidRDefault="00ED192D">
            <w:pPr>
              <w:spacing w:after="0" w:line="259" w:lineRule="auto"/>
              <w:ind w:left="252" w:hanging="204"/>
            </w:pPr>
            <w:r>
              <w:rPr>
                <w:rFonts w:ascii="Arial" w:eastAsia="Arial" w:hAnsi="Arial" w:cs="Arial"/>
                <w:sz w:val="20"/>
              </w:rPr>
              <w:t xml:space="preserve">This is added to avoid any potential complications that may be brought upon by the immune modulating activity of atezolizumab (anti-PD-L1). </w:t>
            </w:r>
          </w:p>
        </w:tc>
      </w:tr>
      <w:tr w:rsidR="000B3C5C" w14:paraId="4E1426F8" w14:textId="77777777">
        <w:trPr>
          <w:trHeight w:val="794"/>
        </w:trPr>
        <w:tc>
          <w:tcPr>
            <w:tcW w:w="1757" w:type="dxa"/>
            <w:gridSpan w:val="2"/>
            <w:tcBorders>
              <w:top w:val="nil"/>
              <w:left w:val="nil"/>
              <w:bottom w:val="single" w:sz="4" w:space="0" w:color="000000"/>
              <w:right w:val="nil"/>
            </w:tcBorders>
          </w:tcPr>
          <w:p w14:paraId="0317D8A3" w14:textId="77777777" w:rsidR="000B3C5C" w:rsidRDefault="00ED192D">
            <w:pPr>
              <w:spacing w:after="0" w:line="259" w:lineRule="auto"/>
              <w:ind w:left="0" w:right="18" w:firstLine="0"/>
              <w:jc w:val="center"/>
            </w:pPr>
            <w:r>
              <w:rPr>
                <w:rFonts w:ascii="Arial" w:eastAsia="Arial" w:hAnsi="Arial" w:cs="Arial"/>
                <w:sz w:val="20"/>
              </w:rPr>
              <w:t xml:space="preserve">6.1 Study </w:t>
            </w:r>
          </w:p>
          <w:p w14:paraId="44DE9ED6" w14:textId="77777777" w:rsidR="000B3C5C" w:rsidRDefault="00ED192D">
            <w:pPr>
              <w:spacing w:after="0" w:line="259" w:lineRule="auto"/>
              <w:ind w:left="0" w:right="18" w:firstLine="0"/>
              <w:jc w:val="center"/>
            </w:pPr>
            <w:r>
              <w:rPr>
                <w:rFonts w:ascii="Arial" w:eastAsia="Arial" w:hAnsi="Arial" w:cs="Arial"/>
                <w:sz w:val="20"/>
              </w:rPr>
              <w:t xml:space="preserve">Intervention(s) </w:t>
            </w:r>
          </w:p>
          <w:p w14:paraId="2B80455F" w14:textId="77777777" w:rsidR="000B3C5C" w:rsidRDefault="00ED192D">
            <w:pPr>
              <w:spacing w:after="0" w:line="259" w:lineRule="auto"/>
              <w:ind w:left="0" w:right="19" w:firstLine="0"/>
              <w:jc w:val="center"/>
            </w:pPr>
            <w:r>
              <w:rPr>
                <w:rFonts w:ascii="Arial" w:eastAsia="Arial" w:hAnsi="Arial" w:cs="Arial"/>
                <w:sz w:val="20"/>
              </w:rPr>
              <w:t xml:space="preserve">Administered </w:t>
            </w:r>
          </w:p>
        </w:tc>
        <w:tc>
          <w:tcPr>
            <w:tcW w:w="3792" w:type="dxa"/>
            <w:gridSpan w:val="2"/>
            <w:tcBorders>
              <w:top w:val="nil"/>
              <w:left w:val="nil"/>
              <w:bottom w:val="single" w:sz="4" w:space="0" w:color="000000"/>
              <w:right w:val="nil"/>
            </w:tcBorders>
          </w:tcPr>
          <w:p w14:paraId="72F21EE2" w14:textId="77777777" w:rsidR="000B3C5C" w:rsidRDefault="00ED192D">
            <w:pPr>
              <w:spacing w:after="0" w:line="259" w:lineRule="auto"/>
              <w:ind w:left="243" w:right="169" w:hanging="149"/>
            </w:pPr>
            <w:r>
              <w:rPr>
                <w:rFonts w:ascii="Arial" w:eastAsia="Arial" w:hAnsi="Arial" w:cs="Arial"/>
                <w:sz w:val="20"/>
              </w:rPr>
              <w:t xml:space="preserve">Added time windows for atezolizumab infusion as over 60 ± 15 mins for first infusion, and 30 ± 10 mins for subsequent infusions. </w:t>
            </w:r>
          </w:p>
        </w:tc>
        <w:tc>
          <w:tcPr>
            <w:tcW w:w="4151" w:type="dxa"/>
            <w:gridSpan w:val="2"/>
            <w:tcBorders>
              <w:top w:val="nil"/>
              <w:left w:val="nil"/>
              <w:bottom w:val="single" w:sz="4" w:space="0" w:color="000000"/>
              <w:right w:val="nil"/>
            </w:tcBorders>
          </w:tcPr>
          <w:p w14:paraId="4D97A7FB" w14:textId="77777777" w:rsidR="000B3C5C" w:rsidRDefault="00ED192D">
            <w:pPr>
              <w:spacing w:after="0" w:line="259" w:lineRule="auto"/>
              <w:ind w:left="1698" w:hanging="1621"/>
            </w:pPr>
            <w:r>
              <w:rPr>
                <w:rFonts w:ascii="Arial" w:eastAsia="Arial" w:hAnsi="Arial" w:cs="Arial"/>
                <w:sz w:val="20"/>
              </w:rPr>
              <w:t xml:space="preserve">Time windows were omitted by mistake in the original protocol. </w:t>
            </w:r>
          </w:p>
        </w:tc>
      </w:tr>
      <w:tr w:rsidR="000B3C5C" w14:paraId="550EA566" w14:textId="77777777">
        <w:tblPrEx>
          <w:tblCellMar>
            <w:top w:w="0" w:type="dxa"/>
            <w:right w:w="0" w:type="dxa"/>
          </w:tblCellMar>
        </w:tblPrEx>
        <w:trPr>
          <w:gridAfter w:val="1"/>
          <w:wAfter w:w="196" w:type="dxa"/>
          <w:trHeight w:val="1415"/>
        </w:trPr>
        <w:tc>
          <w:tcPr>
            <w:tcW w:w="1659" w:type="dxa"/>
            <w:tcBorders>
              <w:top w:val="nil"/>
              <w:left w:val="nil"/>
              <w:bottom w:val="nil"/>
              <w:right w:val="nil"/>
            </w:tcBorders>
          </w:tcPr>
          <w:p w14:paraId="7627C950" w14:textId="77777777" w:rsidR="000B3C5C" w:rsidRDefault="00ED192D">
            <w:pPr>
              <w:spacing w:after="1" w:line="240" w:lineRule="auto"/>
              <w:ind w:left="77" w:firstLine="127"/>
            </w:pPr>
            <w:r>
              <w:rPr>
                <w:rFonts w:ascii="Arial" w:eastAsia="Arial" w:hAnsi="Arial" w:cs="Arial"/>
                <w:sz w:val="20"/>
              </w:rPr>
              <w:t xml:space="preserve">6.6.4 General guidelines for the management of </w:t>
            </w:r>
          </w:p>
          <w:p w14:paraId="6F62FE5E" w14:textId="77777777" w:rsidR="000B3C5C" w:rsidRDefault="00ED192D">
            <w:pPr>
              <w:spacing w:after="2" w:line="239" w:lineRule="auto"/>
              <w:ind w:left="209" w:hanging="209"/>
            </w:pPr>
            <w:r>
              <w:rPr>
                <w:rFonts w:ascii="Arial" w:eastAsia="Arial" w:hAnsi="Arial" w:cs="Arial"/>
                <w:sz w:val="20"/>
              </w:rPr>
              <w:t xml:space="preserve">infusion-associated reactions and </w:t>
            </w:r>
          </w:p>
          <w:p w14:paraId="43C5432D" w14:textId="77777777" w:rsidR="000B3C5C" w:rsidRDefault="00ED192D">
            <w:pPr>
              <w:spacing w:after="0" w:line="259" w:lineRule="auto"/>
              <w:ind w:left="17" w:firstLine="0"/>
            </w:pPr>
            <w:r>
              <w:rPr>
                <w:rFonts w:ascii="Arial" w:eastAsia="Arial" w:hAnsi="Arial" w:cs="Arial"/>
                <w:sz w:val="20"/>
              </w:rPr>
              <w:t xml:space="preserve">10.21 Appendix 21 </w:t>
            </w:r>
          </w:p>
        </w:tc>
        <w:tc>
          <w:tcPr>
            <w:tcW w:w="3756" w:type="dxa"/>
            <w:gridSpan w:val="2"/>
            <w:tcBorders>
              <w:top w:val="nil"/>
              <w:left w:val="nil"/>
              <w:bottom w:val="nil"/>
              <w:right w:val="nil"/>
            </w:tcBorders>
          </w:tcPr>
          <w:p w14:paraId="01AEE5E6" w14:textId="77777777" w:rsidR="000B3C5C" w:rsidRDefault="00ED192D">
            <w:pPr>
              <w:spacing w:after="1" w:line="240" w:lineRule="auto"/>
              <w:ind w:left="0" w:right="28" w:firstLine="125"/>
            </w:pPr>
            <w:r>
              <w:rPr>
                <w:rFonts w:ascii="Arial" w:eastAsia="Arial" w:hAnsi="Arial" w:cs="Arial"/>
                <w:sz w:val="20"/>
              </w:rPr>
              <w:t xml:space="preserve">In Table 5 and Table 25, for G2 IAR, infusion may be resumed at half the original infusion rate for isatuximab and at half the rate at time of </w:t>
            </w:r>
          </w:p>
          <w:p w14:paraId="2DB66626" w14:textId="77777777" w:rsidR="000B3C5C" w:rsidRDefault="00ED192D">
            <w:pPr>
              <w:spacing w:after="0" w:line="259" w:lineRule="auto"/>
              <w:ind w:left="497" w:hanging="430"/>
            </w:pPr>
            <w:r>
              <w:rPr>
                <w:rFonts w:ascii="Arial" w:eastAsia="Arial" w:hAnsi="Arial" w:cs="Arial"/>
                <w:sz w:val="20"/>
              </w:rPr>
              <w:t xml:space="preserve">event onset for atezolizumab (instead of at the time of event onset for both IMPs). </w:t>
            </w:r>
          </w:p>
        </w:tc>
        <w:tc>
          <w:tcPr>
            <w:tcW w:w="4089" w:type="dxa"/>
            <w:gridSpan w:val="2"/>
            <w:tcBorders>
              <w:top w:val="nil"/>
              <w:left w:val="nil"/>
              <w:bottom w:val="nil"/>
              <w:right w:val="nil"/>
            </w:tcBorders>
          </w:tcPr>
          <w:p w14:paraId="49797F1F" w14:textId="77777777" w:rsidR="000B3C5C" w:rsidRDefault="00ED192D">
            <w:pPr>
              <w:spacing w:after="0" w:line="259" w:lineRule="auto"/>
              <w:ind w:left="0" w:right="47" w:firstLine="0"/>
              <w:jc w:val="center"/>
            </w:pPr>
            <w:r>
              <w:rPr>
                <w:rFonts w:ascii="Arial" w:eastAsia="Arial" w:hAnsi="Arial" w:cs="Arial"/>
                <w:sz w:val="20"/>
              </w:rPr>
              <w:t xml:space="preserve">This is corrected to be in accordance with IBs. </w:t>
            </w:r>
          </w:p>
        </w:tc>
      </w:tr>
      <w:tr w:rsidR="000B3C5C" w14:paraId="14329EF6" w14:textId="77777777">
        <w:tblPrEx>
          <w:tblCellMar>
            <w:top w:w="0" w:type="dxa"/>
            <w:right w:w="0" w:type="dxa"/>
          </w:tblCellMar>
        </w:tblPrEx>
        <w:trPr>
          <w:gridAfter w:val="1"/>
          <w:wAfter w:w="196" w:type="dxa"/>
          <w:trHeight w:val="1039"/>
        </w:trPr>
        <w:tc>
          <w:tcPr>
            <w:tcW w:w="1659" w:type="dxa"/>
            <w:tcBorders>
              <w:top w:val="nil"/>
              <w:left w:val="nil"/>
              <w:bottom w:val="nil"/>
              <w:right w:val="nil"/>
            </w:tcBorders>
          </w:tcPr>
          <w:p w14:paraId="2DEC0B6E" w14:textId="77777777" w:rsidR="000B3C5C" w:rsidRDefault="00ED192D">
            <w:pPr>
              <w:spacing w:after="0" w:line="241" w:lineRule="auto"/>
              <w:ind w:left="293" w:hanging="29"/>
            </w:pPr>
            <w:r>
              <w:rPr>
                <w:rFonts w:ascii="Arial" w:eastAsia="Arial" w:hAnsi="Arial" w:cs="Arial"/>
                <w:sz w:val="20"/>
              </w:rPr>
              <w:t xml:space="preserve">8.3 Adverse Events and </w:t>
            </w:r>
          </w:p>
          <w:p w14:paraId="537F387A" w14:textId="77777777" w:rsidR="000B3C5C" w:rsidRDefault="00ED192D">
            <w:pPr>
              <w:spacing w:after="0" w:line="259" w:lineRule="auto"/>
              <w:ind w:left="451" w:hanging="350"/>
            </w:pPr>
            <w:r>
              <w:rPr>
                <w:rFonts w:ascii="Arial" w:eastAsia="Arial" w:hAnsi="Arial" w:cs="Arial"/>
                <w:sz w:val="20"/>
              </w:rPr>
              <w:t xml:space="preserve">Serious Adverse Events </w:t>
            </w:r>
          </w:p>
        </w:tc>
        <w:tc>
          <w:tcPr>
            <w:tcW w:w="3756" w:type="dxa"/>
            <w:gridSpan w:val="2"/>
            <w:tcBorders>
              <w:top w:val="nil"/>
              <w:left w:val="nil"/>
              <w:bottom w:val="nil"/>
              <w:right w:val="nil"/>
            </w:tcBorders>
          </w:tcPr>
          <w:p w14:paraId="52A67F07" w14:textId="77777777" w:rsidR="000B3C5C" w:rsidRDefault="00ED192D">
            <w:pPr>
              <w:spacing w:after="0" w:line="259" w:lineRule="auto"/>
              <w:ind w:left="1039" w:hanging="770"/>
            </w:pPr>
            <w:r>
              <w:rPr>
                <w:rFonts w:ascii="Arial" w:eastAsia="Arial" w:hAnsi="Arial" w:cs="Arial"/>
                <w:sz w:val="20"/>
              </w:rPr>
              <w:t xml:space="preserve">Remove atezolizumab from symptomatic overdose definition. </w:t>
            </w:r>
          </w:p>
        </w:tc>
        <w:tc>
          <w:tcPr>
            <w:tcW w:w="4089" w:type="dxa"/>
            <w:gridSpan w:val="2"/>
            <w:tcBorders>
              <w:top w:val="nil"/>
              <w:left w:val="nil"/>
              <w:bottom w:val="nil"/>
              <w:right w:val="nil"/>
            </w:tcBorders>
          </w:tcPr>
          <w:p w14:paraId="58642029" w14:textId="77777777" w:rsidR="000B3C5C" w:rsidRDefault="00ED192D">
            <w:pPr>
              <w:spacing w:after="0" w:line="259" w:lineRule="auto"/>
              <w:ind w:left="188" w:hanging="178"/>
            </w:pPr>
            <w:r>
              <w:rPr>
                <w:rFonts w:ascii="Arial" w:eastAsia="Arial" w:hAnsi="Arial" w:cs="Arial"/>
                <w:sz w:val="20"/>
              </w:rPr>
              <w:t xml:space="preserve">Current definition of symptomatic overdose only applies to isatuximab and not atezolizumab; overdose with atezolizumab is also not an AESI per IB. </w:t>
            </w:r>
          </w:p>
        </w:tc>
      </w:tr>
      <w:tr w:rsidR="000B3C5C" w14:paraId="35C8A1B8" w14:textId="77777777">
        <w:tblPrEx>
          <w:tblCellMar>
            <w:top w:w="0" w:type="dxa"/>
            <w:right w:w="0" w:type="dxa"/>
          </w:tblCellMar>
        </w:tblPrEx>
        <w:trPr>
          <w:gridAfter w:val="1"/>
          <w:wAfter w:w="196" w:type="dxa"/>
          <w:trHeight w:val="1268"/>
        </w:trPr>
        <w:tc>
          <w:tcPr>
            <w:tcW w:w="1659" w:type="dxa"/>
            <w:tcBorders>
              <w:top w:val="nil"/>
              <w:left w:val="nil"/>
              <w:bottom w:val="nil"/>
              <w:right w:val="nil"/>
            </w:tcBorders>
          </w:tcPr>
          <w:p w14:paraId="75090394" w14:textId="77777777" w:rsidR="000B3C5C" w:rsidRDefault="00ED192D">
            <w:pPr>
              <w:spacing w:after="0" w:line="259" w:lineRule="auto"/>
              <w:ind w:left="386" w:hanging="350"/>
            </w:pPr>
            <w:r>
              <w:rPr>
                <w:rFonts w:ascii="Arial" w:eastAsia="Arial" w:hAnsi="Arial" w:cs="Arial"/>
                <w:sz w:val="20"/>
              </w:rPr>
              <w:t xml:space="preserve">8.5.3 Bioanalytical Methods </w:t>
            </w:r>
          </w:p>
        </w:tc>
        <w:tc>
          <w:tcPr>
            <w:tcW w:w="3756" w:type="dxa"/>
            <w:gridSpan w:val="2"/>
            <w:tcBorders>
              <w:top w:val="nil"/>
              <w:left w:val="nil"/>
              <w:bottom w:val="nil"/>
              <w:right w:val="nil"/>
            </w:tcBorders>
          </w:tcPr>
          <w:p w14:paraId="75DB3827" w14:textId="77777777" w:rsidR="000B3C5C" w:rsidRDefault="00ED192D">
            <w:pPr>
              <w:spacing w:after="0" w:line="259" w:lineRule="auto"/>
              <w:ind w:left="173" w:firstLine="0"/>
            </w:pPr>
            <w:r>
              <w:rPr>
                <w:rFonts w:ascii="Arial" w:eastAsia="Arial" w:hAnsi="Arial" w:cs="Arial"/>
                <w:sz w:val="20"/>
              </w:rPr>
              <w:t xml:space="preserve">Lower limit of quantification is updated from </w:t>
            </w:r>
          </w:p>
          <w:p w14:paraId="760625E1" w14:textId="77777777" w:rsidR="000B3C5C" w:rsidRDefault="00ED192D">
            <w:pPr>
              <w:spacing w:after="0" w:line="259" w:lineRule="auto"/>
              <w:ind w:left="70" w:firstLine="223"/>
            </w:pPr>
            <w:r>
              <w:rPr>
                <w:rFonts w:ascii="Arial" w:eastAsia="Arial" w:hAnsi="Arial" w:cs="Arial"/>
                <w:sz w:val="20"/>
              </w:rPr>
              <w:t xml:space="preserve">0.500 ng/mL to 0.500 </w:t>
            </w:r>
            <w:r>
              <w:rPr>
                <w:rFonts w:ascii="Arial" w:eastAsia="Arial" w:hAnsi="Arial" w:cs="Arial"/>
                <w:sz w:val="20"/>
              </w:rPr>
              <w:t xml:space="preserve">µg/mL.  Analytical technique is updated to Immunoassay.  Site of bioanalysis for atezolizumab was updated to ICON (NY, USA). </w:t>
            </w:r>
          </w:p>
        </w:tc>
        <w:tc>
          <w:tcPr>
            <w:tcW w:w="4089" w:type="dxa"/>
            <w:gridSpan w:val="2"/>
            <w:tcBorders>
              <w:top w:val="nil"/>
              <w:left w:val="nil"/>
              <w:bottom w:val="nil"/>
              <w:right w:val="nil"/>
            </w:tcBorders>
          </w:tcPr>
          <w:p w14:paraId="64E8105D" w14:textId="77777777" w:rsidR="000B3C5C" w:rsidRDefault="00ED192D">
            <w:pPr>
              <w:spacing w:after="0" w:line="259" w:lineRule="auto"/>
              <w:ind w:left="206" w:hanging="132"/>
            </w:pPr>
            <w:r>
              <w:rPr>
                <w:rFonts w:ascii="Arial" w:eastAsia="Arial" w:hAnsi="Arial" w:cs="Arial"/>
                <w:sz w:val="20"/>
              </w:rPr>
              <w:t xml:space="preserve">Table 6 was updated as new bioanalytical method will be used for isatuximab and the bioanalysis site for atezolizumab assay will be ICON. </w:t>
            </w:r>
          </w:p>
        </w:tc>
      </w:tr>
      <w:tr w:rsidR="000B3C5C" w14:paraId="4F5742DF" w14:textId="77777777">
        <w:tblPrEx>
          <w:tblCellMar>
            <w:top w:w="0" w:type="dxa"/>
            <w:right w:w="0" w:type="dxa"/>
          </w:tblCellMar>
        </w:tblPrEx>
        <w:trPr>
          <w:gridAfter w:val="1"/>
          <w:wAfter w:w="196" w:type="dxa"/>
          <w:trHeight w:val="1267"/>
        </w:trPr>
        <w:tc>
          <w:tcPr>
            <w:tcW w:w="1659" w:type="dxa"/>
            <w:tcBorders>
              <w:top w:val="nil"/>
              <w:left w:val="nil"/>
              <w:bottom w:val="nil"/>
              <w:right w:val="nil"/>
            </w:tcBorders>
          </w:tcPr>
          <w:p w14:paraId="6CF0D2D4" w14:textId="77777777" w:rsidR="000B3C5C" w:rsidRDefault="00ED192D">
            <w:pPr>
              <w:spacing w:after="0" w:line="259" w:lineRule="auto"/>
              <w:ind w:left="158" w:firstLine="91"/>
            </w:pPr>
            <w:r>
              <w:rPr>
                <w:rFonts w:ascii="Arial" w:eastAsia="Arial" w:hAnsi="Arial" w:cs="Arial"/>
                <w:sz w:val="20"/>
              </w:rPr>
              <w:t xml:space="preserve">8.5.4.1 Noncompartmental analysis – isatuximab </w:t>
            </w:r>
          </w:p>
        </w:tc>
        <w:tc>
          <w:tcPr>
            <w:tcW w:w="3756" w:type="dxa"/>
            <w:gridSpan w:val="2"/>
            <w:tcBorders>
              <w:top w:val="nil"/>
              <w:left w:val="nil"/>
              <w:bottom w:val="nil"/>
              <w:right w:val="nil"/>
            </w:tcBorders>
          </w:tcPr>
          <w:p w14:paraId="6DD4F7B0" w14:textId="77777777" w:rsidR="000B3C5C" w:rsidRDefault="00ED192D">
            <w:pPr>
              <w:spacing w:after="0" w:line="241" w:lineRule="auto"/>
              <w:ind w:left="64" w:hanging="50"/>
            </w:pPr>
            <w:r>
              <w:rPr>
                <w:rFonts w:ascii="Arial" w:eastAsia="Arial" w:hAnsi="Arial" w:cs="Arial"/>
                <w:sz w:val="20"/>
              </w:rPr>
              <w:t xml:space="preserve">Specified PK parameters will be calculated from isatuximab plasma concentrations.  AUClast is </w:t>
            </w:r>
          </w:p>
          <w:p w14:paraId="1E2F11B4" w14:textId="77777777" w:rsidR="000B3C5C" w:rsidRDefault="00ED192D">
            <w:pPr>
              <w:spacing w:after="0" w:line="241" w:lineRule="auto"/>
              <w:ind w:left="200" w:right="33" w:hanging="154"/>
            </w:pPr>
            <w:r>
              <w:rPr>
                <w:rFonts w:ascii="Arial" w:eastAsia="Arial" w:hAnsi="Arial" w:cs="Arial"/>
                <w:sz w:val="20"/>
              </w:rPr>
              <w:t xml:space="preserve">removed from the parameters and added “after the first infusion” at the end of definition for </w:t>
            </w:r>
          </w:p>
          <w:p w14:paraId="0EC6D620" w14:textId="77777777" w:rsidR="000B3C5C" w:rsidRDefault="00ED192D">
            <w:pPr>
              <w:spacing w:after="0" w:line="259" w:lineRule="auto"/>
              <w:ind w:left="0" w:right="260" w:firstLine="0"/>
              <w:jc w:val="center"/>
            </w:pPr>
            <w:r>
              <w:rPr>
                <w:rFonts w:ascii="Arial" w:eastAsia="Arial" w:hAnsi="Arial" w:cs="Arial"/>
                <w:sz w:val="20"/>
              </w:rPr>
              <w:t xml:space="preserve">AUC0-T. </w:t>
            </w:r>
          </w:p>
        </w:tc>
        <w:tc>
          <w:tcPr>
            <w:tcW w:w="4089" w:type="dxa"/>
            <w:gridSpan w:val="2"/>
            <w:tcBorders>
              <w:top w:val="nil"/>
              <w:left w:val="nil"/>
              <w:bottom w:val="nil"/>
              <w:right w:val="nil"/>
            </w:tcBorders>
          </w:tcPr>
          <w:p w14:paraId="7D1131C8" w14:textId="77777777" w:rsidR="000B3C5C" w:rsidRDefault="00ED192D">
            <w:pPr>
              <w:spacing w:after="58" w:line="241" w:lineRule="auto"/>
              <w:ind w:left="1263" w:hanging="1203"/>
              <w:jc w:val="both"/>
            </w:pPr>
            <w:r>
              <w:rPr>
                <w:rFonts w:ascii="Arial" w:eastAsia="Arial" w:hAnsi="Arial" w:cs="Arial"/>
                <w:sz w:val="20"/>
              </w:rPr>
              <w:t xml:space="preserve">Previously “plasma” was omitted by mistake.  Clarified definition of AUC0-T. </w:t>
            </w:r>
          </w:p>
          <w:p w14:paraId="17AFD3A6" w14:textId="77777777" w:rsidR="000B3C5C" w:rsidRDefault="00ED192D">
            <w:pPr>
              <w:spacing w:after="0" w:line="259" w:lineRule="auto"/>
              <w:ind w:left="1176" w:hanging="874"/>
            </w:pPr>
            <w:r>
              <w:rPr>
                <w:rFonts w:ascii="Arial" w:eastAsia="Arial" w:hAnsi="Arial" w:cs="Arial"/>
                <w:sz w:val="20"/>
              </w:rPr>
              <w:t xml:space="preserve">AUClast was deleted from Table 7 as this is not relevant for isatuximab. </w:t>
            </w:r>
          </w:p>
        </w:tc>
      </w:tr>
      <w:tr w:rsidR="000B3C5C" w14:paraId="275C7A0F" w14:textId="77777777">
        <w:tblPrEx>
          <w:tblCellMar>
            <w:top w:w="0" w:type="dxa"/>
            <w:right w:w="0" w:type="dxa"/>
          </w:tblCellMar>
        </w:tblPrEx>
        <w:trPr>
          <w:gridAfter w:val="1"/>
          <w:wAfter w:w="196" w:type="dxa"/>
          <w:trHeight w:val="1038"/>
        </w:trPr>
        <w:tc>
          <w:tcPr>
            <w:tcW w:w="1659" w:type="dxa"/>
            <w:tcBorders>
              <w:top w:val="nil"/>
              <w:left w:val="nil"/>
              <w:bottom w:val="nil"/>
              <w:right w:val="nil"/>
            </w:tcBorders>
          </w:tcPr>
          <w:p w14:paraId="61AD4E5C" w14:textId="77777777" w:rsidR="000B3C5C" w:rsidRDefault="00ED192D">
            <w:pPr>
              <w:spacing w:after="0" w:line="241" w:lineRule="auto"/>
              <w:ind w:left="291" w:hanging="250"/>
            </w:pPr>
            <w:r>
              <w:rPr>
                <w:rFonts w:ascii="Arial" w:eastAsia="Arial" w:hAnsi="Arial" w:cs="Arial"/>
                <w:sz w:val="20"/>
              </w:rPr>
              <w:t xml:space="preserve">8.5.4.2 Population approach – </w:t>
            </w:r>
          </w:p>
          <w:p w14:paraId="50A40819" w14:textId="77777777" w:rsidR="000B3C5C" w:rsidRDefault="00ED192D">
            <w:pPr>
              <w:spacing w:after="0" w:line="259" w:lineRule="auto"/>
              <w:ind w:left="218" w:hanging="67"/>
            </w:pPr>
            <w:r>
              <w:rPr>
                <w:rFonts w:ascii="Arial" w:eastAsia="Arial" w:hAnsi="Arial" w:cs="Arial"/>
                <w:sz w:val="20"/>
              </w:rPr>
              <w:t xml:space="preserve">isatuximab and atezolizumab </w:t>
            </w:r>
          </w:p>
        </w:tc>
        <w:tc>
          <w:tcPr>
            <w:tcW w:w="3756" w:type="dxa"/>
            <w:gridSpan w:val="2"/>
            <w:tcBorders>
              <w:top w:val="nil"/>
              <w:left w:val="nil"/>
              <w:bottom w:val="nil"/>
              <w:right w:val="nil"/>
            </w:tcBorders>
          </w:tcPr>
          <w:p w14:paraId="3FD77768" w14:textId="77777777" w:rsidR="000B3C5C" w:rsidRDefault="00ED192D">
            <w:pPr>
              <w:spacing w:after="0" w:line="259" w:lineRule="auto"/>
              <w:ind w:left="36" w:firstLine="86"/>
            </w:pPr>
            <w:r>
              <w:rPr>
                <w:rFonts w:ascii="Arial" w:eastAsia="Arial" w:hAnsi="Arial" w:cs="Arial"/>
                <w:sz w:val="20"/>
              </w:rPr>
              <w:t xml:space="preserve">Removed “and more precisely to analyze the isatuximab plasma concentration-time profiles”. </w:t>
            </w:r>
          </w:p>
        </w:tc>
        <w:tc>
          <w:tcPr>
            <w:tcW w:w="4089" w:type="dxa"/>
            <w:gridSpan w:val="2"/>
            <w:tcBorders>
              <w:top w:val="nil"/>
              <w:left w:val="nil"/>
              <w:bottom w:val="nil"/>
              <w:right w:val="nil"/>
            </w:tcBorders>
          </w:tcPr>
          <w:p w14:paraId="480C9FD5" w14:textId="77777777" w:rsidR="000B3C5C" w:rsidRDefault="00ED192D">
            <w:pPr>
              <w:spacing w:after="0" w:line="259" w:lineRule="auto"/>
              <w:ind w:left="278" w:hanging="240"/>
            </w:pPr>
            <w:r>
              <w:rPr>
                <w:rFonts w:ascii="Arial" w:eastAsia="Arial" w:hAnsi="Arial" w:cs="Arial"/>
                <w:sz w:val="20"/>
              </w:rPr>
              <w:t xml:space="preserve">Plasma concentration-time profile is not relevant in this context as population PK approach will be used. </w:t>
            </w:r>
          </w:p>
        </w:tc>
      </w:tr>
      <w:tr w:rsidR="000B3C5C" w14:paraId="1C9FCB89" w14:textId="77777777">
        <w:tblPrEx>
          <w:tblCellMar>
            <w:top w:w="0" w:type="dxa"/>
            <w:right w:w="0" w:type="dxa"/>
          </w:tblCellMar>
        </w:tblPrEx>
        <w:trPr>
          <w:gridAfter w:val="1"/>
          <w:wAfter w:w="196" w:type="dxa"/>
          <w:trHeight w:val="809"/>
        </w:trPr>
        <w:tc>
          <w:tcPr>
            <w:tcW w:w="1659" w:type="dxa"/>
            <w:tcBorders>
              <w:top w:val="nil"/>
              <w:left w:val="nil"/>
              <w:bottom w:val="nil"/>
              <w:right w:val="nil"/>
            </w:tcBorders>
          </w:tcPr>
          <w:p w14:paraId="21C35676" w14:textId="77777777" w:rsidR="000B3C5C" w:rsidRDefault="00ED192D">
            <w:pPr>
              <w:spacing w:after="0" w:line="259" w:lineRule="auto"/>
              <w:ind w:left="518" w:firstLine="0"/>
            </w:pPr>
            <w:r>
              <w:rPr>
                <w:rFonts w:ascii="Arial" w:eastAsia="Arial" w:hAnsi="Arial" w:cs="Arial"/>
                <w:sz w:val="20"/>
              </w:rPr>
              <w:t xml:space="preserve">8.8.1 </w:t>
            </w:r>
          </w:p>
          <w:p w14:paraId="5DD8AB81" w14:textId="77777777" w:rsidR="000B3C5C" w:rsidRDefault="00ED192D">
            <w:pPr>
              <w:spacing w:after="0" w:line="259" w:lineRule="auto"/>
              <w:ind w:left="223" w:hanging="96"/>
            </w:pPr>
            <w:r>
              <w:rPr>
                <w:rFonts w:ascii="Arial" w:eastAsia="Arial" w:hAnsi="Arial" w:cs="Arial"/>
                <w:sz w:val="20"/>
              </w:rPr>
              <w:t xml:space="preserve">Immunogenicity assessments </w:t>
            </w:r>
          </w:p>
        </w:tc>
        <w:tc>
          <w:tcPr>
            <w:tcW w:w="3756" w:type="dxa"/>
            <w:gridSpan w:val="2"/>
            <w:tcBorders>
              <w:top w:val="nil"/>
              <w:left w:val="nil"/>
              <w:bottom w:val="nil"/>
              <w:right w:val="nil"/>
            </w:tcBorders>
          </w:tcPr>
          <w:p w14:paraId="5C386E5F" w14:textId="77777777" w:rsidR="000B3C5C" w:rsidRDefault="00ED192D">
            <w:pPr>
              <w:spacing w:after="0" w:line="259" w:lineRule="auto"/>
              <w:ind w:left="0" w:right="259" w:firstLine="0"/>
              <w:jc w:val="center"/>
            </w:pPr>
            <w:r>
              <w:rPr>
                <w:rFonts w:ascii="Arial" w:eastAsia="Arial" w:hAnsi="Arial" w:cs="Arial"/>
                <w:sz w:val="20"/>
              </w:rPr>
              <w:t xml:space="preserve">Table 8 was updated </w:t>
            </w:r>
          </w:p>
        </w:tc>
        <w:tc>
          <w:tcPr>
            <w:tcW w:w="4089" w:type="dxa"/>
            <w:gridSpan w:val="2"/>
            <w:tcBorders>
              <w:top w:val="nil"/>
              <w:left w:val="nil"/>
              <w:bottom w:val="nil"/>
              <w:right w:val="nil"/>
            </w:tcBorders>
          </w:tcPr>
          <w:p w14:paraId="7BEF0BAC" w14:textId="77777777" w:rsidR="000B3C5C" w:rsidRDefault="00ED192D">
            <w:pPr>
              <w:spacing w:after="0" w:line="259" w:lineRule="auto"/>
              <w:ind w:left="146" w:firstLine="127"/>
            </w:pPr>
            <w:r>
              <w:rPr>
                <w:rFonts w:ascii="Arial" w:eastAsia="Arial" w:hAnsi="Arial" w:cs="Arial"/>
                <w:sz w:val="20"/>
              </w:rPr>
              <w:t xml:space="preserve">Table 8 was updated by adding the bioanalytical method and location for anti-atezolizumab antibody. </w:t>
            </w:r>
          </w:p>
        </w:tc>
      </w:tr>
      <w:tr w:rsidR="000B3C5C" w14:paraId="5D9C725E" w14:textId="77777777">
        <w:tblPrEx>
          <w:tblCellMar>
            <w:top w:w="0" w:type="dxa"/>
            <w:right w:w="0" w:type="dxa"/>
          </w:tblCellMar>
        </w:tblPrEx>
        <w:trPr>
          <w:gridAfter w:val="1"/>
          <w:wAfter w:w="196" w:type="dxa"/>
          <w:trHeight w:val="808"/>
        </w:trPr>
        <w:tc>
          <w:tcPr>
            <w:tcW w:w="1659" w:type="dxa"/>
            <w:tcBorders>
              <w:top w:val="nil"/>
              <w:left w:val="nil"/>
              <w:bottom w:val="nil"/>
              <w:right w:val="nil"/>
            </w:tcBorders>
          </w:tcPr>
          <w:p w14:paraId="394FF899" w14:textId="77777777" w:rsidR="000B3C5C" w:rsidRDefault="00ED192D">
            <w:pPr>
              <w:spacing w:after="0" w:line="259" w:lineRule="auto"/>
              <w:ind w:left="213" w:right="26" w:hanging="182"/>
            </w:pPr>
            <w:r>
              <w:rPr>
                <w:rFonts w:ascii="Arial" w:eastAsia="Arial" w:hAnsi="Arial" w:cs="Arial"/>
                <w:sz w:val="20"/>
              </w:rPr>
              <w:t xml:space="preserve">9.4.3.1 Analysis of PK endpoints </w:t>
            </w:r>
          </w:p>
        </w:tc>
        <w:tc>
          <w:tcPr>
            <w:tcW w:w="3756" w:type="dxa"/>
            <w:gridSpan w:val="2"/>
            <w:tcBorders>
              <w:top w:val="nil"/>
              <w:left w:val="nil"/>
              <w:bottom w:val="nil"/>
              <w:right w:val="nil"/>
            </w:tcBorders>
          </w:tcPr>
          <w:p w14:paraId="4C00D767" w14:textId="77777777" w:rsidR="000B3C5C" w:rsidRDefault="00ED192D">
            <w:pPr>
              <w:spacing w:after="0" w:line="259" w:lineRule="auto"/>
              <w:ind w:left="132" w:right="46" w:hanging="110"/>
            </w:pPr>
            <w:r>
              <w:rPr>
                <w:rFonts w:ascii="Arial" w:eastAsia="Arial" w:hAnsi="Arial" w:cs="Arial"/>
                <w:sz w:val="20"/>
              </w:rPr>
              <w:t xml:space="preserve">“Standard error of means” was added as part of descriptive statistics.  Additional details were also provided on endpoints. </w:t>
            </w:r>
          </w:p>
        </w:tc>
        <w:tc>
          <w:tcPr>
            <w:tcW w:w="4089" w:type="dxa"/>
            <w:gridSpan w:val="2"/>
            <w:tcBorders>
              <w:top w:val="nil"/>
              <w:left w:val="nil"/>
              <w:bottom w:val="nil"/>
              <w:right w:val="nil"/>
            </w:tcBorders>
          </w:tcPr>
          <w:p w14:paraId="575471BE" w14:textId="77777777" w:rsidR="000B3C5C" w:rsidRDefault="00ED192D">
            <w:pPr>
              <w:spacing w:after="0" w:line="259" w:lineRule="auto"/>
              <w:ind w:left="1193" w:hanging="1193"/>
            </w:pPr>
            <w:r>
              <w:rPr>
                <w:rFonts w:ascii="Arial" w:eastAsia="Arial" w:hAnsi="Arial" w:cs="Arial"/>
                <w:sz w:val="20"/>
              </w:rPr>
              <w:t xml:space="preserve">These changes were omitted by mistake in the previous version of the protocol. </w:t>
            </w:r>
          </w:p>
        </w:tc>
      </w:tr>
      <w:tr w:rsidR="000B3C5C" w14:paraId="7D678E7D" w14:textId="77777777">
        <w:tblPrEx>
          <w:tblCellMar>
            <w:top w:w="0" w:type="dxa"/>
            <w:right w:w="0" w:type="dxa"/>
          </w:tblCellMar>
        </w:tblPrEx>
        <w:trPr>
          <w:gridAfter w:val="1"/>
          <w:wAfter w:w="196" w:type="dxa"/>
          <w:trHeight w:val="809"/>
        </w:trPr>
        <w:tc>
          <w:tcPr>
            <w:tcW w:w="1659" w:type="dxa"/>
            <w:tcBorders>
              <w:top w:val="nil"/>
              <w:left w:val="nil"/>
              <w:bottom w:val="nil"/>
              <w:right w:val="nil"/>
            </w:tcBorders>
          </w:tcPr>
          <w:p w14:paraId="55DC7303" w14:textId="77777777" w:rsidR="000B3C5C" w:rsidRDefault="00ED192D">
            <w:pPr>
              <w:spacing w:after="0" w:line="259" w:lineRule="auto"/>
              <w:ind w:left="86" w:firstLine="0"/>
            </w:pPr>
            <w:r>
              <w:rPr>
                <w:rFonts w:ascii="Arial" w:eastAsia="Arial" w:hAnsi="Arial" w:cs="Arial"/>
                <w:sz w:val="20"/>
              </w:rPr>
              <w:t xml:space="preserve">10.2 Appendix 2: </w:t>
            </w:r>
          </w:p>
          <w:p w14:paraId="05352564" w14:textId="77777777" w:rsidR="000B3C5C" w:rsidRDefault="00ED192D">
            <w:pPr>
              <w:spacing w:after="0" w:line="259" w:lineRule="auto"/>
              <w:ind w:left="528" w:hanging="478"/>
            </w:pPr>
            <w:r>
              <w:rPr>
                <w:rFonts w:ascii="Arial" w:eastAsia="Arial" w:hAnsi="Arial" w:cs="Arial"/>
                <w:sz w:val="20"/>
              </w:rPr>
              <w:t xml:space="preserve">Clinical laboratory tests </w:t>
            </w:r>
          </w:p>
        </w:tc>
        <w:tc>
          <w:tcPr>
            <w:tcW w:w="3756" w:type="dxa"/>
            <w:gridSpan w:val="2"/>
            <w:tcBorders>
              <w:top w:val="nil"/>
              <w:left w:val="nil"/>
              <w:bottom w:val="nil"/>
              <w:right w:val="nil"/>
            </w:tcBorders>
          </w:tcPr>
          <w:p w14:paraId="62E824FF" w14:textId="77777777" w:rsidR="000B3C5C" w:rsidRDefault="00ED192D">
            <w:pPr>
              <w:spacing w:after="0" w:line="259" w:lineRule="auto"/>
              <w:ind w:left="91" w:right="42" w:firstLine="209"/>
            </w:pPr>
            <w:r>
              <w:rPr>
                <w:rFonts w:ascii="Arial" w:eastAsia="Arial" w:hAnsi="Arial" w:cs="Arial"/>
                <w:sz w:val="20"/>
              </w:rPr>
              <w:t xml:space="preserve">Added time window for blood chemistry, hematology, and urinalysis is within 1 working day prior to IMP administration. </w:t>
            </w:r>
          </w:p>
        </w:tc>
        <w:tc>
          <w:tcPr>
            <w:tcW w:w="4089" w:type="dxa"/>
            <w:gridSpan w:val="2"/>
            <w:tcBorders>
              <w:top w:val="nil"/>
              <w:left w:val="nil"/>
              <w:bottom w:val="nil"/>
              <w:right w:val="nil"/>
            </w:tcBorders>
          </w:tcPr>
          <w:p w14:paraId="7EE04943" w14:textId="77777777" w:rsidR="000B3C5C" w:rsidRDefault="00ED192D">
            <w:pPr>
              <w:spacing w:after="0" w:line="259" w:lineRule="auto"/>
              <w:ind w:left="1100" w:hanging="1071"/>
            </w:pPr>
            <w:r>
              <w:rPr>
                <w:rFonts w:ascii="Arial" w:eastAsia="Arial" w:hAnsi="Arial" w:cs="Arial"/>
                <w:sz w:val="20"/>
              </w:rPr>
              <w:t xml:space="preserve">This is added in accordance with time window stated in Study Reference Manual. </w:t>
            </w:r>
          </w:p>
        </w:tc>
      </w:tr>
      <w:tr w:rsidR="000B3C5C" w14:paraId="73756B91" w14:textId="77777777">
        <w:tblPrEx>
          <w:tblCellMar>
            <w:top w:w="0" w:type="dxa"/>
            <w:right w:w="0" w:type="dxa"/>
          </w:tblCellMar>
        </w:tblPrEx>
        <w:trPr>
          <w:gridAfter w:val="1"/>
          <w:wAfter w:w="196" w:type="dxa"/>
          <w:trHeight w:val="810"/>
        </w:trPr>
        <w:tc>
          <w:tcPr>
            <w:tcW w:w="1659" w:type="dxa"/>
            <w:tcBorders>
              <w:top w:val="nil"/>
              <w:left w:val="nil"/>
              <w:bottom w:val="nil"/>
              <w:right w:val="nil"/>
            </w:tcBorders>
          </w:tcPr>
          <w:p w14:paraId="08D25B0F" w14:textId="77777777" w:rsidR="000B3C5C" w:rsidRDefault="00ED192D">
            <w:pPr>
              <w:spacing w:after="0" w:line="259" w:lineRule="auto"/>
              <w:ind w:left="86" w:firstLine="0"/>
            </w:pPr>
            <w:r>
              <w:rPr>
                <w:rFonts w:ascii="Arial" w:eastAsia="Arial" w:hAnsi="Arial" w:cs="Arial"/>
                <w:sz w:val="20"/>
              </w:rPr>
              <w:t xml:space="preserve">10.2 Appendix 2: </w:t>
            </w:r>
          </w:p>
          <w:p w14:paraId="08FBF57E" w14:textId="77777777" w:rsidR="000B3C5C" w:rsidRDefault="00ED192D">
            <w:pPr>
              <w:spacing w:after="0" w:line="259" w:lineRule="auto"/>
              <w:ind w:left="528" w:hanging="478"/>
            </w:pPr>
            <w:r>
              <w:rPr>
                <w:rFonts w:ascii="Arial" w:eastAsia="Arial" w:hAnsi="Arial" w:cs="Arial"/>
                <w:sz w:val="20"/>
              </w:rPr>
              <w:t xml:space="preserve">Clinical laboratory tests </w:t>
            </w:r>
          </w:p>
        </w:tc>
        <w:tc>
          <w:tcPr>
            <w:tcW w:w="3756" w:type="dxa"/>
            <w:gridSpan w:val="2"/>
            <w:tcBorders>
              <w:top w:val="nil"/>
              <w:left w:val="nil"/>
              <w:bottom w:val="nil"/>
              <w:right w:val="nil"/>
            </w:tcBorders>
          </w:tcPr>
          <w:p w14:paraId="4505883D" w14:textId="77777777" w:rsidR="000B3C5C" w:rsidRDefault="00ED192D">
            <w:pPr>
              <w:spacing w:after="0" w:line="259" w:lineRule="auto"/>
              <w:ind w:left="60" w:right="108" w:hanging="26"/>
            </w:pPr>
            <w:r>
              <w:rPr>
                <w:rFonts w:ascii="Arial" w:eastAsia="Arial" w:hAnsi="Arial" w:cs="Arial"/>
                <w:sz w:val="20"/>
              </w:rPr>
              <w:t xml:space="preserve">To allow semi-quantitative urinalysis (according to site practice and if such method can provide absolute numeric value of the parameters). </w:t>
            </w:r>
          </w:p>
        </w:tc>
        <w:tc>
          <w:tcPr>
            <w:tcW w:w="4089" w:type="dxa"/>
            <w:gridSpan w:val="2"/>
            <w:tcBorders>
              <w:top w:val="nil"/>
              <w:left w:val="nil"/>
              <w:bottom w:val="nil"/>
              <w:right w:val="nil"/>
            </w:tcBorders>
          </w:tcPr>
          <w:p w14:paraId="00485F1C" w14:textId="77777777" w:rsidR="000B3C5C" w:rsidRDefault="00ED192D">
            <w:pPr>
              <w:spacing w:after="0" w:line="259" w:lineRule="auto"/>
              <w:ind w:left="1218" w:hanging="1016"/>
            </w:pPr>
            <w:r>
              <w:rPr>
                <w:rFonts w:ascii="Arial" w:eastAsia="Arial" w:hAnsi="Arial" w:cs="Arial"/>
                <w:sz w:val="20"/>
              </w:rPr>
              <w:t xml:space="preserve">Standard practice of some study sites utilize semiquantitative urinalysis. </w:t>
            </w:r>
          </w:p>
        </w:tc>
      </w:tr>
      <w:tr w:rsidR="000B3C5C" w14:paraId="61163899" w14:textId="77777777">
        <w:tblPrEx>
          <w:tblCellMar>
            <w:top w:w="0" w:type="dxa"/>
            <w:right w:w="0" w:type="dxa"/>
          </w:tblCellMar>
        </w:tblPrEx>
        <w:trPr>
          <w:gridAfter w:val="1"/>
          <w:wAfter w:w="196" w:type="dxa"/>
          <w:trHeight w:val="269"/>
        </w:trPr>
        <w:tc>
          <w:tcPr>
            <w:tcW w:w="1659" w:type="dxa"/>
            <w:tcBorders>
              <w:top w:val="nil"/>
              <w:left w:val="nil"/>
              <w:bottom w:val="nil"/>
              <w:right w:val="nil"/>
            </w:tcBorders>
          </w:tcPr>
          <w:p w14:paraId="7AAC94EE" w14:textId="77777777" w:rsidR="000B3C5C" w:rsidRDefault="00ED192D">
            <w:pPr>
              <w:spacing w:after="0" w:line="259" w:lineRule="auto"/>
              <w:ind w:left="281" w:firstLine="0"/>
            </w:pPr>
            <w:r>
              <w:rPr>
                <w:rFonts w:ascii="Arial" w:eastAsia="Arial" w:hAnsi="Arial" w:cs="Arial"/>
                <w:sz w:val="20"/>
              </w:rPr>
              <w:t xml:space="preserve">Throughout </w:t>
            </w:r>
          </w:p>
        </w:tc>
        <w:tc>
          <w:tcPr>
            <w:tcW w:w="3756" w:type="dxa"/>
            <w:gridSpan w:val="2"/>
            <w:tcBorders>
              <w:top w:val="nil"/>
              <w:left w:val="nil"/>
              <w:bottom w:val="nil"/>
              <w:right w:val="nil"/>
            </w:tcBorders>
          </w:tcPr>
          <w:p w14:paraId="49DA7542" w14:textId="77777777" w:rsidR="000B3C5C" w:rsidRDefault="00ED192D">
            <w:pPr>
              <w:spacing w:after="0" w:line="259" w:lineRule="auto"/>
              <w:ind w:left="96" w:firstLine="0"/>
            </w:pPr>
            <w:r>
              <w:rPr>
                <w:rFonts w:ascii="Arial" w:eastAsia="Arial" w:hAnsi="Arial" w:cs="Arial"/>
                <w:sz w:val="20"/>
              </w:rPr>
              <w:t xml:space="preserve">Grammatical corrections and formatting edits. </w:t>
            </w:r>
          </w:p>
        </w:tc>
        <w:tc>
          <w:tcPr>
            <w:tcW w:w="4089" w:type="dxa"/>
            <w:gridSpan w:val="2"/>
            <w:tcBorders>
              <w:top w:val="nil"/>
              <w:left w:val="nil"/>
              <w:bottom w:val="nil"/>
              <w:right w:val="nil"/>
            </w:tcBorders>
          </w:tcPr>
          <w:p w14:paraId="5CD1361F" w14:textId="77777777" w:rsidR="000B3C5C" w:rsidRDefault="00ED192D">
            <w:pPr>
              <w:spacing w:after="0" w:line="259" w:lineRule="auto"/>
              <w:ind w:left="55" w:firstLine="0"/>
              <w:jc w:val="both"/>
            </w:pPr>
            <w:r>
              <w:rPr>
                <w:rFonts w:ascii="Arial" w:eastAsia="Arial" w:hAnsi="Arial" w:cs="Arial"/>
                <w:sz w:val="20"/>
              </w:rPr>
              <w:t xml:space="preserve">To correct grammatical errors and improve readability. </w:t>
            </w:r>
          </w:p>
        </w:tc>
      </w:tr>
    </w:tbl>
    <w:p w14:paraId="2C8630A8" w14:textId="77777777" w:rsidR="000B3C5C" w:rsidRDefault="00ED192D">
      <w:pPr>
        <w:spacing w:after="61" w:line="259" w:lineRule="auto"/>
        <w:ind w:left="-108" w:right="-112" w:firstLine="0"/>
      </w:pPr>
      <w:r>
        <w:rPr>
          <w:rFonts w:ascii="Calibri" w:eastAsia="Calibri" w:hAnsi="Calibri" w:cs="Calibri"/>
          <w:noProof/>
          <w:sz w:val="22"/>
        </w:rPr>
        <mc:AlternateContent>
          <mc:Choice Requires="wpg">
            <w:drawing>
              <wp:inline distT="0" distB="0" distL="0" distR="0" wp14:anchorId="687BDA82" wp14:editId="727AAAF4">
                <wp:extent cx="6150559" cy="18289"/>
                <wp:effectExtent l="0" t="0" r="0" b="0"/>
                <wp:docPr id="274987" name="Group 274987"/>
                <wp:cNvGraphicFramePr/>
                <a:graphic xmlns:a="http://schemas.openxmlformats.org/drawingml/2006/main">
                  <a:graphicData uri="http://schemas.microsoft.com/office/word/2010/wordprocessingGroup">
                    <wpg:wgp>
                      <wpg:cNvGrpSpPr/>
                      <wpg:grpSpPr>
                        <a:xfrm>
                          <a:off x="0" y="0"/>
                          <a:ext cx="6150559" cy="18289"/>
                          <a:chOff x="0" y="0"/>
                          <a:chExt cx="6150559" cy="18289"/>
                        </a:xfrm>
                      </wpg:grpSpPr>
                      <wps:wsp>
                        <wps:cNvPr id="315836" name="Shape 315836"/>
                        <wps:cNvSpPr/>
                        <wps:spPr>
                          <a:xfrm>
                            <a:off x="0" y="0"/>
                            <a:ext cx="1028700" cy="18289"/>
                          </a:xfrm>
                          <a:custGeom>
                            <a:avLst/>
                            <a:gdLst/>
                            <a:ahLst/>
                            <a:cxnLst/>
                            <a:rect l="0" t="0" r="0" b="0"/>
                            <a:pathLst>
                              <a:path w="1028700" h="18289">
                                <a:moveTo>
                                  <a:pt x="0" y="0"/>
                                </a:moveTo>
                                <a:lnTo>
                                  <a:pt x="1028700" y="0"/>
                                </a:lnTo>
                                <a:lnTo>
                                  <a:pt x="1028700"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37" name="Shape 315837"/>
                        <wps:cNvSpPr/>
                        <wps:spPr>
                          <a:xfrm>
                            <a:off x="1028649" y="0"/>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38" name="Shape 315838"/>
                        <wps:cNvSpPr/>
                        <wps:spPr>
                          <a:xfrm>
                            <a:off x="1046937" y="0"/>
                            <a:ext cx="2388743" cy="18289"/>
                          </a:xfrm>
                          <a:custGeom>
                            <a:avLst/>
                            <a:gdLst/>
                            <a:ahLst/>
                            <a:cxnLst/>
                            <a:rect l="0" t="0" r="0" b="0"/>
                            <a:pathLst>
                              <a:path w="2388743" h="18289">
                                <a:moveTo>
                                  <a:pt x="0" y="0"/>
                                </a:moveTo>
                                <a:lnTo>
                                  <a:pt x="2388743" y="0"/>
                                </a:lnTo>
                                <a:lnTo>
                                  <a:pt x="2388743"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39" name="Shape 315839"/>
                        <wps:cNvSpPr/>
                        <wps:spPr>
                          <a:xfrm>
                            <a:off x="3435680" y="0"/>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40" name="Shape 315840"/>
                        <wps:cNvSpPr/>
                        <wps:spPr>
                          <a:xfrm>
                            <a:off x="3453968" y="0"/>
                            <a:ext cx="2696591" cy="18289"/>
                          </a:xfrm>
                          <a:custGeom>
                            <a:avLst/>
                            <a:gdLst/>
                            <a:ahLst/>
                            <a:cxnLst/>
                            <a:rect l="0" t="0" r="0" b="0"/>
                            <a:pathLst>
                              <a:path w="2696591" h="18289">
                                <a:moveTo>
                                  <a:pt x="0" y="0"/>
                                </a:moveTo>
                                <a:lnTo>
                                  <a:pt x="2696591" y="0"/>
                                </a:lnTo>
                                <a:lnTo>
                                  <a:pt x="2696591"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987" style="width:484.296pt;height:1.44006pt;mso-position-horizontal-relative:char;mso-position-vertical-relative:line" coordsize="61505,182">
                <v:shape id="Shape 315841" style="position:absolute;width:10287;height:182;left:0;top:0;" coordsize="1028700,18289" path="m0,0l1028700,0l1028700,18289l0,18289l0,0">
                  <v:stroke weight="0pt" endcap="flat" joinstyle="miter" miterlimit="10" on="false" color="#000000" opacity="0"/>
                  <v:fill on="true" color="#000000"/>
                </v:shape>
                <v:shape id="Shape 315842" style="position:absolute;width:182;height:182;left:10286;top:0;" coordsize="18288,18289" path="m0,0l18288,0l18288,18289l0,18289l0,0">
                  <v:stroke weight="0pt" endcap="flat" joinstyle="miter" miterlimit="10" on="false" color="#000000" opacity="0"/>
                  <v:fill on="true" color="#000000"/>
                </v:shape>
                <v:shape id="Shape 315843" style="position:absolute;width:23887;height:182;left:10469;top:0;" coordsize="2388743,18289" path="m0,0l2388743,0l2388743,18289l0,18289l0,0">
                  <v:stroke weight="0pt" endcap="flat" joinstyle="miter" miterlimit="10" on="false" color="#000000" opacity="0"/>
                  <v:fill on="true" color="#000000"/>
                </v:shape>
                <v:shape id="Shape 315844" style="position:absolute;width:182;height:182;left:34356;top:0;" coordsize="18288,18289" path="m0,0l18288,0l18288,18289l0,18289l0,0">
                  <v:stroke weight="0pt" endcap="flat" joinstyle="miter" miterlimit="10" on="false" color="#000000" opacity="0"/>
                  <v:fill on="true" color="#000000"/>
                </v:shape>
                <v:shape id="Shape 315845" style="position:absolute;width:26965;height:182;left:34539;top:0;" coordsize="2696591,18289" path="m0,0l2696591,0l2696591,18289l0,18289l0,0">
                  <v:stroke weight="0pt" endcap="flat" joinstyle="miter" miterlimit="10" on="false" color="#000000" opacity="0"/>
                  <v:fill on="true" color="#000000"/>
                </v:shape>
              </v:group>
            </w:pict>
          </mc:Fallback>
        </mc:AlternateContent>
      </w:r>
    </w:p>
    <w:p w14:paraId="3305662A" w14:textId="77777777" w:rsidR="000B3C5C" w:rsidRDefault="00ED192D">
      <w:pPr>
        <w:spacing w:after="278"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6FD4AE6" wp14:editId="1E2F47ED">
                <wp:simplePos x="0" y="0"/>
                <wp:positionH relativeFrom="page">
                  <wp:posOffset>939089</wp:posOffset>
                </wp:positionH>
                <wp:positionV relativeFrom="page">
                  <wp:posOffset>1158494</wp:posOffset>
                </wp:positionV>
                <wp:extent cx="6150559" cy="6096"/>
                <wp:effectExtent l="0" t="0" r="0" b="0"/>
                <wp:wrapTopAndBottom/>
                <wp:docPr id="274986" name="Group 274986"/>
                <wp:cNvGraphicFramePr/>
                <a:graphic xmlns:a="http://schemas.openxmlformats.org/drawingml/2006/main">
                  <a:graphicData uri="http://schemas.microsoft.com/office/word/2010/wordprocessingGroup">
                    <wpg:wgp>
                      <wpg:cNvGrpSpPr/>
                      <wpg:grpSpPr>
                        <a:xfrm>
                          <a:off x="0" y="0"/>
                          <a:ext cx="6150559" cy="6096"/>
                          <a:chOff x="0" y="0"/>
                          <a:chExt cx="6150559" cy="6096"/>
                        </a:xfrm>
                      </wpg:grpSpPr>
                      <wps:wsp>
                        <wps:cNvPr id="315846" name="Shape 315846"/>
                        <wps:cNvSpPr/>
                        <wps:spPr>
                          <a:xfrm>
                            <a:off x="0" y="0"/>
                            <a:ext cx="1028700" cy="9144"/>
                          </a:xfrm>
                          <a:custGeom>
                            <a:avLst/>
                            <a:gdLst/>
                            <a:ahLst/>
                            <a:cxnLst/>
                            <a:rect l="0" t="0" r="0" b="0"/>
                            <a:pathLst>
                              <a:path w="1028700" h="9144">
                                <a:moveTo>
                                  <a:pt x="0" y="0"/>
                                </a:moveTo>
                                <a:lnTo>
                                  <a:pt x="1028700" y="0"/>
                                </a:lnTo>
                                <a:lnTo>
                                  <a:pt x="1028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47" name="Shape 315847"/>
                        <wps:cNvSpPr/>
                        <wps:spPr>
                          <a:xfrm>
                            <a:off x="10286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48" name="Shape 315848"/>
                        <wps:cNvSpPr/>
                        <wps:spPr>
                          <a:xfrm>
                            <a:off x="1034745" y="0"/>
                            <a:ext cx="2400935" cy="9144"/>
                          </a:xfrm>
                          <a:custGeom>
                            <a:avLst/>
                            <a:gdLst/>
                            <a:ahLst/>
                            <a:cxnLst/>
                            <a:rect l="0" t="0" r="0" b="0"/>
                            <a:pathLst>
                              <a:path w="2400935" h="9144">
                                <a:moveTo>
                                  <a:pt x="0" y="0"/>
                                </a:moveTo>
                                <a:lnTo>
                                  <a:pt x="2400935" y="0"/>
                                </a:lnTo>
                                <a:lnTo>
                                  <a:pt x="24009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49" name="Shape 315849"/>
                        <wps:cNvSpPr/>
                        <wps:spPr>
                          <a:xfrm>
                            <a:off x="34356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50" name="Shape 315850"/>
                        <wps:cNvSpPr/>
                        <wps:spPr>
                          <a:xfrm>
                            <a:off x="3441776" y="0"/>
                            <a:ext cx="2708783" cy="9144"/>
                          </a:xfrm>
                          <a:custGeom>
                            <a:avLst/>
                            <a:gdLst/>
                            <a:ahLst/>
                            <a:cxnLst/>
                            <a:rect l="0" t="0" r="0" b="0"/>
                            <a:pathLst>
                              <a:path w="2708783" h="9144">
                                <a:moveTo>
                                  <a:pt x="0" y="0"/>
                                </a:moveTo>
                                <a:lnTo>
                                  <a:pt x="2708783" y="0"/>
                                </a:lnTo>
                                <a:lnTo>
                                  <a:pt x="27087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986" style="width:484.296pt;height:0.47998pt;position:absolute;mso-position-horizontal-relative:page;mso-position-horizontal:absolute;margin-left:73.944pt;mso-position-vertical-relative:page;margin-top:91.22pt;" coordsize="61505,60">
                <v:shape id="Shape 315851" style="position:absolute;width:10287;height:91;left:0;top:0;" coordsize="1028700,9144" path="m0,0l1028700,0l1028700,9144l0,9144l0,0">
                  <v:stroke weight="0pt" endcap="flat" joinstyle="miter" miterlimit="10" on="false" color="#000000" opacity="0"/>
                  <v:fill on="true" color="#000000"/>
                </v:shape>
                <v:shape id="Shape 315852" style="position:absolute;width:91;height:91;left:10286;top:0;" coordsize="9144,9144" path="m0,0l9144,0l9144,9144l0,9144l0,0">
                  <v:stroke weight="0pt" endcap="flat" joinstyle="miter" miterlimit="10" on="false" color="#000000" opacity="0"/>
                  <v:fill on="true" color="#000000"/>
                </v:shape>
                <v:shape id="Shape 315853" style="position:absolute;width:24009;height:91;left:10347;top:0;" coordsize="2400935,9144" path="m0,0l2400935,0l2400935,9144l0,9144l0,0">
                  <v:stroke weight="0pt" endcap="flat" joinstyle="miter" miterlimit="10" on="false" color="#000000" opacity="0"/>
                  <v:fill on="true" color="#000000"/>
                </v:shape>
                <v:shape id="Shape 315854" style="position:absolute;width:91;height:91;left:34356;top:0;" coordsize="9144,9144" path="m0,0l9144,0l9144,9144l0,9144l0,0">
                  <v:stroke weight="0pt" endcap="flat" joinstyle="miter" miterlimit="10" on="false" color="#000000" opacity="0"/>
                  <v:fill on="true" color="#000000"/>
                </v:shape>
                <v:shape id="Shape 315855" style="position:absolute;width:27087;height:91;left:34417;top:0;" coordsize="2708783,9144" path="m0,0l2708783,0l2708783,9144l0,9144l0,0">
                  <v:stroke weight="0pt" endcap="flat" joinstyle="miter" miterlimit="10" on="false" color="#000000" opacity="0"/>
                  <v:fill on="true" color="#000000"/>
                </v:shape>
                <w10:wrap type="topAndBottom"/>
              </v:group>
            </w:pict>
          </mc:Fallback>
        </mc:AlternateContent>
      </w:r>
      <w:r>
        <w:rPr>
          <w:rFonts w:ascii="Arial" w:eastAsia="Arial" w:hAnsi="Arial" w:cs="Arial"/>
          <w:sz w:val="18"/>
        </w:rPr>
        <w:t xml:space="preserve"> </w:t>
      </w:r>
    </w:p>
    <w:p w14:paraId="712D1785" w14:textId="77777777" w:rsidR="000B3C5C" w:rsidRDefault="00ED192D">
      <w:pPr>
        <w:spacing w:after="0" w:line="259" w:lineRule="auto"/>
        <w:ind w:left="63" w:firstLine="0"/>
        <w:jc w:val="center"/>
      </w:pPr>
      <w:r>
        <w:rPr>
          <w:rFonts w:ascii="Arial" w:eastAsia="Arial" w:hAnsi="Arial" w:cs="Arial"/>
          <w:b/>
          <w:sz w:val="22"/>
        </w:rPr>
        <w:t xml:space="preserve"> </w:t>
      </w:r>
    </w:p>
    <w:p w14:paraId="69EC4758" w14:textId="77777777" w:rsidR="000B3C5C" w:rsidRDefault="00ED192D">
      <w:pPr>
        <w:pStyle w:val="Heading2"/>
        <w:tabs>
          <w:tab w:val="center" w:pos="3391"/>
        </w:tabs>
        <w:spacing w:after="249"/>
        <w:ind w:left="-15" w:firstLine="0"/>
      </w:pPr>
      <w:r>
        <w:rPr>
          <w:rFonts w:ascii="Arial" w:eastAsia="Arial" w:hAnsi="Arial" w:cs="Arial"/>
          <w:sz w:val="22"/>
        </w:rPr>
        <w:t xml:space="preserve">10.10.3 </w:t>
      </w:r>
      <w:r>
        <w:rPr>
          <w:rFonts w:ascii="Arial" w:eastAsia="Arial" w:hAnsi="Arial" w:cs="Arial"/>
          <w:sz w:val="22"/>
        </w:rPr>
        <w:tab/>
        <w:t xml:space="preserve">Amendment 03 (07 DECEMBER 2018)  </w:t>
      </w:r>
    </w:p>
    <w:p w14:paraId="2879E8BE" w14:textId="77777777" w:rsidR="000B3C5C" w:rsidRDefault="00ED192D">
      <w:pPr>
        <w:spacing w:after="268"/>
        <w:ind w:left="-3" w:right="14"/>
      </w:pPr>
      <w:r>
        <w:t xml:space="preserve">This amendment is considered to be substantial based on the criteria set forth in Article 10(a) of Directive 2001/20/EC of the European Parliament and the Council of the European Union </w:t>
      </w:r>
    </w:p>
    <w:p w14:paraId="67E27878" w14:textId="77777777" w:rsidR="000B3C5C" w:rsidRDefault="00ED192D">
      <w:pPr>
        <w:pStyle w:val="Heading1"/>
        <w:ind w:left="-3"/>
      </w:pPr>
      <w:r>
        <w:t xml:space="preserve">OVERALL RATIONALE FOR THE AMENDMENT </w:t>
      </w:r>
    </w:p>
    <w:p w14:paraId="76347D51" w14:textId="77777777" w:rsidR="000B3C5C" w:rsidRDefault="00ED192D">
      <w:pPr>
        <w:ind w:left="-3" w:right="14"/>
      </w:pPr>
      <w:r>
        <w:t>The main reason for this amendment was to include management guidelines for renal events relating to a new identified risk of atezolizumab (previously communicated to study sites in a study memo).  Management guideline for systemic immune activation recently provided by F. Hoffmann-La Roche Ltd. was also included in this amendment.  Premedication requirements were modified to allow patients with no or mild infusion associated reactions to omit premedications at Investigators’ discretion.  Other modification</w:t>
      </w:r>
      <w:r>
        <w:t xml:space="preserve">s or editorial changes were included to correct inconsistencies and improve operational feasibility.  </w:t>
      </w:r>
    </w:p>
    <w:p w14:paraId="56B87194" w14:textId="77777777" w:rsidR="000B3C5C" w:rsidRDefault="00ED192D">
      <w:pPr>
        <w:spacing w:after="4" w:line="250" w:lineRule="auto"/>
        <w:ind w:left="15" w:right="7"/>
        <w:jc w:val="center"/>
      </w:pPr>
      <w:r>
        <w:rPr>
          <w:rFonts w:ascii="Arial" w:eastAsia="Arial" w:hAnsi="Arial" w:cs="Arial"/>
          <w:b/>
          <w:sz w:val="20"/>
        </w:rPr>
        <w:t>Protocol amendment summary of changes table</w:t>
      </w:r>
      <w:r>
        <w:t xml:space="preserve"> </w:t>
      </w:r>
    </w:p>
    <w:tbl>
      <w:tblPr>
        <w:tblStyle w:val="TableGrid"/>
        <w:tblW w:w="9700" w:type="dxa"/>
        <w:tblInd w:w="-122" w:type="dxa"/>
        <w:tblCellMar>
          <w:top w:w="105" w:type="dxa"/>
          <w:left w:w="0" w:type="dxa"/>
          <w:bottom w:w="0" w:type="dxa"/>
          <w:right w:w="72" w:type="dxa"/>
        </w:tblCellMar>
        <w:tblLook w:val="04A0" w:firstRow="1" w:lastRow="0" w:firstColumn="1" w:lastColumn="0" w:noHBand="0" w:noVBand="1"/>
      </w:tblPr>
      <w:tblGrid>
        <w:gridCol w:w="1773"/>
        <w:gridCol w:w="3225"/>
        <w:gridCol w:w="4702"/>
      </w:tblGrid>
      <w:tr w:rsidR="000B3C5C" w14:paraId="516430EE" w14:textId="77777777">
        <w:trPr>
          <w:trHeight w:val="590"/>
        </w:trPr>
        <w:tc>
          <w:tcPr>
            <w:tcW w:w="1634" w:type="dxa"/>
            <w:tcBorders>
              <w:top w:val="single" w:sz="4" w:space="0" w:color="000000"/>
              <w:left w:val="nil"/>
              <w:bottom w:val="single" w:sz="4" w:space="0" w:color="000000"/>
              <w:right w:val="nil"/>
            </w:tcBorders>
          </w:tcPr>
          <w:p w14:paraId="7CEA1CD8" w14:textId="77777777" w:rsidR="000B3C5C" w:rsidRDefault="00ED192D">
            <w:pPr>
              <w:spacing w:after="0" w:line="259" w:lineRule="auto"/>
              <w:ind w:left="122" w:right="142" w:firstLine="0"/>
              <w:jc w:val="both"/>
            </w:pPr>
            <w:r>
              <w:rPr>
                <w:rFonts w:ascii="Arial" w:eastAsia="Arial" w:hAnsi="Arial" w:cs="Arial"/>
                <w:b/>
                <w:sz w:val="20"/>
              </w:rPr>
              <w:t xml:space="preserve">Section # and Name </w:t>
            </w:r>
          </w:p>
        </w:tc>
        <w:tc>
          <w:tcPr>
            <w:tcW w:w="3275" w:type="dxa"/>
            <w:tcBorders>
              <w:top w:val="single" w:sz="4" w:space="0" w:color="000000"/>
              <w:left w:val="nil"/>
              <w:bottom w:val="single" w:sz="4" w:space="0" w:color="000000"/>
              <w:right w:val="nil"/>
            </w:tcBorders>
          </w:tcPr>
          <w:p w14:paraId="3C6181C1" w14:textId="77777777" w:rsidR="000B3C5C" w:rsidRDefault="00ED192D">
            <w:pPr>
              <w:spacing w:after="0" w:line="259" w:lineRule="auto"/>
              <w:ind w:left="0" w:firstLine="0"/>
            </w:pPr>
            <w:r>
              <w:rPr>
                <w:rFonts w:ascii="Arial" w:eastAsia="Arial" w:hAnsi="Arial" w:cs="Arial"/>
                <w:b/>
                <w:sz w:val="20"/>
              </w:rPr>
              <w:t xml:space="preserve">Description of Change </w:t>
            </w:r>
          </w:p>
        </w:tc>
        <w:tc>
          <w:tcPr>
            <w:tcW w:w="4791" w:type="dxa"/>
            <w:tcBorders>
              <w:top w:val="single" w:sz="4" w:space="0" w:color="000000"/>
              <w:left w:val="nil"/>
              <w:bottom w:val="single" w:sz="4" w:space="0" w:color="000000"/>
              <w:right w:val="nil"/>
            </w:tcBorders>
          </w:tcPr>
          <w:p w14:paraId="03BBA98D" w14:textId="77777777" w:rsidR="000B3C5C" w:rsidRDefault="00ED192D">
            <w:pPr>
              <w:spacing w:after="0" w:line="259" w:lineRule="auto"/>
              <w:ind w:left="0" w:firstLine="0"/>
            </w:pPr>
            <w:r>
              <w:rPr>
                <w:rFonts w:ascii="Arial" w:eastAsia="Arial" w:hAnsi="Arial" w:cs="Arial"/>
                <w:b/>
                <w:sz w:val="20"/>
              </w:rPr>
              <w:t xml:space="preserve">Brief Rationale </w:t>
            </w:r>
          </w:p>
        </w:tc>
      </w:tr>
      <w:tr w:rsidR="000B3C5C" w14:paraId="33CDEB12" w14:textId="77777777">
        <w:trPr>
          <w:trHeight w:val="5309"/>
        </w:trPr>
        <w:tc>
          <w:tcPr>
            <w:tcW w:w="1634" w:type="dxa"/>
            <w:tcBorders>
              <w:top w:val="single" w:sz="4" w:space="0" w:color="000000"/>
              <w:left w:val="nil"/>
              <w:bottom w:val="single" w:sz="4" w:space="0" w:color="000000"/>
              <w:right w:val="nil"/>
            </w:tcBorders>
          </w:tcPr>
          <w:p w14:paraId="0BB608D5" w14:textId="77777777" w:rsidR="000B3C5C" w:rsidRDefault="00ED192D">
            <w:pPr>
              <w:spacing w:after="43" w:line="259" w:lineRule="auto"/>
              <w:ind w:left="122" w:firstLine="0"/>
            </w:pPr>
            <w:r>
              <w:rPr>
                <w:rFonts w:ascii="Arial" w:eastAsia="Arial" w:hAnsi="Arial" w:cs="Arial"/>
                <w:sz w:val="20"/>
              </w:rPr>
              <w:t xml:space="preserve">1.1 Synopsis </w:t>
            </w:r>
          </w:p>
          <w:p w14:paraId="617D9C35" w14:textId="77777777" w:rsidR="000B3C5C" w:rsidRDefault="00ED192D">
            <w:pPr>
              <w:spacing w:after="61" w:line="240" w:lineRule="auto"/>
              <w:ind w:left="122" w:firstLine="0"/>
            </w:pPr>
            <w:r>
              <w:rPr>
                <w:rFonts w:ascii="Arial" w:eastAsia="Arial" w:hAnsi="Arial" w:cs="Arial"/>
                <w:sz w:val="20"/>
              </w:rPr>
              <w:t xml:space="preserve">2.3.4 Preventive measures to minimize the risk from the combination </w:t>
            </w:r>
          </w:p>
          <w:p w14:paraId="2ADE8C60" w14:textId="77777777" w:rsidR="000B3C5C" w:rsidRDefault="00ED192D">
            <w:pPr>
              <w:spacing w:after="0" w:line="259" w:lineRule="auto"/>
              <w:ind w:left="122" w:firstLine="0"/>
            </w:pPr>
            <w:r>
              <w:rPr>
                <w:rFonts w:ascii="Arial" w:eastAsia="Arial" w:hAnsi="Arial" w:cs="Arial"/>
                <w:sz w:val="20"/>
              </w:rPr>
              <w:t xml:space="preserve">6.1 Study intervention(s) administered </w:t>
            </w:r>
          </w:p>
        </w:tc>
        <w:tc>
          <w:tcPr>
            <w:tcW w:w="3275" w:type="dxa"/>
            <w:tcBorders>
              <w:top w:val="single" w:sz="4" w:space="0" w:color="000000"/>
              <w:left w:val="nil"/>
              <w:bottom w:val="single" w:sz="4" w:space="0" w:color="000000"/>
              <w:right w:val="nil"/>
            </w:tcBorders>
          </w:tcPr>
          <w:p w14:paraId="36BC00AA" w14:textId="77777777" w:rsidR="000B3C5C" w:rsidRDefault="00ED192D">
            <w:pPr>
              <w:spacing w:after="60" w:line="241" w:lineRule="auto"/>
              <w:ind w:left="0" w:right="41" w:firstLine="0"/>
            </w:pPr>
            <w:r>
              <w:rPr>
                <w:rFonts w:ascii="Arial" w:eastAsia="Arial" w:hAnsi="Arial" w:cs="Arial"/>
                <w:sz w:val="20"/>
              </w:rPr>
              <w:t xml:space="preserve">Premedication requirements were modified. </w:t>
            </w:r>
          </w:p>
          <w:p w14:paraId="65723FAA" w14:textId="77777777" w:rsidR="000B3C5C" w:rsidRDefault="00ED192D">
            <w:pPr>
              <w:spacing w:after="41" w:line="259" w:lineRule="auto"/>
              <w:ind w:left="0" w:firstLine="0"/>
            </w:pPr>
            <w:r>
              <w:rPr>
                <w:rFonts w:ascii="Arial" w:eastAsia="Arial" w:hAnsi="Arial" w:cs="Arial"/>
                <w:sz w:val="20"/>
              </w:rPr>
              <w:t xml:space="preserve"> </w:t>
            </w:r>
          </w:p>
          <w:p w14:paraId="6B0148A7" w14:textId="77777777" w:rsidR="000B3C5C" w:rsidRDefault="00ED192D">
            <w:pPr>
              <w:spacing w:after="0" w:line="259" w:lineRule="auto"/>
              <w:ind w:left="0" w:right="118" w:firstLine="0"/>
            </w:pPr>
            <w:r>
              <w:rPr>
                <w:rFonts w:ascii="Arial" w:eastAsia="Arial" w:hAnsi="Arial" w:cs="Arial"/>
                <w:sz w:val="20"/>
              </w:rPr>
              <w:t xml:space="preserve">In Section 2.3.4, premedication administration timing was corrected from “15 to 30 minutes” to “30 to 60 minutes” prior to isatuximab infusion for consistency with the rest of the protocol. </w:t>
            </w:r>
          </w:p>
        </w:tc>
        <w:tc>
          <w:tcPr>
            <w:tcW w:w="4791" w:type="dxa"/>
            <w:tcBorders>
              <w:top w:val="single" w:sz="4" w:space="0" w:color="000000"/>
              <w:left w:val="nil"/>
              <w:bottom w:val="single" w:sz="4" w:space="0" w:color="000000"/>
              <w:right w:val="nil"/>
            </w:tcBorders>
          </w:tcPr>
          <w:p w14:paraId="2B4D1E17" w14:textId="77777777" w:rsidR="000B3C5C" w:rsidRDefault="00ED192D">
            <w:pPr>
              <w:spacing w:after="58" w:line="241" w:lineRule="auto"/>
              <w:ind w:left="0" w:firstLine="0"/>
            </w:pPr>
            <w:r>
              <w:rPr>
                <w:rFonts w:ascii="Arial" w:eastAsia="Arial" w:hAnsi="Arial" w:cs="Arial"/>
                <w:sz w:val="20"/>
              </w:rPr>
              <w:t xml:space="preserve">Change based on data from completed and ongoing studies to allow patients with no or Grade ≤2 infusion associated reactions (IARs) to omit premedications at Investigators’ discretion. </w:t>
            </w:r>
          </w:p>
          <w:p w14:paraId="48880FBA" w14:textId="77777777" w:rsidR="000B3C5C" w:rsidRDefault="00ED192D">
            <w:pPr>
              <w:spacing w:after="61" w:line="241" w:lineRule="auto"/>
              <w:ind w:left="0" w:firstLine="0"/>
            </w:pPr>
            <w:r>
              <w:rPr>
                <w:rFonts w:ascii="Arial" w:eastAsia="Arial" w:hAnsi="Arial" w:cs="Arial"/>
                <w:sz w:val="20"/>
              </w:rPr>
              <w:t xml:space="preserve">Montelukast 10 mg orally or equivalent was added as a premedication based on recent references (i, ii, iii) that this addition may decrease incidence and respiratory symptoms of IAR. </w:t>
            </w:r>
          </w:p>
          <w:p w14:paraId="26D03554" w14:textId="77777777" w:rsidR="000B3C5C" w:rsidRDefault="00ED192D">
            <w:pPr>
              <w:spacing w:after="41" w:line="259" w:lineRule="auto"/>
              <w:ind w:left="0" w:firstLine="0"/>
            </w:pPr>
            <w:r>
              <w:rPr>
                <w:rFonts w:ascii="Arial" w:eastAsia="Arial" w:hAnsi="Arial" w:cs="Arial"/>
                <w:sz w:val="20"/>
              </w:rPr>
              <w:t xml:space="preserve">Correction was made in Section 2.3.4 for consistency. </w:t>
            </w:r>
          </w:p>
          <w:p w14:paraId="1C9A9A6E" w14:textId="77777777" w:rsidR="000B3C5C" w:rsidRDefault="00ED192D">
            <w:pPr>
              <w:spacing w:after="41" w:line="259" w:lineRule="auto"/>
              <w:ind w:left="0" w:firstLine="0"/>
            </w:pPr>
            <w:r>
              <w:rPr>
                <w:rFonts w:ascii="Arial" w:eastAsia="Arial" w:hAnsi="Arial" w:cs="Arial"/>
                <w:b/>
                <w:i/>
                <w:sz w:val="20"/>
              </w:rPr>
              <w:t xml:space="preserve">References: </w:t>
            </w:r>
          </w:p>
          <w:p w14:paraId="7223294D" w14:textId="77777777" w:rsidR="000B3C5C" w:rsidRDefault="00ED192D">
            <w:pPr>
              <w:numPr>
                <w:ilvl w:val="0"/>
                <w:numId w:val="91"/>
              </w:numPr>
              <w:spacing w:after="0" w:line="259" w:lineRule="auto"/>
              <w:ind w:firstLine="0"/>
            </w:pPr>
            <w:r>
              <w:rPr>
                <w:rFonts w:ascii="Arial" w:eastAsia="Arial" w:hAnsi="Arial" w:cs="Arial"/>
                <w:i/>
                <w:sz w:val="20"/>
              </w:rPr>
              <w:t xml:space="preserve">Chari A, Mark TM, Krishnan A, Stockerl-Goldstein K, Usmani </w:t>
            </w:r>
          </w:p>
          <w:p w14:paraId="49F469C8" w14:textId="77777777" w:rsidR="000B3C5C" w:rsidRDefault="00ED192D">
            <w:pPr>
              <w:spacing w:after="61" w:line="241" w:lineRule="auto"/>
              <w:ind w:left="0" w:right="5" w:firstLine="0"/>
            </w:pPr>
            <w:r>
              <w:rPr>
                <w:rFonts w:ascii="Arial" w:eastAsia="Arial" w:hAnsi="Arial" w:cs="Arial"/>
                <w:i/>
                <w:sz w:val="20"/>
              </w:rPr>
              <w:t xml:space="preserve">SZ, Londhe A, et al. Use of Montelukast to Reduce Infusion Reactions in an Early Access Program (EAP) of Daratumumab in United States Patients with Relapsed or Refractory Multiple Myeloma [abstract]. Blood. 2016;128:2142. </w:t>
            </w:r>
          </w:p>
          <w:p w14:paraId="408AEC68" w14:textId="77777777" w:rsidR="000B3C5C" w:rsidRDefault="00ED192D">
            <w:pPr>
              <w:numPr>
                <w:ilvl w:val="0"/>
                <w:numId w:val="91"/>
              </w:numPr>
              <w:spacing w:after="0" w:line="259" w:lineRule="auto"/>
              <w:ind w:firstLine="0"/>
            </w:pPr>
            <w:r>
              <w:rPr>
                <w:rFonts w:ascii="Arial" w:eastAsia="Arial" w:hAnsi="Arial" w:cs="Arial"/>
                <w:i/>
                <w:sz w:val="20"/>
              </w:rPr>
              <w:t xml:space="preserve">Nooka AK, Gleason C, Sargeant MO, Walker M, Watson M, </w:t>
            </w:r>
          </w:p>
          <w:p w14:paraId="2C9C27F3" w14:textId="77777777" w:rsidR="000B3C5C" w:rsidRDefault="00ED192D">
            <w:pPr>
              <w:spacing w:after="58" w:line="241" w:lineRule="auto"/>
              <w:ind w:left="0" w:firstLine="0"/>
            </w:pPr>
            <w:r>
              <w:rPr>
                <w:rFonts w:ascii="Arial" w:eastAsia="Arial" w:hAnsi="Arial" w:cs="Arial"/>
                <w:i/>
                <w:sz w:val="20"/>
              </w:rPr>
              <w:t xml:space="preserve">Panjic EH, Lonial S. Managing Infusion Reactions to New Monoclonal Antibodies in Multiple Myeloma: Daratumumab and Elotuzumab. J Oncol Pract. 2018;14(7):414-22. </w:t>
            </w:r>
          </w:p>
          <w:p w14:paraId="7DB56AC4" w14:textId="77777777" w:rsidR="000B3C5C" w:rsidRDefault="00ED192D">
            <w:pPr>
              <w:numPr>
                <w:ilvl w:val="0"/>
                <w:numId w:val="91"/>
              </w:numPr>
              <w:spacing w:after="0" w:line="259" w:lineRule="auto"/>
              <w:ind w:firstLine="0"/>
            </w:pPr>
            <w:r>
              <w:rPr>
                <w:rFonts w:ascii="Arial" w:eastAsia="Arial" w:hAnsi="Arial" w:cs="Arial"/>
                <w:i/>
                <w:sz w:val="20"/>
              </w:rPr>
              <w:t>Reece DE and Phillips MJ.  Infusion Reactions With Monoclonal Antibody Therapy in Myeloma: Learning From Experience.  J Oncol Pract. 2018; 14(7): 425-6.</w:t>
            </w:r>
            <w:r>
              <w:rPr>
                <w:rFonts w:ascii="Arial" w:eastAsia="Arial" w:hAnsi="Arial" w:cs="Arial"/>
                <w:sz w:val="20"/>
              </w:rPr>
              <w:t xml:space="preserve"> </w:t>
            </w:r>
          </w:p>
        </w:tc>
      </w:tr>
      <w:tr w:rsidR="000B3C5C" w14:paraId="5148E604" w14:textId="77777777">
        <w:trPr>
          <w:trHeight w:val="1280"/>
        </w:trPr>
        <w:tc>
          <w:tcPr>
            <w:tcW w:w="1634" w:type="dxa"/>
            <w:tcBorders>
              <w:top w:val="single" w:sz="4" w:space="0" w:color="000000"/>
              <w:left w:val="nil"/>
              <w:bottom w:val="single" w:sz="4" w:space="0" w:color="000000"/>
              <w:right w:val="nil"/>
            </w:tcBorders>
          </w:tcPr>
          <w:p w14:paraId="7DBFF3C4" w14:textId="77777777" w:rsidR="000B3C5C" w:rsidRDefault="00ED192D">
            <w:pPr>
              <w:spacing w:after="0" w:line="259" w:lineRule="auto"/>
              <w:ind w:left="122" w:firstLine="0"/>
            </w:pPr>
            <w:r>
              <w:rPr>
                <w:rFonts w:ascii="Arial" w:eastAsia="Arial" w:hAnsi="Arial" w:cs="Arial"/>
                <w:sz w:val="20"/>
              </w:rPr>
              <w:t xml:space="preserve">1.3 </w:t>
            </w:r>
          </w:p>
          <w:p w14:paraId="47F7AB6D" w14:textId="77777777" w:rsidR="000B3C5C" w:rsidRDefault="00ED192D">
            <w:pPr>
              <w:spacing w:after="2" w:line="239" w:lineRule="auto"/>
              <w:ind w:left="122" w:firstLine="0"/>
            </w:pPr>
            <w:r>
              <w:rPr>
                <w:rFonts w:ascii="Arial" w:eastAsia="Arial" w:hAnsi="Arial" w:cs="Arial"/>
                <w:sz w:val="20"/>
              </w:rPr>
              <w:t xml:space="preserve">Pharmacokinetics and </w:t>
            </w:r>
          </w:p>
          <w:p w14:paraId="03784CCB" w14:textId="77777777" w:rsidR="000B3C5C" w:rsidRDefault="00ED192D">
            <w:pPr>
              <w:spacing w:after="0" w:line="259" w:lineRule="auto"/>
              <w:ind w:left="122" w:firstLine="0"/>
            </w:pPr>
            <w:r>
              <w:rPr>
                <w:rFonts w:ascii="Arial" w:eastAsia="Arial" w:hAnsi="Arial" w:cs="Arial"/>
                <w:sz w:val="20"/>
              </w:rPr>
              <w:t xml:space="preserve">Immunogenicity </w:t>
            </w:r>
          </w:p>
          <w:p w14:paraId="3926B335" w14:textId="77777777" w:rsidR="000B3C5C" w:rsidRDefault="00ED192D">
            <w:pPr>
              <w:spacing w:after="0" w:line="259" w:lineRule="auto"/>
              <w:ind w:left="122" w:firstLine="0"/>
            </w:pPr>
            <w:r>
              <w:rPr>
                <w:rFonts w:ascii="Arial" w:eastAsia="Arial" w:hAnsi="Arial" w:cs="Arial"/>
                <w:sz w:val="20"/>
              </w:rPr>
              <w:t xml:space="preserve">Flow Chart </w:t>
            </w:r>
          </w:p>
        </w:tc>
        <w:tc>
          <w:tcPr>
            <w:tcW w:w="3275" w:type="dxa"/>
            <w:tcBorders>
              <w:top w:val="single" w:sz="4" w:space="0" w:color="000000"/>
              <w:left w:val="nil"/>
              <w:bottom w:val="single" w:sz="4" w:space="0" w:color="000000"/>
              <w:right w:val="nil"/>
            </w:tcBorders>
          </w:tcPr>
          <w:p w14:paraId="1CB5B938" w14:textId="77777777" w:rsidR="000B3C5C" w:rsidRDefault="00ED192D">
            <w:pPr>
              <w:spacing w:after="0" w:line="259" w:lineRule="auto"/>
              <w:ind w:left="0" w:right="141" w:firstLine="0"/>
            </w:pPr>
            <w:r>
              <w:rPr>
                <w:rFonts w:ascii="Arial" w:eastAsia="Arial" w:hAnsi="Arial" w:cs="Arial"/>
                <w:sz w:val="20"/>
              </w:rPr>
              <w:t xml:space="preserve">Specified that PK/ADA sample collection may be reduced upon notification from the Sponsor based on updated knowledge of isatuximab on PK/ADA. </w:t>
            </w:r>
          </w:p>
        </w:tc>
        <w:tc>
          <w:tcPr>
            <w:tcW w:w="4791" w:type="dxa"/>
            <w:tcBorders>
              <w:top w:val="single" w:sz="4" w:space="0" w:color="000000"/>
              <w:left w:val="nil"/>
              <w:bottom w:val="single" w:sz="4" w:space="0" w:color="000000"/>
              <w:right w:val="nil"/>
            </w:tcBorders>
          </w:tcPr>
          <w:p w14:paraId="028F5F55" w14:textId="77777777" w:rsidR="000B3C5C" w:rsidRDefault="00ED192D">
            <w:pPr>
              <w:spacing w:after="0" w:line="259" w:lineRule="auto"/>
              <w:ind w:left="0" w:firstLine="0"/>
            </w:pPr>
            <w:r>
              <w:rPr>
                <w:rFonts w:ascii="Arial" w:eastAsia="Arial" w:hAnsi="Arial" w:cs="Arial"/>
                <w:sz w:val="20"/>
              </w:rPr>
              <w:t xml:space="preserve">To allow flexibility and quick implementation in reducing PK/ADA sampling if updated knowledge becomes available, </w:t>
            </w:r>
          </w:p>
        </w:tc>
      </w:tr>
      <w:tr w:rsidR="000B3C5C" w14:paraId="1A47D5BF" w14:textId="77777777">
        <w:trPr>
          <w:trHeight w:val="1046"/>
        </w:trPr>
        <w:tc>
          <w:tcPr>
            <w:tcW w:w="1634" w:type="dxa"/>
            <w:tcBorders>
              <w:top w:val="single" w:sz="4" w:space="0" w:color="000000"/>
              <w:left w:val="nil"/>
              <w:bottom w:val="single" w:sz="4" w:space="0" w:color="000000"/>
              <w:right w:val="nil"/>
            </w:tcBorders>
          </w:tcPr>
          <w:p w14:paraId="74AD12C0" w14:textId="77777777" w:rsidR="000B3C5C" w:rsidRDefault="00ED192D">
            <w:pPr>
              <w:spacing w:after="0" w:line="259" w:lineRule="auto"/>
              <w:ind w:left="122" w:firstLine="0"/>
            </w:pPr>
            <w:r>
              <w:rPr>
                <w:rFonts w:ascii="Arial" w:eastAsia="Arial" w:hAnsi="Arial" w:cs="Arial"/>
                <w:sz w:val="20"/>
              </w:rPr>
              <w:t xml:space="preserve">2.2.1.3 Epithelial ovarian cancer </w:t>
            </w:r>
          </w:p>
        </w:tc>
        <w:tc>
          <w:tcPr>
            <w:tcW w:w="3275" w:type="dxa"/>
            <w:tcBorders>
              <w:top w:val="single" w:sz="4" w:space="0" w:color="000000"/>
              <w:left w:val="nil"/>
              <w:bottom w:val="single" w:sz="4" w:space="0" w:color="000000"/>
              <w:right w:val="nil"/>
            </w:tcBorders>
          </w:tcPr>
          <w:p w14:paraId="2EB544CA" w14:textId="77777777" w:rsidR="000B3C5C" w:rsidRDefault="00ED192D">
            <w:pPr>
              <w:spacing w:after="0" w:line="259" w:lineRule="auto"/>
              <w:ind w:left="0" w:right="133" w:firstLine="0"/>
            </w:pPr>
            <w:r>
              <w:rPr>
                <w:rFonts w:ascii="Arial" w:eastAsia="Arial" w:hAnsi="Arial" w:cs="Arial"/>
                <w:sz w:val="20"/>
              </w:rPr>
              <w:t xml:space="preserve">Corrected EOC patients should receive no more than 3 lines (instead of 2 lines) of systemic therapy for platinum-sensitive disease for consistency with I14. </w:t>
            </w:r>
          </w:p>
        </w:tc>
        <w:tc>
          <w:tcPr>
            <w:tcW w:w="4791" w:type="dxa"/>
            <w:tcBorders>
              <w:top w:val="single" w:sz="4" w:space="0" w:color="000000"/>
              <w:left w:val="nil"/>
              <w:bottom w:val="single" w:sz="4" w:space="0" w:color="000000"/>
              <w:right w:val="nil"/>
            </w:tcBorders>
          </w:tcPr>
          <w:p w14:paraId="7B1CC894" w14:textId="77777777" w:rsidR="000B3C5C" w:rsidRDefault="00ED192D">
            <w:pPr>
              <w:spacing w:after="0" w:line="259" w:lineRule="auto"/>
              <w:ind w:left="0" w:firstLine="0"/>
            </w:pPr>
            <w:r>
              <w:rPr>
                <w:rFonts w:ascii="Arial" w:eastAsia="Arial" w:hAnsi="Arial" w:cs="Arial"/>
                <w:sz w:val="20"/>
              </w:rPr>
              <w:t xml:space="preserve">Correction of typographical error. </w:t>
            </w:r>
          </w:p>
        </w:tc>
      </w:tr>
    </w:tbl>
    <w:p w14:paraId="50DFBD27" w14:textId="77777777" w:rsidR="000B3C5C" w:rsidRDefault="000B3C5C">
      <w:pPr>
        <w:spacing w:after="0" w:line="259" w:lineRule="auto"/>
        <w:ind w:left="-1587" w:right="11053" w:firstLine="0"/>
      </w:pPr>
    </w:p>
    <w:tbl>
      <w:tblPr>
        <w:tblStyle w:val="TableGrid"/>
        <w:tblW w:w="9700" w:type="dxa"/>
        <w:tblInd w:w="-122" w:type="dxa"/>
        <w:tblCellMar>
          <w:top w:w="107" w:type="dxa"/>
          <w:left w:w="0" w:type="dxa"/>
          <w:bottom w:w="0" w:type="dxa"/>
          <w:right w:w="84" w:type="dxa"/>
        </w:tblCellMar>
        <w:tblLook w:val="04A0" w:firstRow="1" w:lastRow="0" w:firstColumn="1" w:lastColumn="0" w:noHBand="0" w:noVBand="1"/>
      </w:tblPr>
      <w:tblGrid>
        <w:gridCol w:w="1634"/>
        <w:gridCol w:w="3275"/>
        <w:gridCol w:w="4791"/>
      </w:tblGrid>
      <w:tr w:rsidR="000B3C5C" w14:paraId="005C62E2" w14:textId="77777777">
        <w:trPr>
          <w:trHeight w:val="590"/>
        </w:trPr>
        <w:tc>
          <w:tcPr>
            <w:tcW w:w="1634" w:type="dxa"/>
            <w:tcBorders>
              <w:top w:val="single" w:sz="4" w:space="0" w:color="000000"/>
              <w:left w:val="nil"/>
              <w:bottom w:val="single" w:sz="4" w:space="0" w:color="000000"/>
              <w:right w:val="nil"/>
            </w:tcBorders>
          </w:tcPr>
          <w:p w14:paraId="326866EC" w14:textId="77777777" w:rsidR="000B3C5C" w:rsidRDefault="00ED192D">
            <w:pPr>
              <w:spacing w:after="0" w:line="259" w:lineRule="auto"/>
              <w:ind w:left="122" w:right="131" w:firstLine="0"/>
              <w:jc w:val="both"/>
            </w:pPr>
            <w:r>
              <w:rPr>
                <w:rFonts w:ascii="Arial" w:eastAsia="Arial" w:hAnsi="Arial" w:cs="Arial"/>
                <w:b/>
                <w:sz w:val="20"/>
              </w:rPr>
              <w:t xml:space="preserve">Section # and Name </w:t>
            </w:r>
          </w:p>
        </w:tc>
        <w:tc>
          <w:tcPr>
            <w:tcW w:w="3275" w:type="dxa"/>
            <w:tcBorders>
              <w:top w:val="single" w:sz="4" w:space="0" w:color="000000"/>
              <w:left w:val="nil"/>
              <w:bottom w:val="single" w:sz="4" w:space="0" w:color="000000"/>
              <w:right w:val="nil"/>
            </w:tcBorders>
          </w:tcPr>
          <w:p w14:paraId="6A4138D5" w14:textId="77777777" w:rsidR="000B3C5C" w:rsidRDefault="00ED192D">
            <w:pPr>
              <w:spacing w:after="0" w:line="259" w:lineRule="auto"/>
              <w:ind w:left="0" w:firstLine="0"/>
            </w:pPr>
            <w:r>
              <w:rPr>
                <w:rFonts w:ascii="Arial" w:eastAsia="Arial" w:hAnsi="Arial" w:cs="Arial"/>
                <w:b/>
                <w:sz w:val="20"/>
              </w:rPr>
              <w:t xml:space="preserve">Description of Change </w:t>
            </w:r>
          </w:p>
        </w:tc>
        <w:tc>
          <w:tcPr>
            <w:tcW w:w="4791" w:type="dxa"/>
            <w:tcBorders>
              <w:top w:val="single" w:sz="4" w:space="0" w:color="000000"/>
              <w:left w:val="nil"/>
              <w:bottom w:val="single" w:sz="4" w:space="0" w:color="000000"/>
              <w:right w:val="nil"/>
            </w:tcBorders>
          </w:tcPr>
          <w:p w14:paraId="632E400F" w14:textId="77777777" w:rsidR="000B3C5C" w:rsidRDefault="00ED192D">
            <w:pPr>
              <w:spacing w:after="0" w:line="259" w:lineRule="auto"/>
              <w:ind w:left="0" w:firstLine="0"/>
            </w:pPr>
            <w:r>
              <w:rPr>
                <w:rFonts w:ascii="Arial" w:eastAsia="Arial" w:hAnsi="Arial" w:cs="Arial"/>
                <w:b/>
                <w:sz w:val="20"/>
              </w:rPr>
              <w:t xml:space="preserve">Brief Rationale </w:t>
            </w:r>
          </w:p>
        </w:tc>
      </w:tr>
      <w:tr w:rsidR="000B3C5C" w14:paraId="5D34CC63" w14:textId="77777777">
        <w:trPr>
          <w:trHeight w:val="2026"/>
        </w:trPr>
        <w:tc>
          <w:tcPr>
            <w:tcW w:w="1634" w:type="dxa"/>
            <w:tcBorders>
              <w:top w:val="single" w:sz="4" w:space="0" w:color="000000"/>
              <w:left w:val="nil"/>
              <w:bottom w:val="single" w:sz="4" w:space="0" w:color="000000"/>
              <w:right w:val="nil"/>
            </w:tcBorders>
            <w:vAlign w:val="center"/>
          </w:tcPr>
          <w:p w14:paraId="734A2D00" w14:textId="77777777" w:rsidR="000B3C5C" w:rsidRDefault="00ED192D">
            <w:pPr>
              <w:spacing w:after="61" w:line="241" w:lineRule="auto"/>
              <w:ind w:left="122" w:firstLine="0"/>
            </w:pPr>
            <w:r>
              <w:rPr>
                <w:rFonts w:ascii="Arial" w:eastAsia="Arial" w:hAnsi="Arial" w:cs="Arial"/>
                <w:sz w:val="20"/>
              </w:rPr>
              <w:t xml:space="preserve">2.3.4 Preventive measures to minimize the risk from the combination </w:t>
            </w:r>
          </w:p>
          <w:p w14:paraId="7FAD3BFA" w14:textId="77777777" w:rsidR="000B3C5C" w:rsidRDefault="00ED192D">
            <w:pPr>
              <w:spacing w:after="0" w:line="259" w:lineRule="auto"/>
              <w:ind w:left="122" w:firstLine="0"/>
            </w:pPr>
            <w:r>
              <w:rPr>
                <w:rFonts w:ascii="Arial" w:eastAsia="Arial" w:hAnsi="Arial" w:cs="Arial"/>
                <w:sz w:val="20"/>
              </w:rPr>
              <w:t xml:space="preserve">5.2 Exclusion </w:t>
            </w:r>
          </w:p>
          <w:p w14:paraId="33E2F250" w14:textId="77777777" w:rsidR="000B3C5C" w:rsidRDefault="00ED192D">
            <w:pPr>
              <w:spacing w:after="0" w:line="259" w:lineRule="auto"/>
              <w:ind w:left="122" w:firstLine="0"/>
            </w:pPr>
            <w:r>
              <w:rPr>
                <w:rFonts w:ascii="Arial" w:eastAsia="Arial" w:hAnsi="Arial" w:cs="Arial"/>
                <w:sz w:val="20"/>
              </w:rPr>
              <w:t xml:space="preserve">Criteria </w:t>
            </w:r>
          </w:p>
        </w:tc>
        <w:tc>
          <w:tcPr>
            <w:tcW w:w="3275" w:type="dxa"/>
            <w:tcBorders>
              <w:top w:val="single" w:sz="4" w:space="0" w:color="000000"/>
              <w:left w:val="nil"/>
              <w:bottom w:val="single" w:sz="4" w:space="0" w:color="000000"/>
              <w:right w:val="nil"/>
            </w:tcBorders>
          </w:tcPr>
          <w:p w14:paraId="2476B0B8" w14:textId="77777777" w:rsidR="000B3C5C" w:rsidRDefault="00ED192D">
            <w:pPr>
              <w:spacing w:after="58" w:line="241" w:lineRule="auto"/>
              <w:ind w:left="0" w:firstLine="0"/>
            </w:pPr>
            <w:r>
              <w:rPr>
                <w:rFonts w:ascii="Arial" w:eastAsia="Arial" w:hAnsi="Arial" w:cs="Arial"/>
                <w:sz w:val="20"/>
              </w:rPr>
              <w:t xml:space="preserve">“Inhaled or topical steroids are permitted, provided that they are not for treatment of an autoimmune disorder” was removed from Section 2.3.4 and E05. </w:t>
            </w:r>
          </w:p>
          <w:p w14:paraId="78664B85" w14:textId="77777777" w:rsidR="000B3C5C" w:rsidRDefault="00ED192D">
            <w:pPr>
              <w:spacing w:after="0" w:line="259" w:lineRule="auto"/>
              <w:ind w:left="0" w:right="59" w:firstLine="0"/>
            </w:pPr>
            <w:r>
              <w:rPr>
                <w:rFonts w:ascii="Arial" w:eastAsia="Arial" w:hAnsi="Arial" w:cs="Arial"/>
                <w:sz w:val="20"/>
              </w:rPr>
              <w:t xml:space="preserve">Specified that the exclusion of patients with comorbidity requiring corticosteroid therapy refers to systemic corticosteroid therapy only. </w:t>
            </w:r>
          </w:p>
        </w:tc>
        <w:tc>
          <w:tcPr>
            <w:tcW w:w="4791" w:type="dxa"/>
            <w:tcBorders>
              <w:top w:val="single" w:sz="4" w:space="0" w:color="000000"/>
              <w:left w:val="nil"/>
              <w:bottom w:val="single" w:sz="4" w:space="0" w:color="000000"/>
              <w:right w:val="nil"/>
            </w:tcBorders>
          </w:tcPr>
          <w:p w14:paraId="076C34DE" w14:textId="77777777" w:rsidR="000B3C5C" w:rsidRDefault="00ED192D">
            <w:pPr>
              <w:spacing w:after="0" w:line="259" w:lineRule="auto"/>
              <w:ind w:left="0" w:firstLine="0"/>
            </w:pPr>
            <w:r>
              <w:rPr>
                <w:rFonts w:ascii="Arial" w:eastAsia="Arial" w:hAnsi="Arial" w:cs="Arial"/>
                <w:sz w:val="20"/>
              </w:rPr>
              <w:t xml:space="preserve">Clarification - </w:t>
            </w:r>
            <w:r>
              <w:rPr>
                <w:rFonts w:ascii="Arial" w:eastAsia="Arial" w:hAnsi="Arial" w:cs="Arial"/>
                <w:sz w:val="20"/>
              </w:rPr>
              <w:t xml:space="preserve">as participants with active, known or suspected autoimmune disorder are ineligible per E26. </w:t>
            </w:r>
          </w:p>
        </w:tc>
      </w:tr>
      <w:tr w:rsidR="000B3C5C" w14:paraId="211C3956" w14:textId="77777777">
        <w:trPr>
          <w:trHeight w:val="1277"/>
        </w:trPr>
        <w:tc>
          <w:tcPr>
            <w:tcW w:w="1634" w:type="dxa"/>
            <w:tcBorders>
              <w:top w:val="single" w:sz="4" w:space="0" w:color="000000"/>
              <w:left w:val="nil"/>
              <w:bottom w:val="single" w:sz="4" w:space="0" w:color="000000"/>
              <w:right w:val="nil"/>
            </w:tcBorders>
          </w:tcPr>
          <w:p w14:paraId="4D91E474" w14:textId="77777777" w:rsidR="000B3C5C" w:rsidRDefault="00ED192D">
            <w:pPr>
              <w:spacing w:after="0" w:line="259" w:lineRule="auto"/>
              <w:ind w:left="122" w:firstLine="0"/>
            </w:pPr>
            <w:r>
              <w:rPr>
                <w:rFonts w:ascii="Arial" w:eastAsia="Arial" w:hAnsi="Arial" w:cs="Arial"/>
                <w:sz w:val="20"/>
              </w:rPr>
              <w:t xml:space="preserve">4.1.2 Phase 2 (efficacy signal search with a 2stage design in each cohort) </w:t>
            </w:r>
          </w:p>
        </w:tc>
        <w:tc>
          <w:tcPr>
            <w:tcW w:w="3275" w:type="dxa"/>
            <w:tcBorders>
              <w:top w:val="single" w:sz="4" w:space="0" w:color="000000"/>
              <w:left w:val="nil"/>
              <w:bottom w:val="single" w:sz="4" w:space="0" w:color="000000"/>
              <w:right w:val="nil"/>
            </w:tcBorders>
          </w:tcPr>
          <w:p w14:paraId="70F624F5" w14:textId="77777777" w:rsidR="000B3C5C" w:rsidRDefault="00ED192D">
            <w:pPr>
              <w:spacing w:after="0" w:line="259" w:lineRule="auto"/>
              <w:ind w:left="0" w:firstLine="0"/>
            </w:pPr>
            <w:r>
              <w:rPr>
                <w:rFonts w:ascii="Arial" w:eastAsia="Arial" w:hAnsi="Arial" w:cs="Arial"/>
                <w:sz w:val="20"/>
              </w:rPr>
              <w:t xml:space="preserve">Removed duplicated text regarding timing of observed responses before proceeding to Stage 2. </w:t>
            </w:r>
          </w:p>
        </w:tc>
        <w:tc>
          <w:tcPr>
            <w:tcW w:w="4791" w:type="dxa"/>
            <w:tcBorders>
              <w:top w:val="single" w:sz="4" w:space="0" w:color="000000"/>
              <w:left w:val="nil"/>
              <w:bottom w:val="single" w:sz="4" w:space="0" w:color="000000"/>
              <w:right w:val="nil"/>
            </w:tcBorders>
          </w:tcPr>
          <w:p w14:paraId="2DF4BDA5" w14:textId="77777777" w:rsidR="000B3C5C" w:rsidRDefault="00ED192D">
            <w:pPr>
              <w:spacing w:after="0" w:line="259" w:lineRule="auto"/>
              <w:ind w:left="0" w:firstLine="0"/>
            </w:pPr>
            <w:r>
              <w:rPr>
                <w:rFonts w:ascii="Arial" w:eastAsia="Arial" w:hAnsi="Arial" w:cs="Arial"/>
                <w:sz w:val="20"/>
              </w:rPr>
              <w:t xml:space="preserve">Original wording created confusion. The deletion also removes unnecessary duplication, as this is covered in Section 9.5. </w:t>
            </w:r>
          </w:p>
        </w:tc>
      </w:tr>
      <w:tr w:rsidR="000B3C5C" w14:paraId="56B3148A" w14:textId="77777777">
        <w:trPr>
          <w:trHeight w:val="1507"/>
        </w:trPr>
        <w:tc>
          <w:tcPr>
            <w:tcW w:w="1634" w:type="dxa"/>
            <w:tcBorders>
              <w:top w:val="single" w:sz="4" w:space="0" w:color="000000"/>
              <w:left w:val="nil"/>
              <w:bottom w:val="single" w:sz="4" w:space="0" w:color="000000"/>
              <w:right w:val="nil"/>
            </w:tcBorders>
          </w:tcPr>
          <w:p w14:paraId="52D05C47" w14:textId="77777777" w:rsidR="000B3C5C" w:rsidRDefault="00ED192D">
            <w:pPr>
              <w:spacing w:after="0" w:line="259" w:lineRule="auto"/>
              <w:ind w:left="122" w:firstLine="0"/>
            </w:pPr>
            <w:r>
              <w:rPr>
                <w:rFonts w:ascii="Arial" w:eastAsia="Arial" w:hAnsi="Arial" w:cs="Arial"/>
                <w:sz w:val="20"/>
              </w:rPr>
              <w:t xml:space="preserve">5.1 Inclusion </w:t>
            </w:r>
          </w:p>
          <w:p w14:paraId="1E70E6F0" w14:textId="77777777" w:rsidR="000B3C5C" w:rsidRDefault="00ED192D">
            <w:pPr>
              <w:spacing w:after="0" w:line="259" w:lineRule="auto"/>
              <w:ind w:left="122" w:firstLine="0"/>
            </w:pPr>
            <w:r>
              <w:rPr>
                <w:rFonts w:ascii="Arial" w:eastAsia="Arial" w:hAnsi="Arial" w:cs="Arial"/>
                <w:sz w:val="20"/>
              </w:rPr>
              <w:t xml:space="preserve">Criteria </w:t>
            </w:r>
          </w:p>
        </w:tc>
        <w:tc>
          <w:tcPr>
            <w:tcW w:w="3275" w:type="dxa"/>
            <w:tcBorders>
              <w:top w:val="single" w:sz="4" w:space="0" w:color="000000"/>
              <w:left w:val="nil"/>
              <w:bottom w:val="single" w:sz="4" w:space="0" w:color="000000"/>
              <w:right w:val="nil"/>
            </w:tcBorders>
          </w:tcPr>
          <w:p w14:paraId="6C58422D" w14:textId="77777777" w:rsidR="000B3C5C" w:rsidRDefault="00ED192D">
            <w:pPr>
              <w:spacing w:after="0" w:line="259" w:lineRule="auto"/>
              <w:ind w:left="0" w:right="133" w:firstLine="0"/>
            </w:pPr>
            <w:r>
              <w:rPr>
                <w:rFonts w:ascii="Arial" w:eastAsia="Arial" w:hAnsi="Arial" w:cs="Arial"/>
                <w:sz w:val="20"/>
              </w:rPr>
              <w:t xml:space="preserve">Corrected “radiatherapy" to “radiotherapy” in I11.  Also, corrected “after a diagnosis of recurrent SCCHN” to “after a diagnosis of recurrent and/or metastatic SCCHN” for consistency with other eligibility criteria. </w:t>
            </w:r>
          </w:p>
        </w:tc>
        <w:tc>
          <w:tcPr>
            <w:tcW w:w="4791" w:type="dxa"/>
            <w:tcBorders>
              <w:top w:val="single" w:sz="4" w:space="0" w:color="000000"/>
              <w:left w:val="nil"/>
              <w:bottom w:val="single" w:sz="4" w:space="0" w:color="000000"/>
              <w:right w:val="nil"/>
            </w:tcBorders>
          </w:tcPr>
          <w:p w14:paraId="10EFB302" w14:textId="77777777" w:rsidR="000B3C5C" w:rsidRDefault="00ED192D">
            <w:pPr>
              <w:spacing w:after="0" w:line="259" w:lineRule="auto"/>
              <w:ind w:left="0" w:firstLine="0"/>
            </w:pPr>
            <w:r>
              <w:rPr>
                <w:rFonts w:ascii="Arial" w:eastAsia="Arial" w:hAnsi="Arial" w:cs="Arial"/>
                <w:sz w:val="20"/>
              </w:rPr>
              <w:t xml:space="preserve">Correction of typographical error, and the incorrect omission of “and/or metastatic” SCCHN. </w:t>
            </w:r>
          </w:p>
        </w:tc>
      </w:tr>
      <w:tr w:rsidR="000B3C5C" w14:paraId="0AD6557F" w14:textId="77777777">
        <w:trPr>
          <w:trHeight w:val="2196"/>
        </w:trPr>
        <w:tc>
          <w:tcPr>
            <w:tcW w:w="1634" w:type="dxa"/>
            <w:tcBorders>
              <w:top w:val="single" w:sz="4" w:space="0" w:color="000000"/>
              <w:left w:val="nil"/>
              <w:bottom w:val="single" w:sz="4" w:space="0" w:color="000000"/>
              <w:right w:val="nil"/>
            </w:tcBorders>
          </w:tcPr>
          <w:p w14:paraId="2F27D08B" w14:textId="77777777" w:rsidR="000B3C5C" w:rsidRDefault="00ED192D">
            <w:pPr>
              <w:spacing w:after="0" w:line="259" w:lineRule="auto"/>
              <w:ind w:left="122" w:firstLine="0"/>
            </w:pPr>
            <w:r>
              <w:rPr>
                <w:rFonts w:ascii="Arial" w:eastAsia="Arial" w:hAnsi="Arial" w:cs="Arial"/>
                <w:sz w:val="20"/>
              </w:rPr>
              <w:t xml:space="preserve">5.1 Inclusion </w:t>
            </w:r>
          </w:p>
          <w:p w14:paraId="2578393E" w14:textId="77777777" w:rsidR="000B3C5C" w:rsidRDefault="00ED192D">
            <w:pPr>
              <w:spacing w:after="0" w:line="259" w:lineRule="auto"/>
              <w:ind w:left="122" w:firstLine="0"/>
            </w:pPr>
            <w:r>
              <w:rPr>
                <w:rFonts w:ascii="Arial" w:eastAsia="Arial" w:hAnsi="Arial" w:cs="Arial"/>
                <w:sz w:val="20"/>
              </w:rPr>
              <w:t xml:space="preserve">Criteria </w:t>
            </w:r>
          </w:p>
        </w:tc>
        <w:tc>
          <w:tcPr>
            <w:tcW w:w="3275" w:type="dxa"/>
            <w:tcBorders>
              <w:top w:val="single" w:sz="4" w:space="0" w:color="000000"/>
              <w:left w:val="nil"/>
              <w:bottom w:val="single" w:sz="4" w:space="0" w:color="000000"/>
              <w:right w:val="nil"/>
            </w:tcBorders>
          </w:tcPr>
          <w:p w14:paraId="1038C3B6" w14:textId="77777777" w:rsidR="000B3C5C" w:rsidRDefault="00ED192D">
            <w:pPr>
              <w:spacing w:after="0" w:line="259" w:lineRule="auto"/>
              <w:ind w:left="0" w:right="73" w:firstLine="0"/>
            </w:pPr>
            <w:r>
              <w:rPr>
                <w:rFonts w:ascii="Arial" w:eastAsia="Arial" w:hAnsi="Arial" w:cs="Arial"/>
                <w:sz w:val="20"/>
              </w:rPr>
              <w:t xml:space="preserve">The phrase in I16 “unless the recurrence is outside the radiation field or there is unequivocal histologic confirmation of tumor progression” is replaced with “PD occurred within 12 weeks from completion of irradiation can only be defined by (1) new enhancement outside of the radiation field, or (2) unequivocal histological confirmation.”. </w:t>
            </w:r>
          </w:p>
        </w:tc>
        <w:tc>
          <w:tcPr>
            <w:tcW w:w="4791" w:type="dxa"/>
            <w:tcBorders>
              <w:top w:val="single" w:sz="4" w:space="0" w:color="000000"/>
              <w:left w:val="nil"/>
              <w:bottom w:val="single" w:sz="4" w:space="0" w:color="000000"/>
              <w:right w:val="nil"/>
            </w:tcBorders>
          </w:tcPr>
          <w:p w14:paraId="6CB8DBD4" w14:textId="77777777" w:rsidR="000B3C5C" w:rsidRDefault="00ED192D">
            <w:pPr>
              <w:spacing w:after="0" w:line="259" w:lineRule="auto"/>
              <w:ind w:left="0" w:firstLine="0"/>
            </w:pPr>
            <w:r>
              <w:rPr>
                <w:rFonts w:ascii="Arial" w:eastAsia="Arial" w:hAnsi="Arial" w:cs="Arial"/>
                <w:sz w:val="20"/>
              </w:rPr>
              <w:t xml:space="preserve">Original wording in I16 created confusion. This eligibility criterion is clarified to improve study sites’ understanding without changing the patient population. </w:t>
            </w:r>
          </w:p>
        </w:tc>
      </w:tr>
      <w:tr w:rsidR="000B3C5C" w14:paraId="525C204F" w14:textId="77777777">
        <w:trPr>
          <w:trHeight w:val="2714"/>
        </w:trPr>
        <w:tc>
          <w:tcPr>
            <w:tcW w:w="1634" w:type="dxa"/>
            <w:tcBorders>
              <w:top w:val="single" w:sz="4" w:space="0" w:color="000000"/>
              <w:left w:val="nil"/>
              <w:bottom w:val="single" w:sz="4" w:space="0" w:color="000000"/>
              <w:right w:val="nil"/>
            </w:tcBorders>
          </w:tcPr>
          <w:p w14:paraId="5B9A97D1" w14:textId="77777777" w:rsidR="000B3C5C" w:rsidRDefault="00ED192D">
            <w:pPr>
              <w:spacing w:after="58" w:line="241" w:lineRule="auto"/>
              <w:ind w:left="122" w:firstLine="0"/>
            </w:pPr>
            <w:r>
              <w:rPr>
                <w:rFonts w:ascii="Arial" w:eastAsia="Arial" w:hAnsi="Arial" w:cs="Arial"/>
                <w:sz w:val="20"/>
              </w:rPr>
              <w:t xml:space="preserve">5.1 Inclusion Criteria </w:t>
            </w:r>
          </w:p>
          <w:p w14:paraId="54BF0CFC" w14:textId="77777777" w:rsidR="000B3C5C" w:rsidRDefault="00ED192D">
            <w:pPr>
              <w:spacing w:after="0" w:line="259" w:lineRule="auto"/>
              <w:ind w:left="122" w:firstLine="0"/>
            </w:pPr>
            <w:r>
              <w:rPr>
                <w:rFonts w:ascii="Arial" w:eastAsia="Arial" w:hAnsi="Arial" w:cs="Arial"/>
                <w:sz w:val="20"/>
              </w:rPr>
              <w:t xml:space="preserve"> </w:t>
            </w:r>
          </w:p>
          <w:p w14:paraId="4061F424" w14:textId="77777777" w:rsidR="000B3C5C" w:rsidRDefault="00ED192D">
            <w:pPr>
              <w:spacing w:after="0" w:line="259" w:lineRule="auto"/>
              <w:ind w:left="122" w:firstLine="0"/>
            </w:pPr>
            <w:r>
              <w:rPr>
                <w:rFonts w:ascii="Arial" w:eastAsia="Arial" w:hAnsi="Arial" w:cs="Arial"/>
                <w:sz w:val="20"/>
              </w:rPr>
              <w:t xml:space="preserve"> </w:t>
            </w:r>
          </w:p>
          <w:p w14:paraId="08DFE5B1" w14:textId="77777777" w:rsidR="000B3C5C" w:rsidRDefault="00ED192D">
            <w:pPr>
              <w:spacing w:after="0" w:line="259" w:lineRule="auto"/>
              <w:ind w:left="122" w:firstLine="0"/>
            </w:pPr>
            <w:r>
              <w:rPr>
                <w:rFonts w:ascii="Arial" w:eastAsia="Arial" w:hAnsi="Arial" w:cs="Arial"/>
                <w:sz w:val="20"/>
              </w:rPr>
              <w:t xml:space="preserve">Section 10.8 </w:t>
            </w:r>
          </w:p>
        </w:tc>
        <w:tc>
          <w:tcPr>
            <w:tcW w:w="3275" w:type="dxa"/>
            <w:tcBorders>
              <w:top w:val="single" w:sz="4" w:space="0" w:color="000000"/>
              <w:left w:val="nil"/>
              <w:bottom w:val="single" w:sz="4" w:space="0" w:color="000000"/>
              <w:right w:val="nil"/>
            </w:tcBorders>
          </w:tcPr>
          <w:p w14:paraId="107B7E43" w14:textId="77777777" w:rsidR="000B3C5C" w:rsidRDefault="00ED192D">
            <w:pPr>
              <w:spacing w:after="58" w:line="241" w:lineRule="auto"/>
              <w:ind w:left="0" w:right="40" w:firstLine="0"/>
            </w:pPr>
            <w:r>
              <w:rPr>
                <w:rFonts w:ascii="Arial" w:eastAsia="Arial" w:hAnsi="Arial" w:cs="Arial"/>
                <w:sz w:val="20"/>
              </w:rPr>
              <w:t xml:space="preserve">I14 was clarified that only patients with resistant-refractory disease are eligible for EOC cohort, for consistency with the rest of the protocol. </w:t>
            </w:r>
          </w:p>
          <w:p w14:paraId="6CA78456" w14:textId="77777777" w:rsidR="000B3C5C" w:rsidRDefault="00ED192D">
            <w:pPr>
              <w:spacing w:after="0" w:line="259" w:lineRule="auto"/>
              <w:ind w:left="0" w:right="86" w:firstLine="0"/>
            </w:pPr>
            <w:r>
              <w:rPr>
                <w:rFonts w:ascii="Arial" w:eastAsia="Arial" w:hAnsi="Arial" w:cs="Arial"/>
                <w:sz w:val="20"/>
              </w:rPr>
              <w:t xml:space="preserve">France only Amendment: I14 was modified to enroll EOC patients who have received or failed 1 line of anti-cancer therapy for platinum-resistant/refractory disease (unless patients are ineligible or intolerant to standard of care for platinum resistant/refractory disease). </w:t>
            </w:r>
          </w:p>
        </w:tc>
        <w:tc>
          <w:tcPr>
            <w:tcW w:w="4791" w:type="dxa"/>
            <w:tcBorders>
              <w:top w:val="single" w:sz="4" w:space="0" w:color="000000"/>
              <w:left w:val="nil"/>
              <w:bottom w:val="single" w:sz="4" w:space="0" w:color="000000"/>
              <w:right w:val="nil"/>
            </w:tcBorders>
          </w:tcPr>
          <w:p w14:paraId="718CD9B1" w14:textId="77777777" w:rsidR="000B3C5C" w:rsidRDefault="00ED192D">
            <w:pPr>
              <w:spacing w:after="41" w:line="259" w:lineRule="auto"/>
              <w:ind w:left="0" w:firstLine="0"/>
            </w:pPr>
            <w:r>
              <w:rPr>
                <w:rFonts w:ascii="Arial" w:eastAsia="Arial" w:hAnsi="Arial" w:cs="Arial"/>
                <w:sz w:val="20"/>
              </w:rPr>
              <w:t xml:space="preserve">Clarification. </w:t>
            </w:r>
          </w:p>
          <w:p w14:paraId="43883E48" w14:textId="77777777" w:rsidR="000B3C5C" w:rsidRDefault="00ED192D">
            <w:pPr>
              <w:spacing w:after="0" w:line="259" w:lineRule="auto"/>
              <w:ind w:left="0" w:firstLine="0"/>
            </w:pPr>
            <w:r>
              <w:rPr>
                <w:rFonts w:ascii="Arial" w:eastAsia="Arial" w:hAnsi="Arial" w:cs="Arial"/>
                <w:sz w:val="20"/>
              </w:rPr>
              <w:t xml:space="preserve"> </w:t>
            </w:r>
          </w:p>
          <w:p w14:paraId="5CCA280C" w14:textId="77777777" w:rsidR="000B3C5C" w:rsidRDefault="00ED192D">
            <w:pPr>
              <w:spacing w:after="0" w:line="259" w:lineRule="auto"/>
              <w:ind w:left="0" w:firstLine="0"/>
            </w:pPr>
            <w:r>
              <w:rPr>
                <w:rFonts w:ascii="Arial" w:eastAsia="Arial" w:hAnsi="Arial" w:cs="Arial"/>
                <w:sz w:val="20"/>
              </w:rPr>
              <w:t xml:space="preserve"> </w:t>
            </w:r>
          </w:p>
          <w:p w14:paraId="526F30AC" w14:textId="77777777" w:rsidR="000B3C5C" w:rsidRDefault="00ED192D">
            <w:pPr>
              <w:spacing w:after="0" w:line="259" w:lineRule="auto"/>
              <w:ind w:left="0" w:firstLine="0"/>
            </w:pPr>
            <w:r>
              <w:rPr>
                <w:rFonts w:ascii="Arial" w:eastAsia="Arial" w:hAnsi="Arial" w:cs="Arial"/>
                <w:sz w:val="20"/>
              </w:rPr>
              <w:t xml:space="preserve"> </w:t>
            </w:r>
          </w:p>
          <w:p w14:paraId="0EAB07EF" w14:textId="77777777" w:rsidR="000B3C5C" w:rsidRDefault="00ED192D">
            <w:pPr>
              <w:spacing w:after="0" w:line="259" w:lineRule="auto"/>
              <w:ind w:left="0" w:firstLine="0"/>
            </w:pPr>
            <w:r>
              <w:rPr>
                <w:rFonts w:ascii="Arial" w:eastAsia="Arial" w:hAnsi="Arial" w:cs="Arial"/>
                <w:sz w:val="20"/>
              </w:rPr>
              <w:t xml:space="preserve">While the EOC Treatment Guidelines recommend clinical trials, chemotherapy, or targeted therapy for patients with platinumresistant/refractory disease, patients in France will receive (unless ineligible or intolerant to) one other available therapy before joining this study. </w:t>
            </w:r>
          </w:p>
        </w:tc>
      </w:tr>
      <w:tr w:rsidR="000B3C5C" w14:paraId="75A690D4" w14:textId="77777777">
        <w:trPr>
          <w:trHeight w:val="1568"/>
        </w:trPr>
        <w:tc>
          <w:tcPr>
            <w:tcW w:w="1634" w:type="dxa"/>
            <w:tcBorders>
              <w:top w:val="single" w:sz="4" w:space="0" w:color="000000"/>
              <w:left w:val="nil"/>
              <w:bottom w:val="single" w:sz="4" w:space="0" w:color="000000"/>
              <w:right w:val="nil"/>
            </w:tcBorders>
          </w:tcPr>
          <w:p w14:paraId="3350514A" w14:textId="77777777" w:rsidR="000B3C5C" w:rsidRDefault="00ED192D">
            <w:pPr>
              <w:spacing w:after="58" w:line="241" w:lineRule="auto"/>
              <w:ind w:left="122" w:firstLine="0"/>
            </w:pPr>
            <w:r>
              <w:rPr>
                <w:rFonts w:ascii="Arial" w:eastAsia="Arial" w:hAnsi="Arial" w:cs="Arial"/>
                <w:sz w:val="20"/>
              </w:rPr>
              <w:t xml:space="preserve">5.2 Exclusion Criteria </w:t>
            </w:r>
          </w:p>
          <w:p w14:paraId="2B4B4E83" w14:textId="77777777" w:rsidR="000B3C5C" w:rsidRDefault="00ED192D">
            <w:pPr>
              <w:spacing w:after="0" w:line="259" w:lineRule="auto"/>
              <w:ind w:left="122" w:firstLine="0"/>
            </w:pPr>
            <w:r>
              <w:rPr>
                <w:rFonts w:ascii="Arial" w:eastAsia="Arial" w:hAnsi="Arial" w:cs="Arial"/>
                <w:sz w:val="20"/>
              </w:rPr>
              <w:t xml:space="preserve">Section 10.22 </w:t>
            </w:r>
          </w:p>
        </w:tc>
        <w:tc>
          <w:tcPr>
            <w:tcW w:w="3275" w:type="dxa"/>
            <w:tcBorders>
              <w:top w:val="single" w:sz="4" w:space="0" w:color="000000"/>
              <w:left w:val="nil"/>
              <w:bottom w:val="single" w:sz="4" w:space="0" w:color="000000"/>
              <w:right w:val="nil"/>
            </w:tcBorders>
          </w:tcPr>
          <w:p w14:paraId="030FCE23" w14:textId="77777777" w:rsidR="000B3C5C" w:rsidRDefault="00ED192D">
            <w:pPr>
              <w:spacing w:after="58" w:line="241" w:lineRule="auto"/>
              <w:ind w:left="0" w:right="39" w:firstLine="0"/>
            </w:pPr>
            <w:r>
              <w:rPr>
                <w:rFonts w:ascii="Arial" w:eastAsia="Arial" w:hAnsi="Arial" w:cs="Arial"/>
                <w:sz w:val="20"/>
              </w:rPr>
              <w:t xml:space="preserve">Added a new criterion (E36) to exclude patients with known untreated current hepatitis C (HCV) virus (subsequent criteria renumbered accordingly). </w:t>
            </w:r>
          </w:p>
          <w:p w14:paraId="1063C054" w14:textId="77777777" w:rsidR="000B3C5C" w:rsidRDefault="00ED192D">
            <w:pPr>
              <w:spacing w:after="0" w:line="259" w:lineRule="auto"/>
              <w:ind w:left="0" w:firstLine="0"/>
            </w:pPr>
            <w:r>
              <w:rPr>
                <w:rFonts w:ascii="Arial" w:eastAsia="Arial" w:hAnsi="Arial" w:cs="Arial"/>
                <w:sz w:val="20"/>
              </w:rPr>
              <w:t xml:space="preserve">Added guidelines of patients with HCV infection. </w:t>
            </w:r>
          </w:p>
        </w:tc>
        <w:tc>
          <w:tcPr>
            <w:tcW w:w="4791" w:type="dxa"/>
            <w:tcBorders>
              <w:top w:val="single" w:sz="4" w:space="0" w:color="000000"/>
              <w:left w:val="nil"/>
              <w:bottom w:val="single" w:sz="4" w:space="0" w:color="000000"/>
              <w:right w:val="nil"/>
            </w:tcBorders>
          </w:tcPr>
          <w:p w14:paraId="5DD5FF0D" w14:textId="77777777" w:rsidR="000B3C5C" w:rsidRDefault="00ED192D">
            <w:pPr>
              <w:spacing w:after="0" w:line="259" w:lineRule="auto"/>
              <w:ind w:left="0" w:firstLine="0"/>
            </w:pPr>
            <w:r>
              <w:rPr>
                <w:rFonts w:ascii="Arial" w:eastAsia="Arial" w:hAnsi="Arial" w:cs="Arial"/>
                <w:sz w:val="20"/>
              </w:rPr>
              <w:t xml:space="preserve">Specific guidelines are put in place on how to manage patients with positive HCV results at screening. </w:t>
            </w:r>
          </w:p>
        </w:tc>
      </w:tr>
      <w:tr w:rsidR="000B3C5C" w14:paraId="779B07C6" w14:textId="77777777">
        <w:trPr>
          <w:trHeight w:val="818"/>
        </w:trPr>
        <w:tc>
          <w:tcPr>
            <w:tcW w:w="1634" w:type="dxa"/>
            <w:tcBorders>
              <w:top w:val="single" w:sz="4" w:space="0" w:color="000000"/>
              <w:left w:val="nil"/>
              <w:bottom w:val="single" w:sz="4" w:space="0" w:color="000000"/>
              <w:right w:val="nil"/>
            </w:tcBorders>
          </w:tcPr>
          <w:p w14:paraId="120EFF91" w14:textId="77777777" w:rsidR="000B3C5C" w:rsidRDefault="00ED192D">
            <w:pPr>
              <w:spacing w:after="0" w:line="259" w:lineRule="auto"/>
              <w:ind w:left="122" w:firstLine="0"/>
            </w:pPr>
            <w:r>
              <w:rPr>
                <w:rFonts w:ascii="Arial" w:eastAsia="Arial" w:hAnsi="Arial" w:cs="Arial"/>
                <w:sz w:val="20"/>
              </w:rPr>
              <w:t xml:space="preserve">6.5 Concomitant </w:t>
            </w:r>
          </w:p>
          <w:p w14:paraId="646F1C64" w14:textId="77777777" w:rsidR="000B3C5C" w:rsidRDefault="00ED192D">
            <w:pPr>
              <w:spacing w:after="0" w:line="259" w:lineRule="auto"/>
              <w:ind w:left="122" w:firstLine="0"/>
            </w:pPr>
            <w:r>
              <w:rPr>
                <w:rFonts w:ascii="Arial" w:eastAsia="Arial" w:hAnsi="Arial" w:cs="Arial"/>
                <w:sz w:val="20"/>
              </w:rPr>
              <w:t xml:space="preserve">Therapy </w:t>
            </w:r>
          </w:p>
        </w:tc>
        <w:tc>
          <w:tcPr>
            <w:tcW w:w="3275" w:type="dxa"/>
            <w:tcBorders>
              <w:top w:val="single" w:sz="4" w:space="0" w:color="000000"/>
              <w:left w:val="nil"/>
              <w:bottom w:val="single" w:sz="4" w:space="0" w:color="000000"/>
              <w:right w:val="nil"/>
            </w:tcBorders>
          </w:tcPr>
          <w:p w14:paraId="15A10372" w14:textId="77777777" w:rsidR="000B3C5C" w:rsidRDefault="00ED192D">
            <w:pPr>
              <w:spacing w:after="0" w:line="259" w:lineRule="auto"/>
              <w:ind w:left="0" w:firstLine="0"/>
            </w:pPr>
            <w:r>
              <w:rPr>
                <w:rFonts w:ascii="Arial" w:eastAsia="Arial" w:hAnsi="Arial" w:cs="Arial"/>
                <w:sz w:val="20"/>
              </w:rPr>
              <w:t xml:space="preserve">Clarified that any palliative procedures (including radiotherapy) may be given to control symptom. </w:t>
            </w:r>
          </w:p>
        </w:tc>
        <w:tc>
          <w:tcPr>
            <w:tcW w:w="4791" w:type="dxa"/>
            <w:tcBorders>
              <w:top w:val="single" w:sz="4" w:space="0" w:color="000000"/>
              <w:left w:val="nil"/>
              <w:bottom w:val="single" w:sz="4" w:space="0" w:color="000000"/>
              <w:right w:val="nil"/>
            </w:tcBorders>
          </w:tcPr>
          <w:p w14:paraId="5D0DDB18" w14:textId="77777777" w:rsidR="000B3C5C" w:rsidRDefault="00ED192D">
            <w:pPr>
              <w:spacing w:after="0" w:line="259" w:lineRule="auto"/>
              <w:ind w:left="0" w:firstLine="0"/>
            </w:pPr>
            <w:r>
              <w:rPr>
                <w:rFonts w:ascii="Arial" w:eastAsia="Arial" w:hAnsi="Arial" w:cs="Arial"/>
                <w:sz w:val="20"/>
              </w:rPr>
              <w:t xml:space="preserve">Clarification and alignment within program. </w:t>
            </w:r>
          </w:p>
        </w:tc>
      </w:tr>
    </w:tbl>
    <w:p w14:paraId="118631E4" w14:textId="77777777" w:rsidR="000B3C5C" w:rsidRDefault="000B3C5C">
      <w:pPr>
        <w:spacing w:after="0" w:line="259" w:lineRule="auto"/>
        <w:ind w:left="-1587" w:right="11053" w:firstLine="0"/>
      </w:pPr>
    </w:p>
    <w:tbl>
      <w:tblPr>
        <w:tblStyle w:val="TableGrid"/>
        <w:tblW w:w="9700" w:type="dxa"/>
        <w:tblInd w:w="-122" w:type="dxa"/>
        <w:tblCellMar>
          <w:top w:w="105" w:type="dxa"/>
          <w:left w:w="0" w:type="dxa"/>
          <w:bottom w:w="0" w:type="dxa"/>
          <w:right w:w="130" w:type="dxa"/>
        </w:tblCellMar>
        <w:tblLook w:val="04A0" w:firstRow="1" w:lastRow="0" w:firstColumn="1" w:lastColumn="0" w:noHBand="0" w:noVBand="1"/>
      </w:tblPr>
      <w:tblGrid>
        <w:gridCol w:w="2153"/>
        <w:gridCol w:w="3100"/>
        <w:gridCol w:w="4447"/>
      </w:tblGrid>
      <w:tr w:rsidR="000B3C5C" w14:paraId="47A76BD4" w14:textId="77777777">
        <w:trPr>
          <w:trHeight w:val="590"/>
        </w:trPr>
        <w:tc>
          <w:tcPr>
            <w:tcW w:w="1634" w:type="dxa"/>
            <w:tcBorders>
              <w:top w:val="single" w:sz="4" w:space="0" w:color="000000"/>
              <w:left w:val="nil"/>
              <w:bottom w:val="single" w:sz="4" w:space="0" w:color="000000"/>
              <w:right w:val="nil"/>
            </w:tcBorders>
          </w:tcPr>
          <w:p w14:paraId="6434AE26" w14:textId="77777777" w:rsidR="000B3C5C" w:rsidRDefault="00ED192D">
            <w:pPr>
              <w:spacing w:after="0" w:line="259" w:lineRule="auto"/>
              <w:ind w:left="122" w:right="85" w:firstLine="0"/>
              <w:jc w:val="both"/>
            </w:pPr>
            <w:r>
              <w:rPr>
                <w:rFonts w:ascii="Arial" w:eastAsia="Arial" w:hAnsi="Arial" w:cs="Arial"/>
                <w:b/>
                <w:sz w:val="20"/>
              </w:rPr>
              <w:t xml:space="preserve">Section # and Name </w:t>
            </w:r>
          </w:p>
        </w:tc>
        <w:tc>
          <w:tcPr>
            <w:tcW w:w="3275" w:type="dxa"/>
            <w:tcBorders>
              <w:top w:val="single" w:sz="4" w:space="0" w:color="000000"/>
              <w:left w:val="nil"/>
              <w:bottom w:val="single" w:sz="4" w:space="0" w:color="000000"/>
              <w:right w:val="nil"/>
            </w:tcBorders>
          </w:tcPr>
          <w:p w14:paraId="5409DC18" w14:textId="77777777" w:rsidR="000B3C5C" w:rsidRDefault="00ED192D">
            <w:pPr>
              <w:spacing w:after="0" w:line="259" w:lineRule="auto"/>
              <w:ind w:left="0" w:firstLine="0"/>
            </w:pPr>
            <w:r>
              <w:rPr>
                <w:rFonts w:ascii="Arial" w:eastAsia="Arial" w:hAnsi="Arial" w:cs="Arial"/>
                <w:b/>
                <w:sz w:val="20"/>
              </w:rPr>
              <w:t xml:space="preserve">Description of Change </w:t>
            </w:r>
          </w:p>
        </w:tc>
        <w:tc>
          <w:tcPr>
            <w:tcW w:w="4791" w:type="dxa"/>
            <w:tcBorders>
              <w:top w:val="single" w:sz="4" w:space="0" w:color="000000"/>
              <w:left w:val="nil"/>
              <w:bottom w:val="single" w:sz="4" w:space="0" w:color="000000"/>
              <w:right w:val="nil"/>
            </w:tcBorders>
          </w:tcPr>
          <w:p w14:paraId="194D5AF7" w14:textId="77777777" w:rsidR="000B3C5C" w:rsidRDefault="00ED192D">
            <w:pPr>
              <w:spacing w:after="0" w:line="259" w:lineRule="auto"/>
              <w:ind w:left="0" w:firstLine="0"/>
            </w:pPr>
            <w:r>
              <w:rPr>
                <w:rFonts w:ascii="Arial" w:eastAsia="Arial" w:hAnsi="Arial" w:cs="Arial"/>
                <w:b/>
                <w:sz w:val="20"/>
              </w:rPr>
              <w:t xml:space="preserve">Brief Rationale </w:t>
            </w:r>
          </w:p>
        </w:tc>
      </w:tr>
      <w:tr w:rsidR="000B3C5C" w14:paraId="019C6CCD" w14:textId="77777777">
        <w:trPr>
          <w:trHeight w:val="818"/>
        </w:trPr>
        <w:tc>
          <w:tcPr>
            <w:tcW w:w="1634" w:type="dxa"/>
            <w:tcBorders>
              <w:top w:val="single" w:sz="4" w:space="0" w:color="000000"/>
              <w:left w:val="nil"/>
              <w:bottom w:val="single" w:sz="4" w:space="0" w:color="000000"/>
              <w:right w:val="nil"/>
            </w:tcBorders>
          </w:tcPr>
          <w:p w14:paraId="7CE08365" w14:textId="77777777" w:rsidR="000B3C5C" w:rsidRDefault="00ED192D">
            <w:pPr>
              <w:spacing w:after="0" w:line="259" w:lineRule="auto"/>
              <w:ind w:left="122" w:firstLine="0"/>
            </w:pPr>
            <w:r>
              <w:rPr>
                <w:rFonts w:ascii="Arial" w:eastAsia="Arial" w:hAnsi="Arial" w:cs="Arial"/>
                <w:sz w:val="20"/>
              </w:rPr>
              <w:t xml:space="preserve">6.5 Concomitant </w:t>
            </w:r>
          </w:p>
          <w:p w14:paraId="4C1DC2A9" w14:textId="77777777" w:rsidR="000B3C5C" w:rsidRDefault="00ED192D">
            <w:pPr>
              <w:spacing w:after="0" w:line="259" w:lineRule="auto"/>
              <w:ind w:left="122" w:firstLine="0"/>
            </w:pPr>
            <w:r>
              <w:rPr>
                <w:rFonts w:ascii="Arial" w:eastAsia="Arial" w:hAnsi="Arial" w:cs="Arial"/>
                <w:sz w:val="20"/>
              </w:rPr>
              <w:t xml:space="preserve">Therapy </w:t>
            </w:r>
          </w:p>
        </w:tc>
        <w:tc>
          <w:tcPr>
            <w:tcW w:w="3275" w:type="dxa"/>
            <w:tcBorders>
              <w:top w:val="single" w:sz="4" w:space="0" w:color="000000"/>
              <w:left w:val="nil"/>
              <w:bottom w:val="single" w:sz="4" w:space="0" w:color="000000"/>
              <w:right w:val="nil"/>
            </w:tcBorders>
          </w:tcPr>
          <w:p w14:paraId="2CC1A8BC" w14:textId="77777777" w:rsidR="000B3C5C" w:rsidRDefault="00ED192D">
            <w:pPr>
              <w:spacing w:after="0" w:line="259" w:lineRule="auto"/>
              <w:ind w:left="0" w:firstLine="0"/>
            </w:pPr>
            <w:r>
              <w:rPr>
                <w:rFonts w:ascii="Arial" w:eastAsia="Arial" w:hAnsi="Arial" w:cs="Arial"/>
                <w:sz w:val="20"/>
              </w:rPr>
              <w:t xml:space="preserve">Clarified exceptions for use of systemic corticosteroids (including management of irAEs). </w:t>
            </w:r>
          </w:p>
        </w:tc>
        <w:tc>
          <w:tcPr>
            <w:tcW w:w="4791" w:type="dxa"/>
            <w:tcBorders>
              <w:top w:val="single" w:sz="4" w:space="0" w:color="000000"/>
              <w:left w:val="nil"/>
              <w:bottom w:val="single" w:sz="4" w:space="0" w:color="000000"/>
              <w:right w:val="nil"/>
            </w:tcBorders>
          </w:tcPr>
          <w:p w14:paraId="1C72F7E2" w14:textId="77777777" w:rsidR="000B3C5C" w:rsidRDefault="00ED192D">
            <w:pPr>
              <w:spacing w:after="0" w:line="259" w:lineRule="auto"/>
              <w:ind w:left="0" w:firstLine="0"/>
            </w:pPr>
            <w:r>
              <w:rPr>
                <w:rFonts w:ascii="Arial" w:eastAsia="Arial" w:hAnsi="Arial" w:cs="Arial"/>
                <w:sz w:val="20"/>
              </w:rPr>
              <w:t xml:space="preserve">Previous guidance on prohibited use of corticosteroids was inconsistent with management guidelines. </w:t>
            </w:r>
          </w:p>
        </w:tc>
      </w:tr>
      <w:tr w:rsidR="000B3C5C" w14:paraId="0E8FC742" w14:textId="77777777">
        <w:trPr>
          <w:trHeight w:val="2257"/>
        </w:trPr>
        <w:tc>
          <w:tcPr>
            <w:tcW w:w="1634" w:type="dxa"/>
            <w:tcBorders>
              <w:top w:val="single" w:sz="4" w:space="0" w:color="000000"/>
              <w:left w:val="nil"/>
              <w:bottom w:val="single" w:sz="4" w:space="0" w:color="000000"/>
              <w:right w:val="nil"/>
            </w:tcBorders>
          </w:tcPr>
          <w:p w14:paraId="6906A3D3" w14:textId="77777777" w:rsidR="000B3C5C" w:rsidRDefault="00ED192D">
            <w:pPr>
              <w:spacing w:after="0" w:line="259" w:lineRule="auto"/>
              <w:ind w:left="122" w:right="18" w:firstLine="0"/>
            </w:pPr>
            <w:r>
              <w:rPr>
                <w:rFonts w:ascii="Arial" w:eastAsia="Arial" w:hAnsi="Arial" w:cs="Arial"/>
                <w:sz w:val="20"/>
              </w:rPr>
              <w:t xml:space="preserve">6.6.2 Dose delay and dose omission </w:t>
            </w:r>
          </w:p>
        </w:tc>
        <w:tc>
          <w:tcPr>
            <w:tcW w:w="3275" w:type="dxa"/>
            <w:tcBorders>
              <w:top w:val="single" w:sz="4" w:space="0" w:color="000000"/>
              <w:left w:val="nil"/>
              <w:bottom w:val="single" w:sz="4" w:space="0" w:color="000000"/>
              <w:right w:val="nil"/>
            </w:tcBorders>
          </w:tcPr>
          <w:p w14:paraId="3EC7CE10" w14:textId="77777777" w:rsidR="000B3C5C" w:rsidRDefault="00ED192D">
            <w:pPr>
              <w:spacing w:after="58" w:line="241" w:lineRule="auto"/>
              <w:ind w:left="0" w:firstLine="0"/>
            </w:pPr>
            <w:r>
              <w:rPr>
                <w:rFonts w:ascii="Arial" w:eastAsia="Arial" w:hAnsi="Arial" w:cs="Arial"/>
                <w:sz w:val="20"/>
              </w:rPr>
              <w:t xml:space="preserve">Treatment window of "±1 day" and "±2 days" corresponds to delay of </w:t>
            </w:r>
            <w:r>
              <w:rPr>
                <w:rFonts w:ascii="Arial" w:eastAsia="Arial" w:hAnsi="Arial" w:cs="Arial"/>
                <w:sz w:val="20"/>
              </w:rPr>
              <w:t xml:space="preserve">beyond "≥2 days" and "≥3 days" (corrected from "&gt;2 days" and "&gt;3 days"). </w:t>
            </w:r>
          </w:p>
          <w:p w14:paraId="12391D26" w14:textId="77777777" w:rsidR="000B3C5C" w:rsidRDefault="00ED192D">
            <w:pPr>
              <w:spacing w:after="0" w:line="259" w:lineRule="auto"/>
              <w:ind w:left="0" w:right="85" w:firstLine="0"/>
            </w:pPr>
            <w:r>
              <w:rPr>
                <w:rFonts w:ascii="Arial" w:eastAsia="Arial" w:hAnsi="Arial" w:cs="Arial"/>
                <w:sz w:val="20"/>
              </w:rPr>
              <w:t xml:space="preserve">In Cycle 1, if an AE occurs and the participant does not recover within 3 days, infusion of isatuximab (D8 or D15) may be omitted only; therefore the words “or delayed” have been removed. </w:t>
            </w:r>
          </w:p>
        </w:tc>
        <w:tc>
          <w:tcPr>
            <w:tcW w:w="4791" w:type="dxa"/>
            <w:tcBorders>
              <w:top w:val="single" w:sz="4" w:space="0" w:color="000000"/>
              <w:left w:val="nil"/>
              <w:bottom w:val="single" w:sz="4" w:space="0" w:color="000000"/>
              <w:right w:val="nil"/>
            </w:tcBorders>
          </w:tcPr>
          <w:p w14:paraId="341FEC69" w14:textId="77777777" w:rsidR="000B3C5C" w:rsidRDefault="00ED192D">
            <w:pPr>
              <w:spacing w:after="43" w:line="259" w:lineRule="auto"/>
              <w:ind w:left="0" w:firstLine="0"/>
            </w:pPr>
            <w:r>
              <w:rPr>
                <w:rFonts w:ascii="Arial" w:eastAsia="Arial" w:hAnsi="Arial" w:cs="Arial"/>
                <w:sz w:val="20"/>
              </w:rPr>
              <w:t xml:space="preserve">To correct inconsistency in treatment windows. </w:t>
            </w:r>
          </w:p>
          <w:p w14:paraId="47BD3510" w14:textId="77777777" w:rsidR="000B3C5C" w:rsidRDefault="00ED192D">
            <w:pPr>
              <w:spacing w:after="41" w:line="259" w:lineRule="auto"/>
              <w:ind w:left="0" w:firstLine="0"/>
            </w:pPr>
            <w:r>
              <w:rPr>
                <w:rFonts w:ascii="Arial" w:eastAsia="Arial" w:hAnsi="Arial" w:cs="Arial"/>
                <w:sz w:val="20"/>
              </w:rPr>
              <w:t xml:space="preserve"> </w:t>
            </w:r>
          </w:p>
          <w:p w14:paraId="40A97424" w14:textId="77777777" w:rsidR="000B3C5C" w:rsidRDefault="00ED192D">
            <w:pPr>
              <w:spacing w:after="41" w:line="259" w:lineRule="auto"/>
              <w:ind w:left="0" w:firstLine="0"/>
            </w:pPr>
            <w:r>
              <w:rPr>
                <w:rFonts w:ascii="Arial" w:eastAsia="Arial" w:hAnsi="Arial" w:cs="Arial"/>
                <w:sz w:val="20"/>
              </w:rPr>
              <w:t xml:space="preserve"> </w:t>
            </w:r>
          </w:p>
          <w:p w14:paraId="3FD94DF0" w14:textId="77777777" w:rsidR="000B3C5C" w:rsidRDefault="00ED192D">
            <w:pPr>
              <w:spacing w:after="0" w:line="259" w:lineRule="auto"/>
              <w:ind w:left="0" w:firstLine="0"/>
            </w:pPr>
            <w:r>
              <w:rPr>
                <w:rFonts w:ascii="Arial" w:eastAsia="Arial" w:hAnsi="Arial" w:cs="Arial"/>
                <w:sz w:val="20"/>
              </w:rPr>
              <w:t xml:space="preserve">Within Cycle 1, dose delay was not intended to be allowed as Cycle 1 consists of weekly dosing of isatuximab (delay of infusion for more than 3 days should result in dose omission instead). </w:t>
            </w:r>
          </w:p>
        </w:tc>
      </w:tr>
      <w:tr w:rsidR="000B3C5C" w14:paraId="11D175F3" w14:textId="77777777">
        <w:trPr>
          <w:trHeight w:val="1505"/>
        </w:trPr>
        <w:tc>
          <w:tcPr>
            <w:tcW w:w="1634" w:type="dxa"/>
            <w:tcBorders>
              <w:top w:val="single" w:sz="4" w:space="0" w:color="000000"/>
              <w:left w:val="nil"/>
              <w:bottom w:val="single" w:sz="4" w:space="0" w:color="000000"/>
              <w:right w:val="nil"/>
            </w:tcBorders>
          </w:tcPr>
          <w:p w14:paraId="3CDBE500" w14:textId="77777777" w:rsidR="000B3C5C" w:rsidRDefault="00ED192D">
            <w:pPr>
              <w:spacing w:after="0" w:line="241" w:lineRule="auto"/>
              <w:ind w:left="122" w:firstLine="0"/>
            </w:pPr>
            <w:r>
              <w:rPr>
                <w:rFonts w:ascii="Arial" w:eastAsia="Arial" w:hAnsi="Arial" w:cs="Arial"/>
                <w:sz w:val="20"/>
              </w:rPr>
              <w:t xml:space="preserve">6.6.4 General guidelines for </w:t>
            </w:r>
          </w:p>
          <w:p w14:paraId="5AED096A" w14:textId="77777777" w:rsidR="000B3C5C" w:rsidRDefault="00ED192D">
            <w:pPr>
              <w:spacing w:after="0" w:line="259" w:lineRule="auto"/>
              <w:ind w:left="122" w:firstLine="0"/>
            </w:pPr>
            <w:r>
              <w:rPr>
                <w:rFonts w:ascii="Arial" w:eastAsia="Arial" w:hAnsi="Arial" w:cs="Arial"/>
                <w:sz w:val="20"/>
              </w:rPr>
              <w:t xml:space="preserve">management of infusionassociated reactions </w:t>
            </w:r>
          </w:p>
        </w:tc>
        <w:tc>
          <w:tcPr>
            <w:tcW w:w="3275" w:type="dxa"/>
            <w:tcBorders>
              <w:top w:val="single" w:sz="4" w:space="0" w:color="000000"/>
              <w:left w:val="nil"/>
              <w:bottom w:val="single" w:sz="4" w:space="0" w:color="000000"/>
              <w:right w:val="nil"/>
            </w:tcBorders>
          </w:tcPr>
          <w:p w14:paraId="528F0E3C" w14:textId="77777777" w:rsidR="000B3C5C" w:rsidRDefault="00ED192D">
            <w:pPr>
              <w:spacing w:after="0" w:line="259" w:lineRule="auto"/>
              <w:ind w:left="0" w:right="57" w:firstLine="0"/>
            </w:pPr>
            <w:r>
              <w:rPr>
                <w:rFonts w:ascii="Arial" w:eastAsia="Arial" w:hAnsi="Arial" w:cs="Arial"/>
                <w:sz w:val="20"/>
              </w:rPr>
              <w:t xml:space="preserve">Following Grade 2 IAR, infusion may be restarted for atezolizumab at half the rate being given at the time of event onset, and not “half the original infusion rate”. </w:t>
            </w:r>
          </w:p>
        </w:tc>
        <w:tc>
          <w:tcPr>
            <w:tcW w:w="4791" w:type="dxa"/>
            <w:tcBorders>
              <w:top w:val="single" w:sz="4" w:space="0" w:color="000000"/>
              <w:left w:val="nil"/>
              <w:bottom w:val="single" w:sz="4" w:space="0" w:color="000000"/>
              <w:right w:val="nil"/>
            </w:tcBorders>
          </w:tcPr>
          <w:p w14:paraId="5521EEC2" w14:textId="77777777" w:rsidR="000B3C5C" w:rsidRDefault="00ED192D">
            <w:pPr>
              <w:spacing w:after="0" w:line="259" w:lineRule="auto"/>
              <w:ind w:left="0" w:firstLine="0"/>
            </w:pPr>
            <w:r>
              <w:rPr>
                <w:rFonts w:ascii="Arial" w:eastAsia="Arial" w:hAnsi="Arial" w:cs="Arial"/>
                <w:sz w:val="20"/>
              </w:rPr>
              <w:t xml:space="preserve">This correction was missed in the previous amendment where the same change was applied in Tables 5 and 25. </w:t>
            </w:r>
          </w:p>
        </w:tc>
      </w:tr>
      <w:tr w:rsidR="000B3C5C" w14:paraId="207BFA7F" w14:textId="77777777">
        <w:trPr>
          <w:trHeight w:val="821"/>
        </w:trPr>
        <w:tc>
          <w:tcPr>
            <w:tcW w:w="1634" w:type="dxa"/>
            <w:tcBorders>
              <w:top w:val="single" w:sz="4" w:space="0" w:color="000000"/>
              <w:left w:val="nil"/>
              <w:bottom w:val="single" w:sz="4" w:space="0" w:color="000000"/>
              <w:right w:val="nil"/>
            </w:tcBorders>
          </w:tcPr>
          <w:p w14:paraId="2BA6AD37" w14:textId="77777777" w:rsidR="000B3C5C" w:rsidRDefault="00ED192D">
            <w:pPr>
              <w:spacing w:after="0" w:line="259" w:lineRule="auto"/>
              <w:ind w:left="122" w:firstLine="0"/>
            </w:pPr>
            <w:r>
              <w:rPr>
                <w:rFonts w:ascii="Arial" w:eastAsia="Arial" w:hAnsi="Arial" w:cs="Arial"/>
                <w:sz w:val="20"/>
              </w:rPr>
              <w:t xml:space="preserve">8.5.3 </w:t>
            </w:r>
          </w:p>
          <w:p w14:paraId="344FEAD4" w14:textId="77777777" w:rsidR="000B3C5C" w:rsidRDefault="00ED192D">
            <w:pPr>
              <w:spacing w:after="0" w:line="259" w:lineRule="auto"/>
              <w:ind w:left="122" w:firstLine="0"/>
            </w:pPr>
            <w:r>
              <w:rPr>
                <w:rFonts w:ascii="Arial" w:eastAsia="Arial" w:hAnsi="Arial" w:cs="Arial"/>
                <w:sz w:val="20"/>
              </w:rPr>
              <w:t xml:space="preserve">Bioanalytical </w:t>
            </w:r>
          </w:p>
          <w:p w14:paraId="78F0844E" w14:textId="77777777" w:rsidR="000B3C5C" w:rsidRDefault="00ED192D">
            <w:pPr>
              <w:spacing w:after="0" w:line="259" w:lineRule="auto"/>
              <w:ind w:left="122" w:firstLine="0"/>
            </w:pPr>
            <w:r>
              <w:rPr>
                <w:rFonts w:ascii="Arial" w:eastAsia="Arial" w:hAnsi="Arial" w:cs="Arial"/>
                <w:sz w:val="20"/>
              </w:rPr>
              <w:t xml:space="preserve">Methods </w:t>
            </w:r>
          </w:p>
        </w:tc>
        <w:tc>
          <w:tcPr>
            <w:tcW w:w="3275" w:type="dxa"/>
            <w:tcBorders>
              <w:top w:val="single" w:sz="4" w:space="0" w:color="000000"/>
              <w:left w:val="nil"/>
              <w:bottom w:val="single" w:sz="4" w:space="0" w:color="000000"/>
              <w:right w:val="nil"/>
            </w:tcBorders>
          </w:tcPr>
          <w:p w14:paraId="3E109481" w14:textId="77777777" w:rsidR="000B3C5C" w:rsidRDefault="00ED192D">
            <w:pPr>
              <w:spacing w:after="0" w:line="259" w:lineRule="auto"/>
              <w:ind w:left="0" w:firstLine="0"/>
            </w:pPr>
            <w:r>
              <w:rPr>
                <w:rFonts w:ascii="Arial" w:eastAsia="Arial" w:hAnsi="Arial" w:cs="Arial"/>
                <w:sz w:val="20"/>
              </w:rPr>
              <w:t xml:space="preserve">Removed Table 6 (Bioanalytical methods for isatuximab and atezolizumab pharmacokinetic analysis). </w:t>
            </w:r>
          </w:p>
        </w:tc>
        <w:tc>
          <w:tcPr>
            <w:tcW w:w="4791" w:type="dxa"/>
            <w:tcBorders>
              <w:top w:val="single" w:sz="4" w:space="0" w:color="000000"/>
              <w:left w:val="nil"/>
              <w:bottom w:val="single" w:sz="4" w:space="0" w:color="000000"/>
              <w:right w:val="nil"/>
            </w:tcBorders>
          </w:tcPr>
          <w:p w14:paraId="1D1DEF8F" w14:textId="77777777" w:rsidR="000B3C5C" w:rsidRDefault="00ED192D">
            <w:pPr>
              <w:spacing w:after="0" w:line="259" w:lineRule="auto"/>
              <w:ind w:left="0" w:firstLine="0"/>
            </w:pPr>
            <w:r>
              <w:rPr>
                <w:rFonts w:ascii="Arial" w:eastAsia="Arial" w:hAnsi="Arial" w:cs="Arial"/>
                <w:sz w:val="20"/>
              </w:rPr>
              <w:t xml:space="preserve">Details on bioanalytical methods will be provided in Laboratory Manual instead. </w:t>
            </w:r>
          </w:p>
        </w:tc>
      </w:tr>
      <w:tr w:rsidR="000B3C5C" w14:paraId="2F0E7556" w14:textId="77777777">
        <w:trPr>
          <w:trHeight w:val="1047"/>
        </w:trPr>
        <w:tc>
          <w:tcPr>
            <w:tcW w:w="1634" w:type="dxa"/>
            <w:tcBorders>
              <w:top w:val="single" w:sz="4" w:space="0" w:color="000000"/>
              <w:left w:val="nil"/>
              <w:bottom w:val="single" w:sz="4" w:space="0" w:color="000000"/>
              <w:right w:val="nil"/>
            </w:tcBorders>
            <w:vAlign w:val="center"/>
          </w:tcPr>
          <w:p w14:paraId="4F45A0CB" w14:textId="77777777" w:rsidR="000B3C5C" w:rsidRDefault="00ED192D">
            <w:pPr>
              <w:spacing w:after="0" w:line="259" w:lineRule="auto"/>
              <w:ind w:left="122" w:firstLine="0"/>
            </w:pPr>
            <w:r>
              <w:rPr>
                <w:rFonts w:ascii="Arial" w:eastAsia="Arial" w:hAnsi="Arial" w:cs="Arial"/>
                <w:sz w:val="20"/>
              </w:rPr>
              <w:t xml:space="preserve">8.8.1 </w:t>
            </w:r>
          </w:p>
          <w:p w14:paraId="3D36709A" w14:textId="77777777" w:rsidR="000B3C5C" w:rsidRDefault="00ED192D">
            <w:pPr>
              <w:spacing w:after="0" w:line="259" w:lineRule="auto"/>
              <w:ind w:left="122" w:firstLine="0"/>
            </w:pPr>
            <w:r>
              <w:rPr>
                <w:rFonts w:ascii="Arial" w:eastAsia="Arial" w:hAnsi="Arial" w:cs="Arial"/>
                <w:sz w:val="20"/>
              </w:rPr>
              <w:t xml:space="preserve">Immunogenicity assessments </w:t>
            </w:r>
          </w:p>
        </w:tc>
        <w:tc>
          <w:tcPr>
            <w:tcW w:w="3275" w:type="dxa"/>
            <w:tcBorders>
              <w:top w:val="single" w:sz="4" w:space="0" w:color="000000"/>
              <w:left w:val="nil"/>
              <w:bottom w:val="single" w:sz="4" w:space="0" w:color="000000"/>
              <w:right w:val="nil"/>
            </w:tcBorders>
          </w:tcPr>
          <w:p w14:paraId="6C8A8A27" w14:textId="77777777" w:rsidR="000B3C5C" w:rsidRDefault="00ED192D">
            <w:pPr>
              <w:spacing w:after="0" w:line="259" w:lineRule="auto"/>
              <w:ind w:left="0" w:right="86" w:firstLine="0"/>
            </w:pPr>
            <w:r>
              <w:rPr>
                <w:rFonts w:ascii="Arial" w:eastAsia="Arial" w:hAnsi="Arial" w:cs="Arial"/>
                <w:sz w:val="20"/>
              </w:rPr>
              <w:t xml:space="preserve">Removed Table 8 (Bioanalytical methods for immunogenicity assessment) and removed duplicated information presented in Section 1.3. </w:t>
            </w:r>
          </w:p>
        </w:tc>
        <w:tc>
          <w:tcPr>
            <w:tcW w:w="4791" w:type="dxa"/>
            <w:tcBorders>
              <w:top w:val="single" w:sz="4" w:space="0" w:color="000000"/>
              <w:left w:val="nil"/>
              <w:bottom w:val="single" w:sz="4" w:space="0" w:color="000000"/>
              <w:right w:val="nil"/>
            </w:tcBorders>
          </w:tcPr>
          <w:p w14:paraId="19E2DB94" w14:textId="77777777" w:rsidR="000B3C5C" w:rsidRDefault="00ED192D">
            <w:pPr>
              <w:spacing w:after="0" w:line="259" w:lineRule="auto"/>
              <w:ind w:left="0" w:firstLine="0"/>
            </w:pPr>
            <w:r>
              <w:rPr>
                <w:rFonts w:ascii="Arial" w:eastAsia="Arial" w:hAnsi="Arial" w:cs="Arial"/>
                <w:sz w:val="20"/>
              </w:rPr>
              <w:t xml:space="preserve">Clarification; details on bioanalytical methods for immunogenicity assessment will be provided in Laboratory Manual instead. </w:t>
            </w:r>
          </w:p>
        </w:tc>
      </w:tr>
      <w:tr w:rsidR="000B3C5C" w14:paraId="4B752C0A" w14:textId="77777777">
        <w:trPr>
          <w:trHeight w:val="818"/>
        </w:trPr>
        <w:tc>
          <w:tcPr>
            <w:tcW w:w="1634" w:type="dxa"/>
            <w:tcBorders>
              <w:top w:val="single" w:sz="4" w:space="0" w:color="000000"/>
              <w:left w:val="nil"/>
              <w:bottom w:val="single" w:sz="4" w:space="0" w:color="000000"/>
              <w:right w:val="nil"/>
            </w:tcBorders>
            <w:vAlign w:val="center"/>
          </w:tcPr>
          <w:p w14:paraId="58B84366" w14:textId="77777777" w:rsidR="000B3C5C" w:rsidRDefault="00ED192D">
            <w:pPr>
              <w:spacing w:after="0" w:line="259" w:lineRule="auto"/>
              <w:ind w:left="122" w:right="19" w:firstLine="0"/>
            </w:pPr>
            <w:r>
              <w:rPr>
                <w:rFonts w:ascii="Arial" w:eastAsia="Arial" w:hAnsi="Arial" w:cs="Arial"/>
                <w:sz w:val="20"/>
              </w:rPr>
              <w:t xml:space="preserve">9.3 Populations for Analyses </w:t>
            </w:r>
          </w:p>
        </w:tc>
        <w:tc>
          <w:tcPr>
            <w:tcW w:w="3275" w:type="dxa"/>
            <w:tcBorders>
              <w:top w:val="single" w:sz="4" w:space="0" w:color="000000"/>
              <w:left w:val="nil"/>
              <w:bottom w:val="single" w:sz="4" w:space="0" w:color="000000"/>
              <w:right w:val="nil"/>
            </w:tcBorders>
          </w:tcPr>
          <w:p w14:paraId="2FFE941F" w14:textId="77777777" w:rsidR="000B3C5C" w:rsidRDefault="00ED192D">
            <w:pPr>
              <w:spacing w:after="0" w:line="259" w:lineRule="auto"/>
              <w:ind w:left="0" w:firstLine="0"/>
            </w:pPr>
            <w:r>
              <w:rPr>
                <w:rFonts w:ascii="Arial" w:eastAsia="Arial" w:hAnsi="Arial" w:cs="Arial"/>
                <w:sz w:val="20"/>
              </w:rPr>
              <w:t xml:space="preserve">Response evaluable population: Added </w:t>
            </w:r>
          </w:p>
          <w:p w14:paraId="54852A99" w14:textId="77777777" w:rsidR="000B3C5C" w:rsidRDefault="00ED192D">
            <w:pPr>
              <w:spacing w:after="0" w:line="259" w:lineRule="auto"/>
              <w:ind w:left="0" w:right="18" w:firstLine="0"/>
            </w:pPr>
            <w:r>
              <w:rPr>
                <w:rFonts w:ascii="Arial" w:eastAsia="Arial" w:hAnsi="Arial" w:cs="Arial"/>
                <w:sz w:val="20"/>
              </w:rPr>
              <w:t xml:space="preserve">that patients must fulfill all eligibility criteria. </w:t>
            </w:r>
          </w:p>
        </w:tc>
        <w:tc>
          <w:tcPr>
            <w:tcW w:w="4791" w:type="dxa"/>
            <w:tcBorders>
              <w:top w:val="single" w:sz="4" w:space="0" w:color="000000"/>
              <w:left w:val="nil"/>
              <w:bottom w:val="single" w:sz="4" w:space="0" w:color="000000"/>
              <w:right w:val="nil"/>
            </w:tcBorders>
          </w:tcPr>
          <w:p w14:paraId="13C01869" w14:textId="77777777" w:rsidR="000B3C5C" w:rsidRDefault="00ED192D">
            <w:pPr>
              <w:spacing w:after="0" w:line="259" w:lineRule="auto"/>
              <w:ind w:left="0" w:firstLine="0"/>
            </w:pPr>
            <w:r>
              <w:rPr>
                <w:rFonts w:ascii="Arial" w:eastAsia="Arial" w:hAnsi="Arial" w:cs="Arial"/>
                <w:sz w:val="20"/>
              </w:rPr>
              <w:t xml:space="preserve">Clarification. </w:t>
            </w:r>
          </w:p>
        </w:tc>
      </w:tr>
      <w:tr w:rsidR="000B3C5C" w14:paraId="61D85FE2" w14:textId="77777777">
        <w:trPr>
          <w:trHeight w:val="2486"/>
        </w:trPr>
        <w:tc>
          <w:tcPr>
            <w:tcW w:w="1634" w:type="dxa"/>
            <w:tcBorders>
              <w:top w:val="single" w:sz="4" w:space="0" w:color="000000"/>
              <w:left w:val="nil"/>
              <w:bottom w:val="single" w:sz="4" w:space="0" w:color="000000"/>
              <w:right w:val="nil"/>
            </w:tcBorders>
          </w:tcPr>
          <w:p w14:paraId="692768CD" w14:textId="77777777" w:rsidR="000B3C5C" w:rsidRDefault="00ED192D">
            <w:pPr>
              <w:spacing w:after="0" w:line="259" w:lineRule="auto"/>
              <w:ind w:left="122" w:firstLine="0"/>
            </w:pPr>
            <w:r>
              <w:rPr>
                <w:rFonts w:ascii="Arial" w:eastAsia="Arial" w:hAnsi="Arial" w:cs="Arial"/>
                <w:sz w:val="20"/>
              </w:rPr>
              <w:t xml:space="preserve">9.5 Interim </w:t>
            </w:r>
          </w:p>
          <w:p w14:paraId="27EC7344" w14:textId="77777777" w:rsidR="000B3C5C" w:rsidRDefault="00ED192D">
            <w:pPr>
              <w:spacing w:after="0" w:line="259" w:lineRule="auto"/>
              <w:ind w:left="122" w:firstLine="0"/>
            </w:pPr>
            <w:r>
              <w:rPr>
                <w:rFonts w:ascii="Arial" w:eastAsia="Arial" w:hAnsi="Arial" w:cs="Arial"/>
                <w:sz w:val="20"/>
              </w:rPr>
              <w:t xml:space="preserve">Analyses </w:t>
            </w:r>
          </w:p>
        </w:tc>
        <w:tc>
          <w:tcPr>
            <w:tcW w:w="3275" w:type="dxa"/>
            <w:tcBorders>
              <w:top w:val="single" w:sz="4" w:space="0" w:color="000000"/>
              <w:left w:val="nil"/>
              <w:bottom w:val="single" w:sz="4" w:space="0" w:color="000000"/>
              <w:right w:val="nil"/>
            </w:tcBorders>
          </w:tcPr>
          <w:p w14:paraId="350EB5AB" w14:textId="77777777" w:rsidR="000B3C5C" w:rsidRDefault="00ED192D">
            <w:pPr>
              <w:spacing w:after="58" w:line="241" w:lineRule="auto"/>
              <w:ind w:left="0" w:right="55" w:firstLine="0"/>
            </w:pPr>
            <w:r>
              <w:rPr>
                <w:rFonts w:ascii="Arial" w:eastAsia="Arial" w:hAnsi="Arial" w:cs="Arial"/>
                <w:sz w:val="20"/>
              </w:rPr>
              <w:t xml:space="preserve">To clarify the timing of interim analysis and that interim analysis is performed on a per-cohort basis. </w:t>
            </w:r>
          </w:p>
          <w:p w14:paraId="105C4348" w14:textId="77777777" w:rsidR="000B3C5C" w:rsidRDefault="00ED192D">
            <w:pPr>
              <w:spacing w:after="0" w:line="259" w:lineRule="auto"/>
              <w:ind w:left="0" w:right="50" w:firstLine="0"/>
            </w:pPr>
            <w:r>
              <w:rPr>
                <w:rFonts w:ascii="Arial" w:eastAsia="Arial" w:hAnsi="Arial" w:cs="Arial"/>
                <w:sz w:val="20"/>
              </w:rPr>
              <w:t xml:space="preserve">Interim analyses for HCC, SCCHN, and EOC cohorts are changed to be performed when the last participants remaining in the treatment period of Phase 2 Stage 1 have completed approximately “6 months” of study treatment instead of “6 cycles”. </w:t>
            </w:r>
          </w:p>
        </w:tc>
        <w:tc>
          <w:tcPr>
            <w:tcW w:w="4791" w:type="dxa"/>
            <w:tcBorders>
              <w:top w:val="single" w:sz="4" w:space="0" w:color="000000"/>
              <w:left w:val="nil"/>
              <w:bottom w:val="single" w:sz="4" w:space="0" w:color="000000"/>
              <w:right w:val="nil"/>
            </w:tcBorders>
          </w:tcPr>
          <w:p w14:paraId="3E8DD2AF" w14:textId="77777777" w:rsidR="000B3C5C" w:rsidRDefault="00ED192D">
            <w:pPr>
              <w:spacing w:after="0" w:line="259" w:lineRule="auto"/>
              <w:ind w:left="0" w:firstLine="0"/>
            </w:pPr>
            <w:r>
              <w:rPr>
                <w:rFonts w:ascii="Arial" w:eastAsia="Arial" w:hAnsi="Arial" w:cs="Arial"/>
                <w:sz w:val="20"/>
              </w:rPr>
              <w:t xml:space="preserve">Original wording on interim analyses created confusion.  Interim analyses for HCC, SCCHN, and EOC cohorts are changed to coincide with previously defined primary analysis cut-off date to alleviate operational burden. </w:t>
            </w:r>
          </w:p>
        </w:tc>
      </w:tr>
      <w:tr w:rsidR="000B3C5C" w14:paraId="0188D791" w14:textId="77777777">
        <w:trPr>
          <w:trHeight w:val="1277"/>
        </w:trPr>
        <w:tc>
          <w:tcPr>
            <w:tcW w:w="1634" w:type="dxa"/>
            <w:tcBorders>
              <w:top w:val="single" w:sz="4" w:space="0" w:color="000000"/>
              <w:left w:val="nil"/>
              <w:bottom w:val="single" w:sz="4" w:space="0" w:color="000000"/>
              <w:right w:val="nil"/>
            </w:tcBorders>
          </w:tcPr>
          <w:p w14:paraId="44E358E9" w14:textId="77777777" w:rsidR="000B3C5C" w:rsidRDefault="00ED192D">
            <w:pPr>
              <w:spacing w:after="0" w:line="259" w:lineRule="auto"/>
              <w:ind w:left="122" w:firstLine="0"/>
            </w:pPr>
            <w:r>
              <w:rPr>
                <w:rFonts w:ascii="Arial" w:eastAsia="Arial" w:hAnsi="Arial" w:cs="Arial"/>
                <w:sz w:val="20"/>
              </w:rPr>
              <w:t xml:space="preserve">10.21 </w:t>
            </w:r>
          </w:p>
          <w:p w14:paraId="60D6CD7E" w14:textId="77777777" w:rsidR="000B3C5C" w:rsidRDefault="00ED192D">
            <w:pPr>
              <w:spacing w:after="0" w:line="259" w:lineRule="auto"/>
              <w:ind w:left="122" w:firstLine="0"/>
            </w:pPr>
            <w:r>
              <w:rPr>
                <w:rFonts w:ascii="Arial" w:eastAsia="Arial" w:hAnsi="Arial" w:cs="Arial"/>
                <w:sz w:val="20"/>
              </w:rPr>
              <w:t xml:space="preserve">Management of </w:t>
            </w:r>
          </w:p>
          <w:p w14:paraId="2B96355D" w14:textId="77777777" w:rsidR="000B3C5C" w:rsidRDefault="00ED192D">
            <w:pPr>
              <w:spacing w:after="2" w:line="239" w:lineRule="auto"/>
              <w:ind w:left="122" w:firstLine="0"/>
            </w:pPr>
            <w:r>
              <w:rPr>
                <w:rFonts w:ascii="Arial" w:eastAsia="Arial" w:hAnsi="Arial" w:cs="Arial"/>
                <w:sz w:val="20"/>
              </w:rPr>
              <w:t xml:space="preserve">AtezolizumabSpecific Adverse </w:t>
            </w:r>
          </w:p>
          <w:p w14:paraId="3C89FB6A" w14:textId="77777777" w:rsidR="000B3C5C" w:rsidRDefault="00ED192D">
            <w:pPr>
              <w:spacing w:after="0" w:line="259" w:lineRule="auto"/>
              <w:ind w:left="122" w:firstLine="0"/>
            </w:pPr>
            <w:r>
              <w:rPr>
                <w:rFonts w:ascii="Arial" w:eastAsia="Arial" w:hAnsi="Arial" w:cs="Arial"/>
                <w:sz w:val="20"/>
              </w:rPr>
              <w:t xml:space="preserve">Events </w:t>
            </w:r>
          </w:p>
        </w:tc>
        <w:tc>
          <w:tcPr>
            <w:tcW w:w="3275" w:type="dxa"/>
            <w:tcBorders>
              <w:top w:val="single" w:sz="4" w:space="0" w:color="000000"/>
              <w:left w:val="nil"/>
              <w:bottom w:val="single" w:sz="4" w:space="0" w:color="000000"/>
              <w:right w:val="nil"/>
            </w:tcBorders>
          </w:tcPr>
          <w:p w14:paraId="147EE80E" w14:textId="77777777" w:rsidR="000B3C5C" w:rsidRDefault="00ED192D">
            <w:pPr>
              <w:spacing w:after="0" w:line="259" w:lineRule="auto"/>
              <w:ind w:left="0" w:firstLine="0"/>
            </w:pPr>
            <w:r>
              <w:rPr>
                <w:rFonts w:ascii="Arial" w:eastAsia="Arial" w:hAnsi="Arial" w:cs="Arial"/>
                <w:sz w:val="20"/>
              </w:rPr>
              <w:t xml:space="preserve">Included management guidelines for renal events and systemic immune activation. </w:t>
            </w:r>
          </w:p>
        </w:tc>
        <w:tc>
          <w:tcPr>
            <w:tcW w:w="4791" w:type="dxa"/>
            <w:tcBorders>
              <w:top w:val="single" w:sz="4" w:space="0" w:color="000000"/>
              <w:left w:val="nil"/>
              <w:bottom w:val="single" w:sz="4" w:space="0" w:color="000000"/>
              <w:right w:val="nil"/>
            </w:tcBorders>
          </w:tcPr>
          <w:p w14:paraId="63990CB1" w14:textId="77777777" w:rsidR="000B3C5C" w:rsidRDefault="00ED192D">
            <w:pPr>
              <w:spacing w:after="0" w:line="259" w:lineRule="auto"/>
              <w:ind w:left="0" w:firstLine="0"/>
            </w:pPr>
            <w:r>
              <w:rPr>
                <w:rFonts w:ascii="Arial" w:eastAsia="Arial" w:hAnsi="Arial" w:cs="Arial"/>
                <w:sz w:val="20"/>
              </w:rPr>
              <w:t xml:space="preserve">F. Hoffmann-La Roche Ltd. reported a new identified risk of immune-related nephritis associated with the use of atezolizumab.  The company has also provided additional management guideline on systemic immune activation to be included in study protocol. </w:t>
            </w:r>
          </w:p>
        </w:tc>
      </w:tr>
      <w:tr w:rsidR="000B3C5C" w14:paraId="56D4195A" w14:textId="77777777">
        <w:trPr>
          <w:trHeight w:val="590"/>
        </w:trPr>
        <w:tc>
          <w:tcPr>
            <w:tcW w:w="1634" w:type="dxa"/>
            <w:tcBorders>
              <w:top w:val="single" w:sz="4" w:space="0" w:color="000000"/>
              <w:left w:val="nil"/>
              <w:bottom w:val="single" w:sz="4" w:space="0" w:color="000000"/>
              <w:right w:val="nil"/>
            </w:tcBorders>
          </w:tcPr>
          <w:p w14:paraId="79C2936A" w14:textId="77777777" w:rsidR="000B3C5C" w:rsidRDefault="00ED192D">
            <w:pPr>
              <w:spacing w:after="0" w:line="259" w:lineRule="auto"/>
              <w:ind w:left="122" w:right="66" w:firstLine="0"/>
              <w:jc w:val="both"/>
            </w:pPr>
            <w:r>
              <w:rPr>
                <w:rFonts w:ascii="Arial" w:eastAsia="Arial" w:hAnsi="Arial" w:cs="Arial"/>
                <w:b/>
                <w:sz w:val="20"/>
              </w:rPr>
              <w:t xml:space="preserve">Section # and Name </w:t>
            </w:r>
          </w:p>
        </w:tc>
        <w:tc>
          <w:tcPr>
            <w:tcW w:w="3275" w:type="dxa"/>
            <w:tcBorders>
              <w:top w:val="single" w:sz="4" w:space="0" w:color="000000"/>
              <w:left w:val="nil"/>
              <w:bottom w:val="single" w:sz="4" w:space="0" w:color="000000"/>
              <w:right w:val="nil"/>
            </w:tcBorders>
          </w:tcPr>
          <w:p w14:paraId="389E3D20" w14:textId="77777777" w:rsidR="000B3C5C" w:rsidRDefault="00ED192D">
            <w:pPr>
              <w:spacing w:after="0" w:line="259" w:lineRule="auto"/>
              <w:ind w:left="0" w:firstLine="0"/>
            </w:pPr>
            <w:r>
              <w:rPr>
                <w:rFonts w:ascii="Arial" w:eastAsia="Arial" w:hAnsi="Arial" w:cs="Arial"/>
                <w:b/>
                <w:sz w:val="20"/>
              </w:rPr>
              <w:t xml:space="preserve">Description of Change </w:t>
            </w:r>
          </w:p>
        </w:tc>
        <w:tc>
          <w:tcPr>
            <w:tcW w:w="4791" w:type="dxa"/>
            <w:tcBorders>
              <w:top w:val="single" w:sz="4" w:space="0" w:color="000000"/>
              <w:left w:val="nil"/>
              <w:bottom w:val="single" w:sz="4" w:space="0" w:color="000000"/>
              <w:right w:val="nil"/>
            </w:tcBorders>
          </w:tcPr>
          <w:p w14:paraId="299BBDFB" w14:textId="77777777" w:rsidR="000B3C5C" w:rsidRDefault="00ED192D">
            <w:pPr>
              <w:spacing w:after="0" w:line="259" w:lineRule="auto"/>
              <w:ind w:left="0" w:firstLine="0"/>
            </w:pPr>
            <w:r>
              <w:rPr>
                <w:rFonts w:ascii="Arial" w:eastAsia="Arial" w:hAnsi="Arial" w:cs="Arial"/>
                <w:b/>
                <w:sz w:val="20"/>
              </w:rPr>
              <w:t xml:space="preserve">Brief Rationale </w:t>
            </w:r>
          </w:p>
        </w:tc>
      </w:tr>
      <w:tr w:rsidR="000B3C5C" w14:paraId="023AF17A" w14:textId="77777777">
        <w:trPr>
          <w:trHeight w:val="2376"/>
        </w:trPr>
        <w:tc>
          <w:tcPr>
            <w:tcW w:w="1634" w:type="dxa"/>
            <w:tcBorders>
              <w:top w:val="single" w:sz="4" w:space="0" w:color="000000"/>
              <w:left w:val="nil"/>
              <w:bottom w:val="single" w:sz="4" w:space="0" w:color="000000"/>
              <w:right w:val="nil"/>
            </w:tcBorders>
          </w:tcPr>
          <w:p w14:paraId="21DD835D" w14:textId="77777777" w:rsidR="000B3C5C" w:rsidRDefault="00ED192D">
            <w:pPr>
              <w:spacing w:after="0" w:line="259" w:lineRule="auto"/>
              <w:ind w:left="122" w:firstLine="0"/>
            </w:pPr>
            <w:r>
              <w:rPr>
                <w:rFonts w:ascii="Arial" w:eastAsia="Arial" w:hAnsi="Arial" w:cs="Arial"/>
                <w:sz w:val="20"/>
              </w:rPr>
              <w:t xml:space="preserve">Section 10.21 </w:t>
            </w:r>
          </w:p>
        </w:tc>
        <w:tc>
          <w:tcPr>
            <w:tcW w:w="3275" w:type="dxa"/>
            <w:tcBorders>
              <w:top w:val="single" w:sz="4" w:space="0" w:color="000000"/>
              <w:left w:val="nil"/>
              <w:bottom w:val="single" w:sz="4" w:space="0" w:color="000000"/>
              <w:right w:val="nil"/>
            </w:tcBorders>
          </w:tcPr>
          <w:p w14:paraId="4A054F51" w14:textId="77777777" w:rsidR="000B3C5C" w:rsidRDefault="00ED192D">
            <w:pPr>
              <w:spacing w:after="41" w:line="259" w:lineRule="auto"/>
              <w:ind w:left="0" w:firstLine="0"/>
            </w:pPr>
            <w:r>
              <w:rPr>
                <w:rFonts w:ascii="Arial" w:eastAsia="Arial" w:hAnsi="Arial" w:cs="Arial"/>
                <w:sz w:val="20"/>
              </w:rPr>
              <w:t xml:space="preserve">Other changes include: </w:t>
            </w:r>
          </w:p>
          <w:p w14:paraId="48C0A9AC" w14:textId="77777777" w:rsidR="000B3C5C" w:rsidRDefault="00ED192D">
            <w:pPr>
              <w:spacing w:after="0" w:line="259" w:lineRule="auto"/>
              <w:ind w:left="0" w:firstLine="0"/>
            </w:pPr>
            <w:r>
              <w:rPr>
                <w:rFonts w:ascii="Arial" w:eastAsia="Arial" w:hAnsi="Arial" w:cs="Arial"/>
                <w:sz w:val="20"/>
              </w:rPr>
              <w:t xml:space="preserve">Inconsistencies correction. </w:t>
            </w:r>
          </w:p>
          <w:p w14:paraId="2239FDC2" w14:textId="77777777" w:rsidR="000B3C5C" w:rsidRDefault="00ED192D">
            <w:pPr>
              <w:spacing w:after="0" w:line="259" w:lineRule="auto"/>
              <w:ind w:left="0" w:firstLine="0"/>
            </w:pPr>
            <w:r>
              <w:rPr>
                <w:rFonts w:ascii="Arial" w:eastAsia="Arial" w:hAnsi="Arial" w:cs="Arial"/>
                <w:sz w:val="20"/>
              </w:rPr>
              <w:t xml:space="preserve"> </w:t>
            </w:r>
          </w:p>
          <w:p w14:paraId="25C8BFE3" w14:textId="77777777" w:rsidR="000B3C5C" w:rsidRDefault="00ED192D">
            <w:pPr>
              <w:spacing w:after="0" w:line="259" w:lineRule="auto"/>
              <w:ind w:left="0" w:firstLine="0"/>
            </w:pPr>
            <w:r>
              <w:rPr>
                <w:rFonts w:ascii="Arial" w:eastAsia="Arial" w:hAnsi="Arial" w:cs="Arial"/>
                <w:sz w:val="20"/>
              </w:rPr>
              <w:t xml:space="preserve"> </w:t>
            </w:r>
          </w:p>
          <w:p w14:paraId="21763B16" w14:textId="77777777" w:rsidR="000B3C5C" w:rsidRDefault="00ED192D">
            <w:pPr>
              <w:spacing w:after="0" w:line="259" w:lineRule="auto"/>
              <w:ind w:left="0" w:firstLine="0"/>
            </w:pPr>
            <w:r>
              <w:rPr>
                <w:rFonts w:ascii="Arial" w:eastAsia="Arial" w:hAnsi="Arial" w:cs="Arial"/>
                <w:sz w:val="20"/>
              </w:rPr>
              <w:t xml:space="preserve"> </w:t>
            </w:r>
          </w:p>
          <w:p w14:paraId="4FC589BE" w14:textId="77777777" w:rsidR="000B3C5C" w:rsidRDefault="00ED192D">
            <w:pPr>
              <w:spacing w:after="43" w:line="259" w:lineRule="auto"/>
              <w:ind w:left="0" w:firstLine="0"/>
            </w:pPr>
            <w:r>
              <w:rPr>
                <w:rFonts w:ascii="Arial" w:eastAsia="Arial" w:hAnsi="Arial" w:cs="Arial"/>
                <w:sz w:val="20"/>
              </w:rPr>
              <w:t xml:space="preserve"> </w:t>
            </w:r>
          </w:p>
          <w:p w14:paraId="68421430" w14:textId="77777777" w:rsidR="000B3C5C" w:rsidRDefault="00ED192D">
            <w:pPr>
              <w:spacing w:after="41" w:line="259" w:lineRule="auto"/>
              <w:ind w:left="0" w:firstLine="0"/>
            </w:pPr>
            <w:r>
              <w:rPr>
                <w:rFonts w:ascii="Arial" w:eastAsia="Arial" w:hAnsi="Arial" w:cs="Arial"/>
                <w:sz w:val="20"/>
              </w:rPr>
              <w:t xml:space="preserve"> </w:t>
            </w:r>
          </w:p>
          <w:p w14:paraId="4A0D714B" w14:textId="77777777" w:rsidR="000B3C5C" w:rsidRDefault="00ED192D">
            <w:pPr>
              <w:spacing w:after="0" w:line="259" w:lineRule="auto"/>
              <w:ind w:left="0" w:firstLine="0"/>
            </w:pPr>
            <w:r>
              <w:rPr>
                <w:rFonts w:ascii="Arial" w:eastAsia="Arial" w:hAnsi="Arial" w:cs="Arial"/>
                <w:sz w:val="20"/>
              </w:rPr>
              <w:t xml:space="preserve">Introductory paragraphs were included for each type of atezolizumab-specific AE. </w:t>
            </w:r>
          </w:p>
        </w:tc>
        <w:tc>
          <w:tcPr>
            <w:tcW w:w="4791" w:type="dxa"/>
            <w:tcBorders>
              <w:top w:val="single" w:sz="4" w:space="0" w:color="000000"/>
              <w:left w:val="nil"/>
              <w:bottom w:val="single" w:sz="4" w:space="0" w:color="000000"/>
              <w:right w:val="nil"/>
            </w:tcBorders>
          </w:tcPr>
          <w:p w14:paraId="00C02DC1" w14:textId="77777777" w:rsidR="000B3C5C" w:rsidRDefault="00ED192D">
            <w:pPr>
              <w:spacing w:after="41" w:line="259" w:lineRule="auto"/>
              <w:ind w:left="0" w:firstLine="0"/>
            </w:pPr>
            <w:r>
              <w:rPr>
                <w:rFonts w:ascii="Arial" w:eastAsia="Arial" w:hAnsi="Arial" w:cs="Arial"/>
                <w:sz w:val="20"/>
              </w:rPr>
              <w:t xml:space="preserve"> </w:t>
            </w:r>
          </w:p>
          <w:p w14:paraId="67A800FB" w14:textId="77777777" w:rsidR="000B3C5C" w:rsidRDefault="00ED192D">
            <w:pPr>
              <w:spacing w:after="31" w:line="232" w:lineRule="auto"/>
              <w:ind w:left="0" w:firstLine="0"/>
            </w:pPr>
            <w:r>
              <w:rPr>
                <w:rFonts w:ascii="Arial" w:eastAsia="Arial" w:hAnsi="Arial" w:cs="Arial"/>
                <w:sz w:val="20"/>
              </w:rPr>
              <w:t>Inconsistencies include, for example: correction of “delay cycle” to “delay or omit dose” for consistency with Section 6.6.2 where dose omission is allowed; ensuring descriptions for isatuximab management are in the correct column of the tables.</w:t>
            </w:r>
            <w:r>
              <w:t xml:space="preserve"> </w:t>
            </w:r>
          </w:p>
          <w:p w14:paraId="333A7C0C" w14:textId="77777777" w:rsidR="000B3C5C" w:rsidRDefault="00ED192D">
            <w:pPr>
              <w:spacing w:after="41" w:line="259" w:lineRule="auto"/>
              <w:ind w:left="0" w:firstLine="0"/>
            </w:pPr>
            <w:r>
              <w:rPr>
                <w:rFonts w:ascii="Arial" w:eastAsia="Arial" w:hAnsi="Arial" w:cs="Arial"/>
                <w:sz w:val="20"/>
              </w:rPr>
              <w:t xml:space="preserve"> </w:t>
            </w:r>
          </w:p>
          <w:p w14:paraId="65B595A6" w14:textId="77777777" w:rsidR="000B3C5C" w:rsidRDefault="00ED192D">
            <w:pPr>
              <w:spacing w:after="0" w:line="259" w:lineRule="auto"/>
              <w:ind w:left="0" w:firstLine="0"/>
            </w:pPr>
            <w:r>
              <w:rPr>
                <w:rFonts w:ascii="Arial" w:eastAsia="Arial" w:hAnsi="Arial" w:cs="Arial"/>
                <w:sz w:val="20"/>
              </w:rPr>
              <w:t xml:space="preserve">To provide additional relevant information for management of atezolizumab-specific AEs in alignment with the atezolizumab program (adapted from atezolizumab IB). </w:t>
            </w:r>
          </w:p>
        </w:tc>
      </w:tr>
      <w:tr w:rsidR="000B3C5C" w14:paraId="4A5A472A" w14:textId="77777777">
        <w:trPr>
          <w:trHeight w:val="589"/>
        </w:trPr>
        <w:tc>
          <w:tcPr>
            <w:tcW w:w="1634" w:type="dxa"/>
            <w:tcBorders>
              <w:top w:val="single" w:sz="4" w:space="0" w:color="000000"/>
              <w:left w:val="nil"/>
              <w:bottom w:val="single" w:sz="4" w:space="0" w:color="000000"/>
              <w:right w:val="nil"/>
            </w:tcBorders>
          </w:tcPr>
          <w:p w14:paraId="2A4E8593" w14:textId="77777777" w:rsidR="000B3C5C" w:rsidRDefault="00ED192D">
            <w:pPr>
              <w:spacing w:after="0" w:line="259" w:lineRule="auto"/>
              <w:ind w:left="122" w:firstLine="0"/>
            </w:pPr>
            <w:r>
              <w:rPr>
                <w:rFonts w:ascii="Arial" w:eastAsia="Arial" w:hAnsi="Arial" w:cs="Arial"/>
                <w:sz w:val="20"/>
              </w:rPr>
              <w:t xml:space="preserve">Throughout </w:t>
            </w:r>
          </w:p>
        </w:tc>
        <w:tc>
          <w:tcPr>
            <w:tcW w:w="3275" w:type="dxa"/>
            <w:tcBorders>
              <w:top w:val="single" w:sz="4" w:space="0" w:color="000000"/>
              <w:left w:val="nil"/>
              <w:bottom w:val="single" w:sz="4" w:space="0" w:color="000000"/>
              <w:right w:val="nil"/>
            </w:tcBorders>
          </w:tcPr>
          <w:p w14:paraId="21673159" w14:textId="77777777" w:rsidR="000B3C5C" w:rsidRDefault="00ED192D">
            <w:pPr>
              <w:spacing w:after="0" w:line="259" w:lineRule="auto"/>
              <w:ind w:left="0" w:firstLine="0"/>
            </w:pPr>
            <w:r>
              <w:rPr>
                <w:rFonts w:ascii="Arial" w:eastAsia="Arial" w:hAnsi="Arial" w:cs="Arial"/>
                <w:sz w:val="20"/>
              </w:rPr>
              <w:t xml:space="preserve">Grammatical corrections and formatting edits. </w:t>
            </w:r>
          </w:p>
        </w:tc>
        <w:tc>
          <w:tcPr>
            <w:tcW w:w="4791" w:type="dxa"/>
            <w:tcBorders>
              <w:top w:val="single" w:sz="4" w:space="0" w:color="000000"/>
              <w:left w:val="nil"/>
              <w:bottom w:val="single" w:sz="4" w:space="0" w:color="000000"/>
              <w:right w:val="nil"/>
            </w:tcBorders>
          </w:tcPr>
          <w:p w14:paraId="0EDCDEC1" w14:textId="77777777" w:rsidR="000B3C5C" w:rsidRDefault="00ED192D">
            <w:pPr>
              <w:spacing w:after="0" w:line="259" w:lineRule="auto"/>
              <w:ind w:left="0" w:firstLine="0"/>
            </w:pPr>
            <w:r>
              <w:rPr>
                <w:rFonts w:ascii="Arial" w:eastAsia="Arial" w:hAnsi="Arial" w:cs="Arial"/>
                <w:sz w:val="20"/>
              </w:rPr>
              <w:t xml:space="preserve">To correct grammatical errors and improve readability. </w:t>
            </w:r>
          </w:p>
        </w:tc>
      </w:tr>
    </w:tbl>
    <w:p w14:paraId="0468E0D1" w14:textId="77777777" w:rsidR="000B3C5C" w:rsidRDefault="00ED192D">
      <w:pPr>
        <w:pStyle w:val="Heading2"/>
        <w:tabs>
          <w:tab w:val="center" w:pos="3019"/>
        </w:tabs>
        <w:spacing w:after="249"/>
        <w:ind w:left="-15" w:firstLine="0"/>
      </w:pPr>
      <w:r>
        <w:rPr>
          <w:rFonts w:ascii="Arial" w:eastAsia="Arial" w:hAnsi="Arial" w:cs="Arial"/>
          <w:sz w:val="22"/>
        </w:rPr>
        <w:t xml:space="preserve">10.10.4 </w:t>
      </w:r>
      <w:r>
        <w:rPr>
          <w:rFonts w:ascii="Arial" w:eastAsia="Arial" w:hAnsi="Arial" w:cs="Arial"/>
          <w:sz w:val="22"/>
        </w:rPr>
        <w:tab/>
        <w:t xml:space="preserve">Amendment 04 (11 June 2019)  </w:t>
      </w:r>
    </w:p>
    <w:p w14:paraId="46855B23" w14:textId="77777777" w:rsidR="000B3C5C" w:rsidRDefault="00ED192D">
      <w:pPr>
        <w:spacing w:after="268"/>
        <w:ind w:left="-3" w:right="14"/>
      </w:pPr>
      <w:r>
        <w:t xml:space="preserve">This amendment is considered to be substantial based on the criteria set forth in Article 10(a) of Directive 2001/20/EC of the European Parliament and the Council of the European Union </w:t>
      </w:r>
    </w:p>
    <w:p w14:paraId="050623D0" w14:textId="77777777" w:rsidR="000B3C5C" w:rsidRDefault="00ED192D">
      <w:pPr>
        <w:pStyle w:val="Heading1"/>
        <w:ind w:left="-3"/>
      </w:pPr>
      <w:r>
        <w:t xml:space="preserve">OVERALL RATIONALE FOR THE AMENDMENT </w:t>
      </w:r>
    </w:p>
    <w:p w14:paraId="57988AB9" w14:textId="77777777" w:rsidR="000B3C5C" w:rsidRDefault="00ED192D">
      <w:pPr>
        <w:ind w:left="-3" w:right="14"/>
      </w:pPr>
      <w:r>
        <w:t xml:space="preserve">Based on updated pharmacokinetic characterization of isatuximab, the plasma half-life has been re-estimated to 28 days. As duration of contraceptive measures is required to last for 5 half-lives, a revised duration of contraceptive measures of 5 months after the last isatuximab dose is required. In addition, management guidelines for immune-related myositis are also included in the Appendix (information that has previously been communicated in February 2019 to study Investigators).  </w:t>
      </w:r>
    </w:p>
    <w:p w14:paraId="120EC2D6" w14:textId="77777777" w:rsidR="000B3C5C" w:rsidRDefault="00ED192D">
      <w:pPr>
        <w:spacing w:after="4" w:line="250" w:lineRule="auto"/>
        <w:ind w:left="15" w:right="3"/>
        <w:jc w:val="center"/>
      </w:pPr>
      <w:r>
        <w:rPr>
          <w:rFonts w:ascii="Arial" w:eastAsia="Arial" w:hAnsi="Arial" w:cs="Arial"/>
          <w:b/>
          <w:sz w:val="20"/>
        </w:rPr>
        <w:t>Protocol amendment summary of changes table</w:t>
      </w:r>
      <w:r>
        <w:t xml:space="preserve"> </w:t>
      </w:r>
    </w:p>
    <w:tbl>
      <w:tblPr>
        <w:tblStyle w:val="TableGrid"/>
        <w:tblW w:w="9700" w:type="dxa"/>
        <w:tblInd w:w="-122" w:type="dxa"/>
        <w:tblCellMar>
          <w:top w:w="47" w:type="dxa"/>
          <w:left w:w="0" w:type="dxa"/>
          <w:bottom w:w="0" w:type="dxa"/>
          <w:right w:w="149" w:type="dxa"/>
        </w:tblCellMar>
        <w:tblLook w:val="04A0" w:firstRow="1" w:lastRow="0" w:firstColumn="1" w:lastColumn="0" w:noHBand="0" w:noVBand="1"/>
      </w:tblPr>
      <w:tblGrid>
        <w:gridCol w:w="2172"/>
        <w:gridCol w:w="3580"/>
        <w:gridCol w:w="3948"/>
      </w:tblGrid>
      <w:tr w:rsidR="000B3C5C" w14:paraId="5448BD64" w14:textId="77777777">
        <w:trPr>
          <w:trHeight w:val="590"/>
        </w:trPr>
        <w:tc>
          <w:tcPr>
            <w:tcW w:w="1634" w:type="dxa"/>
            <w:tcBorders>
              <w:top w:val="single" w:sz="4" w:space="0" w:color="000000"/>
              <w:left w:val="nil"/>
              <w:bottom w:val="single" w:sz="4" w:space="0" w:color="000000"/>
              <w:right w:val="nil"/>
            </w:tcBorders>
          </w:tcPr>
          <w:p w14:paraId="5B55473C" w14:textId="77777777" w:rsidR="000B3C5C" w:rsidRDefault="00ED192D">
            <w:pPr>
              <w:spacing w:after="0" w:line="259" w:lineRule="auto"/>
              <w:ind w:left="122" w:right="3" w:firstLine="0"/>
              <w:jc w:val="both"/>
            </w:pPr>
            <w:r>
              <w:rPr>
                <w:rFonts w:ascii="Arial" w:eastAsia="Arial" w:hAnsi="Arial" w:cs="Arial"/>
                <w:b/>
                <w:sz w:val="20"/>
              </w:rPr>
              <w:t xml:space="preserve">Section # and Name </w:t>
            </w:r>
          </w:p>
        </w:tc>
        <w:tc>
          <w:tcPr>
            <w:tcW w:w="3843" w:type="dxa"/>
            <w:tcBorders>
              <w:top w:val="single" w:sz="4" w:space="0" w:color="000000"/>
              <w:left w:val="nil"/>
              <w:bottom w:val="single" w:sz="4" w:space="0" w:color="000000"/>
              <w:right w:val="nil"/>
            </w:tcBorders>
          </w:tcPr>
          <w:p w14:paraId="719AAB2D" w14:textId="77777777" w:rsidR="000B3C5C" w:rsidRDefault="00ED192D">
            <w:pPr>
              <w:spacing w:after="0" w:line="259" w:lineRule="auto"/>
              <w:ind w:left="0" w:firstLine="0"/>
            </w:pPr>
            <w:r>
              <w:rPr>
                <w:rFonts w:ascii="Arial" w:eastAsia="Arial" w:hAnsi="Arial" w:cs="Arial"/>
                <w:b/>
                <w:sz w:val="20"/>
              </w:rPr>
              <w:t xml:space="preserve">Description of Change </w:t>
            </w:r>
          </w:p>
        </w:tc>
        <w:tc>
          <w:tcPr>
            <w:tcW w:w="4223" w:type="dxa"/>
            <w:tcBorders>
              <w:top w:val="single" w:sz="4" w:space="0" w:color="000000"/>
              <w:left w:val="nil"/>
              <w:bottom w:val="single" w:sz="4" w:space="0" w:color="000000"/>
              <w:right w:val="nil"/>
            </w:tcBorders>
          </w:tcPr>
          <w:p w14:paraId="55A5CA24" w14:textId="77777777" w:rsidR="000B3C5C" w:rsidRDefault="00ED192D">
            <w:pPr>
              <w:spacing w:after="0" w:line="259" w:lineRule="auto"/>
              <w:ind w:left="0" w:firstLine="0"/>
            </w:pPr>
            <w:r>
              <w:rPr>
                <w:rFonts w:ascii="Arial" w:eastAsia="Arial" w:hAnsi="Arial" w:cs="Arial"/>
                <w:b/>
                <w:sz w:val="20"/>
              </w:rPr>
              <w:t xml:space="preserve">Brief Rationale </w:t>
            </w:r>
          </w:p>
        </w:tc>
      </w:tr>
      <w:tr w:rsidR="000B3C5C" w14:paraId="31529477" w14:textId="77777777">
        <w:trPr>
          <w:trHeight w:val="2655"/>
        </w:trPr>
        <w:tc>
          <w:tcPr>
            <w:tcW w:w="1634" w:type="dxa"/>
            <w:tcBorders>
              <w:top w:val="single" w:sz="4" w:space="0" w:color="000000"/>
              <w:left w:val="nil"/>
              <w:bottom w:val="single" w:sz="4" w:space="0" w:color="000000"/>
              <w:right w:val="nil"/>
            </w:tcBorders>
          </w:tcPr>
          <w:p w14:paraId="059677E7" w14:textId="77777777" w:rsidR="000B3C5C" w:rsidRDefault="00ED192D">
            <w:pPr>
              <w:spacing w:after="0" w:line="241" w:lineRule="auto"/>
              <w:ind w:left="122" w:firstLine="0"/>
            </w:pPr>
            <w:r>
              <w:rPr>
                <w:rFonts w:ascii="Arial" w:eastAsia="Arial" w:hAnsi="Arial" w:cs="Arial"/>
                <w:sz w:val="20"/>
              </w:rPr>
              <w:t xml:space="preserve">1.3 Schedule of activities; </w:t>
            </w:r>
          </w:p>
          <w:p w14:paraId="788292D6" w14:textId="77777777" w:rsidR="000B3C5C" w:rsidRDefault="00ED192D">
            <w:pPr>
              <w:spacing w:after="0" w:line="241" w:lineRule="auto"/>
              <w:ind w:left="122" w:firstLine="0"/>
            </w:pPr>
            <w:r>
              <w:rPr>
                <w:rFonts w:ascii="Arial" w:eastAsia="Arial" w:hAnsi="Arial" w:cs="Arial"/>
                <w:sz w:val="20"/>
              </w:rPr>
              <w:t xml:space="preserve">8.3.5 Pregnancy; 10.3 Clinical laboratory tests; </w:t>
            </w:r>
          </w:p>
          <w:p w14:paraId="4448053E" w14:textId="77777777" w:rsidR="000B3C5C" w:rsidRDefault="00ED192D">
            <w:pPr>
              <w:spacing w:after="0" w:line="259" w:lineRule="auto"/>
              <w:ind w:left="122" w:firstLine="0"/>
            </w:pPr>
            <w:r>
              <w:rPr>
                <w:rFonts w:ascii="Arial" w:eastAsia="Arial" w:hAnsi="Arial" w:cs="Arial"/>
                <w:sz w:val="20"/>
              </w:rPr>
              <w:t xml:space="preserve">10.4 </w:t>
            </w:r>
          </w:p>
          <w:p w14:paraId="19FDEBC6" w14:textId="77777777" w:rsidR="000B3C5C" w:rsidRDefault="00ED192D">
            <w:pPr>
              <w:spacing w:after="0" w:line="259" w:lineRule="auto"/>
              <w:ind w:left="122" w:firstLine="0"/>
            </w:pPr>
            <w:r>
              <w:rPr>
                <w:rFonts w:ascii="Arial" w:eastAsia="Arial" w:hAnsi="Arial" w:cs="Arial"/>
                <w:sz w:val="20"/>
              </w:rPr>
              <w:t xml:space="preserve">Contraceptive guidance and collection of pregnancy information </w:t>
            </w:r>
          </w:p>
        </w:tc>
        <w:tc>
          <w:tcPr>
            <w:tcW w:w="3843" w:type="dxa"/>
            <w:tcBorders>
              <w:top w:val="single" w:sz="4" w:space="0" w:color="000000"/>
              <w:left w:val="nil"/>
              <w:bottom w:val="single" w:sz="4" w:space="0" w:color="000000"/>
              <w:right w:val="nil"/>
            </w:tcBorders>
          </w:tcPr>
          <w:p w14:paraId="3D4AD303" w14:textId="77777777" w:rsidR="000B3C5C" w:rsidRDefault="00ED192D">
            <w:pPr>
              <w:spacing w:after="0" w:line="259" w:lineRule="auto"/>
              <w:ind w:left="0" w:firstLine="0"/>
            </w:pPr>
            <w:r>
              <w:rPr>
                <w:rFonts w:ascii="Arial" w:eastAsia="Arial" w:hAnsi="Arial" w:cs="Arial"/>
                <w:sz w:val="20"/>
              </w:rPr>
              <w:t xml:space="preserve">Pregnancy test is extended to monthly until 5 months after last dose of study treatment. </w:t>
            </w:r>
          </w:p>
        </w:tc>
        <w:tc>
          <w:tcPr>
            <w:tcW w:w="4223" w:type="dxa"/>
            <w:tcBorders>
              <w:top w:val="single" w:sz="4" w:space="0" w:color="000000"/>
              <w:left w:val="nil"/>
              <w:bottom w:val="single" w:sz="4" w:space="0" w:color="000000"/>
              <w:right w:val="nil"/>
            </w:tcBorders>
          </w:tcPr>
          <w:p w14:paraId="7A8DE9E3" w14:textId="77777777" w:rsidR="000B3C5C" w:rsidRDefault="00ED192D">
            <w:pPr>
              <w:spacing w:after="0" w:line="259" w:lineRule="auto"/>
              <w:ind w:left="0" w:firstLine="0"/>
            </w:pPr>
            <w:r>
              <w:rPr>
                <w:rFonts w:ascii="Arial" w:eastAsia="Arial" w:hAnsi="Arial" w:cs="Arial"/>
                <w:sz w:val="20"/>
              </w:rPr>
              <w:t xml:space="preserve">Monthly pregnancy test is implemented until end of the extended contraception period. </w:t>
            </w:r>
          </w:p>
        </w:tc>
      </w:tr>
      <w:tr w:rsidR="000B3C5C" w14:paraId="66268AE0" w14:textId="77777777">
        <w:trPr>
          <w:trHeight w:val="590"/>
        </w:trPr>
        <w:tc>
          <w:tcPr>
            <w:tcW w:w="1634" w:type="dxa"/>
            <w:tcBorders>
              <w:top w:val="single" w:sz="4" w:space="0" w:color="000000"/>
              <w:left w:val="nil"/>
              <w:bottom w:val="single" w:sz="4" w:space="0" w:color="000000"/>
              <w:right w:val="nil"/>
            </w:tcBorders>
          </w:tcPr>
          <w:p w14:paraId="48165B64" w14:textId="77777777" w:rsidR="000B3C5C" w:rsidRDefault="00ED192D">
            <w:pPr>
              <w:spacing w:after="0" w:line="259" w:lineRule="auto"/>
              <w:ind w:left="122" w:firstLine="0"/>
            </w:pPr>
            <w:r>
              <w:rPr>
                <w:rFonts w:ascii="Arial" w:eastAsia="Arial" w:hAnsi="Arial" w:cs="Arial"/>
                <w:sz w:val="20"/>
              </w:rPr>
              <w:t xml:space="preserve">4.4 Justification for Dose </w:t>
            </w:r>
          </w:p>
        </w:tc>
        <w:tc>
          <w:tcPr>
            <w:tcW w:w="3843" w:type="dxa"/>
            <w:tcBorders>
              <w:top w:val="single" w:sz="4" w:space="0" w:color="000000"/>
              <w:left w:val="nil"/>
              <w:bottom w:val="single" w:sz="4" w:space="0" w:color="000000"/>
              <w:right w:val="nil"/>
            </w:tcBorders>
          </w:tcPr>
          <w:p w14:paraId="1CBCF415" w14:textId="77777777" w:rsidR="000B3C5C" w:rsidRDefault="00ED192D">
            <w:pPr>
              <w:spacing w:after="0" w:line="259" w:lineRule="auto"/>
              <w:ind w:left="0" w:firstLine="0"/>
            </w:pPr>
            <w:r>
              <w:rPr>
                <w:rFonts w:ascii="Arial" w:eastAsia="Arial" w:hAnsi="Arial" w:cs="Arial"/>
                <w:sz w:val="20"/>
              </w:rPr>
              <w:t xml:space="preserve">Re-estimation of isatuximab half-life of 28 days is included. </w:t>
            </w:r>
          </w:p>
        </w:tc>
        <w:tc>
          <w:tcPr>
            <w:tcW w:w="4223" w:type="dxa"/>
            <w:tcBorders>
              <w:top w:val="single" w:sz="4" w:space="0" w:color="000000"/>
              <w:left w:val="nil"/>
              <w:bottom w:val="single" w:sz="4" w:space="0" w:color="000000"/>
              <w:right w:val="nil"/>
            </w:tcBorders>
          </w:tcPr>
          <w:p w14:paraId="17EC7A8F" w14:textId="77777777" w:rsidR="000B3C5C" w:rsidRDefault="00ED192D">
            <w:pPr>
              <w:spacing w:after="0" w:line="259" w:lineRule="auto"/>
              <w:ind w:left="0" w:firstLine="0"/>
            </w:pPr>
            <w:r>
              <w:rPr>
                <w:rFonts w:ascii="Arial" w:eastAsia="Arial" w:hAnsi="Arial" w:cs="Arial"/>
                <w:sz w:val="20"/>
              </w:rPr>
              <w:t xml:space="preserve">Based on updated pharmacokinetic characterization of isatuximab. </w:t>
            </w:r>
          </w:p>
        </w:tc>
      </w:tr>
      <w:tr w:rsidR="000B3C5C" w14:paraId="51D6B622" w14:textId="77777777">
        <w:trPr>
          <w:trHeight w:val="986"/>
        </w:trPr>
        <w:tc>
          <w:tcPr>
            <w:tcW w:w="1634" w:type="dxa"/>
            <w:tcBorders>
              <w:top w:val="single" w:sz="4" w:space="0" w:color="000000"/>
              <w:left w:val="nil"/>
              <w:bottom w:val="single" w:sz="4" w:space="0" w:color="000000"/>
              <w:right w:val="nil"/>
            </w:tcBorders>
          </w:tcPr>
          <w:p w14:paraId="6FAAA5CA" w14:textId="77777777" w:rsidR="000B3C5C" w:rsidRDefault="00ED192D">
            <w:pPr>
              <w:spacing w:after="0" w:line="259" w:lineRule="auto"/>
              <w:ind w:left="122" w:firstLine="0"/>
            </w:pPr>
            <w:r>
              <w:rPr>
                <w:rFonts w:ascii="Arial" w:eastAsia="Arial" w:hAnsi="Arial" w:cs="Arial"/>
                <w:sz w:val="20"/>
              </w:rPr>
              <w:t xml:space="preserve">10.4  </w:t>
            </w:r>
          </w:p>
          <w:p w14:paraId="00A71E3D" w14:textId="77777777" w:rsidR="000B3C5C" w:rsidRDefault="00ED192D">
            <w:pPr>
              <w:spacing w:after="0" w:line="259" w:lineRule="auto"/>
              <w:ind w:left="122" w:firstLine="0"/>
            </w:pPr>
            <w:r>
              <w:rPr>
                <w:rFonts w:ascii="Arial" w:eastAsia="Arial" w:hAnsi="Arial" w:cs="Arial"/>
                <w:sz w:val="20"/>
              </w:rPr>
              <w:t xml:space="preserve">Contraceptive guidance and collection of </w:t>
            </w:r>
          </w:p>
        </w:tc>
        <w:tc>
          <w:tcPr>
            <w:tcW w:w="3843" w:type="dxa"/>
            <w:tcBorders>
              <w:top w:val="single" w:sz="4" w:space="0" w:color="000000"/>
              <w:left w:val="nil"/>
              <w:bottom w:val="single" w:sz="4" w:space="0" w:color="000000"/>
              <w:right w:val="nil"/>
            </w:tcBorders>
          </w:tcPr>
          <w:p w14:paraId="263FB432" w14:textId="77777777" w:rsidR="000B3C5C" w:rsidRDefault="00ED192D">
            <w:pPr>
              <w:spacing w:after="0" w:line="259" w:lineRule="auto"/>
              <w:ind w:left="0" w:firstLine="0"/>
            </w:pPr>
            <w:r>
              <w:rPr>
                <w:rFonts w:ascii="Arial" w:eastAsia="Arial" w:hAnsi="Arial" w:cs="Arial"/>
                <w:sz w:val="20"/>
              </w:rPr>
              <w:t xml:space="preserve">Updated effective contraceptive methods are required until 5 months after last dose of study treatment. </w:t>
            </w:r>
          </w:p>
        </w:tc>
        <w:tc>
          <w:tcPr>
            <w:tcW w:w="4223" w:type="dxa"/>
            <w:tcBorders>
              <w:top w:val="single" w:sz="4" w:space="0" w:color="000000"/>
              <w:left w:val="nil"/>
              <w:bottom w:val="single" w:sz="4" w:space="0" w:color="000000"/>
              <w:right w:val="nil"/>
            </w:tcBorders>
          </w:tcPr>
          <w:p w14:paraId="74F0B82E" w14:textId="77777777" w:rsidR="000B3C5C" w:rsidRDefault="00ED192D">
            <w:pPr>
              <w:spacing w:after="0" w:line="259" w:lineRule="auto"/>
              <w:ind w:left="0" w:firstLine="0"/>
            </w:pPr>
            <w:r>
              <w:rPr>
                <w:rFonts w:ascii="Arial" w:eastAsia="Arial" w:hAnsi="Arial" w:cs="Arial"/>
                <w:sz w:val="20"/>
              </w:rPr>
              <w:t xml:space="preserve">5 months of contraception period after last dose of isatuximab is required based on updated pharmacokinetic analysis. </w:t>
            </w:r>
          </w:p>
        </w:tc>
      </w:tr>
      <w:tr w:rsidR="000B3C5C" w14:paraId="3F6464BE" w14:textId="77777777">
        <w:trPr>
          <w:trHeight w:val="590"/>
        </w:trPr>
        <w:tc>
          <w:tcPr>
            <w:tcW w:w="1634" w:type="dxa"/>
            <w:tcBorders>
              <w:top w:val="single" w:sz="4" w:space="0" w:color="000000"/>
              <w:left w:val="nil"/>
              <w:bottom w:val="single" w:sz="4" w:space="0" w:color="000000"/>
              <w:right w:val="nil"/>
            </w:tcBorders>
          </w:tcPr>
          <w:p w14:paraId="35160A59" w14:textId="77777777" w:rsidR="000B3C5C" w:rsidRDefault="00ED192D">
            <w:pPr>
              <w:spacing w:after="0" w:line="259" w:lineRule="auto"/>
              <w:ind w:left="122" w:right="66" w:firstLine="0"/>
              <w:jc w:val="both"/>
            </w:pPr>
            <w:r>
              <w:rPr>
                <w:rFonts w:ascii="Arial" w:eastAsia="Arial" w:hAnsi="Arial" w:cs="Arial"/>
                <w:b/>
                <w:sz w:val="20"/>
              </w:rPr>
              <w:t xml:space="preserve">Section # and Name </w:t>
            </w:r>
          </w:p>
        </w:tc>
        <w:tc>
          <w:tcPr>
            <w:tcW w:w="3843" w:type="dxa"/>
            <w:tcBorders>
              <w:top w:val="single" w:sz="4" w:space="0" w:color="000000"/>
              <w:left w:val="nil"/>
              <w:bottom w:val="single" w:sz="4" w:space="0" w:color="000000"/>
              <w:right w:val="nil"/>
            </w:tcBorders>
          </w:tcPr>
          <w:p w14:paraId="2997C390" w14:textId="77777777" w:rsidR="000B3C5C" w:rsidRDefault="00ED192D">
            <w:pPr>
              <w:spacing w:after="0" w:line="259" w:lineRule="auto"/>
              <w:ind w:left="0" w:firstLine="0"/>
            </w:pPr>
            <w:r>
              <w:rPr>
                <w:rFonts w:ascii="Arial" w:eastAsia="Arial" w:hAnsi="Arial" w:cs="Arial"/>
                <w:b/>
                <w:sz w:val="20"/>
              </w:rPr>
              <w:t xml:space="preserve">Description of Change </w:t>
            </w:r>
          </w:p>
        </w:tc>
        <w:tc>
          <w:tcPr>
            <w:tcW w:w="4223" w:type="dxa"/>
            <w:tcBorders>
              <w:top w:val="single" w:sz="4" w:space="0" w:color="000000"/>
              <w:left w:val="nil"/>
              <w:bottom w:val="single" w:sz="4" w:space="0" w:color="000000"/>
              <w:right w:val="nil"/>
            </w:tcBorders>
          </w:tcPr>
          <w:p w14:paraId="3E362CE0" w14:textId="77777777" w:rsidR="000B3C5C" w:rsidRDefault="00ED192D">
            <w:pPr>
              <w:spacing w:after="0" w:line="259" w:lineRule="auto"/>
              <w:ind w:left="0" w:firstLine="0"/>
            </w:pPr>
            <w:r>
              <w:rPr>
                <w:rFonts w:ascii="Arial" w:eastAsia="Arial" w:hAnsi="Arial" w:cs="Arial"/>
                <w:b/>
                <w:sz w:val="20"/>
              </w:rPr>
              <w:t xml:space="preserve">Brief Rationale </w:t>
            </w:r>
          </w:p>
        </w:tc>
      </w:tr>
      <w:tr w:rsidR="000B3C5C" w14:paraId="1677F06D" w14:textId="77777777">
        <w:trPr>
          <w:trHeight w:val="528"/>
        </w:trPr>
        <w:tc>
          <w:tcPr>
            <w:tcW w:w="1634" w:type="dxa"/>
            <w:tcBorders>
              <w:top w:val="single" w:sz="4" w:space="0" w:color="000000"/>
              <w:left w:val="nil"/>
              <w:bottom w:val="single" w:sz="4" w:space="0" w:color="000000"/>
              <w:right w:val="nil"/>
            </w:tcBorders>
          </w:tcPr>
          <w:p w14:paraId="09799EEC" w14:textId="77777777" w:rsidR="000B3C5C" w:rsidRDefault="00ED192D">
            <w:pPr>
              <w:spacing w:after="0" w:line="259" w:lineRule="auto"/>
              <w:ind w:left="122" w:firstLine="0"/>
            </w:pPr>
            <w:r>
              <w:rPr>
                <w:rFonts w:ascii="Arial" w:eastAsia="Arial" w:hAnsi="Arial" w:cs="Arial"/>
                <w:sz w:val="20"/>
              </w:rPr>
              <w:t xml:space="preserve">pregnancy information </w:t>
            </w:r>
          </w:p>
        </w:tc>
        <w:tc>
          <w:tcPr>
            <w:tcW w:w="3843" w:type="dxa"/>
            <w:tcBorders>
              <w:top w:val="single" w:sz="4" w:space="0" w:color="000000"/>
              <w:left w:val="nil"/>
              <w:bottom w:val="single" w:sz="4" w:space="0" w:color="000000"/>
              <w:right w:val="nil"/>
            </w:tcBorders>
          </w:tcPr>
          <w:p w14:paraId="19D28BAB" w14:textId="77777777" w:rsidR="000B3C5C" w:rsidRDefault="000B3C5C">
            <w:pPr>
              <w:spacing w:after="160" w:line="259" w:lineRule="auto"/>
              <w:ind w:left="0" w:firstLine="0"/>
            </w:pPr>
          </w:p>
        </w:tc>
        <w:tc>
          <w:tcPr>
            <w:tcW w:w="4223" w:type="dxa"/>
            <w:tcBorders>
              <w:top w:val="single" w:sz="4" w:space="0" w:color="000000"/>
              <w:left w:val="nil"/>
              <w:bottom w:val="single" w:sz="4" w:space="0" w:color="000000"/>
              <w:right w:val="nil"/>
            </w:tcBorders>
          </w:tcPr>
          <w:p w14:paraId="3D44E0FC" w14:textId="77777777" w:rsidR="000B3C5C" w:rsidRDefault="000B3C5C">
            <w:pPr>
              <w:spacing w:after="160" w:line="259" w:lineRule="auto"/>
              <w:ind w:left="0" w:firstLine="0"/>
            </w:pPr>
          </w:p>
        </w:tc>
      </w:tr>
      <w:tr w:rsidR="000B3C5C" w14:paraId="0BE1A7D5" w14:textId="77777777">
        <w:trPr>
          <w:trHeight w:val="1279"/>
        </w:trPr>
        <w:tc>
          <w:tcPr>
            <w:tcW w:w="1634" w:type="dxa"/>
            <w:tcBorders>
              <w:top w:val="single" w:sz="4" w:space="0" w:color="000000"/>
              <w:left w:val="nil"/>
              <w:bottom w:val="single" w:sz="4" w:space="0" w:color="000000"/>
              <w:right w:val="nil"/>
            </w:tcBorders>
          </w:tcPr>
          <w:p w14:paraId="124F4703" w14:textId="77777777" w:rsidR="000B3C5C" w:rsidRDefault="00ED192D">
            <w:pPr>
              <w:spacing w:after="0" w:line="259" w:lineRule="auto"/>
              <w:ind w:left="122" w:firstLine="0"/>
            </w:pPr>
            <w:r>
              <w:rPr>
                <w:rFonts w:ascii="Arial" w:eastAsia="Arial" w:hAnsi="Arial" w:cs="Arial"/>
                <w:sz w:val="20"/>
              </w:rPr>
              <w:t xml:space="preserve">10.21 </w:t>
            </w:r>
          </w:p>
          <w:p w14:paraId="06640786" w14:textId="77777777" w:rsidR="000B3C5C" w:rsidRDefault="00ED192D">
            <w:pPr>
              <w:spacing w:after="0" w:line="259" w:lineRule="auto"/>
              <w:ind w:left="122" w:firstLine="0"/>
            </w:pPr>
            <w:r>
              <w:rPr>
                <w:rFonts w:ascii="Arial" w:eastAsia="Arial" w:hAnsi="Arial" w:cs="Arial"/>
                <w:sz w:val="20"/>
              </w:rPr>
              <w:t xml:space="preserve">Management of </w:t>
            </w:r>
          </w:p>
          <w:p w14:paraId="46815374" w14:textId="77777777" w:rsidR="000B3C5C" w:rsidRDefault="00ED192D">
            <w:pPr>
              <w:spacing w:after="0" w:line="241" w:lineRule="auto"/>
              <w:ind w:left="122" w:firstLine="0"/>
            </w:pPr>
            <w:r>
              <w:rPr>
                <w:rFonts w:ascii="Arial" w:eastAsia="Arial" w:hAnsi="Arial" w:cs="Arial"/>
                <w:sz w:val="20"/>
              </w:rPr>
              <w:t xml:space="preserve">AtezolizumabSpecific Adverse </w:t>
            </w:r>
          </w:p>
          <w:p w14:paraId="6A6B76AF" w14:textId="77777777" w:rsidR="000B3C5C" w:rsidRDefault="00ED192D">
            <w:pPr>
              <w:spacing w:after="0" w:line="259" w:lineRule="auto"/>
              <w:ind w:left="122" w:firstLine="0"/>
            </w:pPr>
            <w:r>
              <w:rPr>
                <w:rFonts w:ascii="Arial" w:eastAsia="Arial" w:hAnsi="Arial" w:cs="Arial"/>
                <w:sz w:val="20"/>
              </w:rPr>
              <w:t xml:space="preserve">Events </w:t>
            </w:r>
          </w:p>
        </w:tc>
        <w:tc>
          <w:tcPr>
            <w:tcW w:w="3843" w:type="dxa"/>
            <w:tcBorders>
              <w:top w:val="single" w:sz="4" w:space="0" w:color="000000"/>
              <w:left w:val="nil"/>
              <w:bottom w:val="single" w:sz="4" w:space="0" w:color="000000"/>
              <w:right w:val="nil"/>
            </w:tcBorders>
          </w:tcPr>
          <w:p w14:paraId="37B506D8" w14:textId="77777777" w:rsidR="000B3C5C" w:rsidRDefault="00ED192D">
            <w:pPr>
              <w:spacing w:after="0" w:line="259" w:lineRule="auto"/>
              <w:ind w:left="0" w:firstLine="0"/>
            </w:pPr>
            <w:r>
              <w:rPr>
                <w:rFonts w:ascii="Arial" w:eastAsia="Arial" w:hAnsi="Arial" w:cs="Arial"/>
                <w:sz w:val="20"/>
              </w:rPr>
              <w:t xml:space="preserve">Management guideline for immune-related myositis is included. </w:t>
            </w:r>
          </w:p>
        </w:tc>
        <w:tc>
          <w:tcPr>
            <w:tcW w:w="4223" w:type="dxa"/>
            <w:tcBorders>
              <w:top w:val="single" w:sz="4" w:space="0" w:color="000000"/>
              <w:left w:val="nil"/>
              <w:bottom w:val="single" w:sz="4" w:space="0" w:color="000000"/>
              <w:right w:val="nil"/>
            </w:tcBorders>
          </w:tcPr>
          <w:p w14:paraId="36D45C31" w14:textId="77777777" w:rsidR="000B3C5C" w:rsidRDefault="00ED192D">
            <w:pPr>
              <w:spacing w:after="0" w:line="259" w:lineRule="auto"/>
              <w:ind w:left="0" w:firstLine="0"/>
            </w:pPr>
            <w:r>
              <w:rPr>
                <w:rFonts w:ascii="Arial" w:eastAsia="Arial" w:hAnsi="Arial" w:cs="Arial"/>
                <w:sz w:val="20"/>
              </w:rPr>
              <w:t>Immune-</w:t>
            </w:r>
            <w:r>
              <w:rPr>
                <w:rFonts w:ascii="Arial" w:eastAsia="Arial" w:hAnsi="Arial" w:cs="Arial"/>
                <w:sz w:val="20"/>
              </w:rPr>
              <w:t xml:space="preserve">related myositis was identified as a risk for atezolizumab.  Management guideline for immunerelated myositis was previously communicated and was not included in the protocol amendment. </w:t>
            </w:r>
          </w:p>
        </w:tc>
      </w:tr>
    </w:tbl>
    <w:p w14:paraId="6AF05CA9" w14:textId="77777777" w:rsidR="000B3C5C" w:rsidRDefault="00ED192D">
      <w:pPr>
        <w:spacing w:after="439" w:line="259" w:lineRule="auto"/>
        <w:ind w:left="0" w:firstLine="0"/>
      </w:pPr>
      <w:r>
        <w:t xml:space="preserve"> </w:t>
      </w:r>
    </w:p>
    <w:p w14:paraId="221FA7C6" w14:textId="77777777" w:rsidR="000B3C5C" w:rsidRDefault="00ED192D">
      <w:pPr>
        <w:spacing w:after="249" w:line="249" w:lineRule="auto"/>
        <w:ind w:left="662" w:right="328" w:hanging="677"/>
      </w:pPr>
      <w:r>
        <w:rPr>
          <w:rFonts w:ascii="Arial" w:eastAsia="Arial" w:hAnsi="Arial" w:cs="Arial"/>
          <w:b/>
          <w:sz w:val="22"/>
        </w:rPr>
        <w:t xml:space="preserve">10.11 APPENDIX 11: RESPONSE EVALUATION CRITERIA IN SOLID TUMORS VERSION 1.1  </w:t>
      </w:r>
    </w:p>
    <w:p w14:paraId="33740B75" w14:textId="77777777" w:rsidR="000B3C5C" w:rsidRDefault="00ED192D">
      <w:pPr>
        <w:ind w:left="-3" w:right="14"/>
      </w:pPr>
      <w:r>
        <w:t>Details provided in bibliographic reference (</w:t>
      </w:r>
      <w:r>
        <w:rPr>
          <w:color w:val="0000FF"/>
        </w:rPr>
        <w:t>59</w:t>
      </w:r>
      <w:r>
        <w:t xml:space="preserve">). </w:t>
      </w:r>
    </w:p>
    <w:p w14:paraId="05E847A5" w14:textId="77777777" w:rsidR="000B3C5C" w:rsidRDefault="00ED192D">
      <w:pPr>
        <w:pStyle w:val="Heading2"/>
        <w:ind w:left="-5" w:right="51"/>
      </w:pPr>
      <w:r>
        <w:t xml:space="preserve">Measurability of tumor at baseline </w:t>
      </w:r>
    </w:p>
    <w:p w14:paraId="3B114B00" w14:textId="77777777" w:rsidR="000B3C5C" w:rsidRDefault="00ED192D">
      <w:pPr>
        <w:ind w:left="-3" w:right="14"/>
      </w:pPr>
      <w:r>
        <w:t xml:space="preserve">At baseline, tumor lesions/lymph nodes will be categorized measurable or non-measurable as follows. </w:t>
      </w:r>
    </w:p>
    <w:p w14:paraId="21771279" w14:textId="77777777" w:rsidR="000B3C5C" w:rsidRDefault="00ED192D">
      <w:pPr>
        <w:spacing w:after="135"/>
        <w:ind w:left="-3" w:right="14"/>
      </w:pPr>
      <w:r>
        <w:t xml:space="preserve">Measurable lesions must be accurately measured in at least 1 dimension (longest diameter in the plane of the measurement to be recorded) with a minimum size of: </w:t>
      </w:r>
    </w:p>
    <w:p w14:paraId="700C6CC4" w14:textId="77777777" w:rsidR="000B3C5C" w:rsidRDefault="00ED192D">
      <w:pPr>
        <w:numPr>
          <w:ilvl w:val="0"/>
          <w:numId w:val="75"/>
        </w:numPr>
        <w:spacing w:after="91"/>
        <w:ind w:right="32" w:hanging="358"/>
      </w:pPr>
      <w:r>
        <w:t xml:space="preserve">10 mm by CT scan (CT scan slice thickness no greater than 5 mm). </w:t>
      </w:r>
    </w:p>
    <w:p w14:paraId="27B59FFA" w14:textId="77777777" w:rsidR="000B3C5C" w:rsidRDefault="00ED192D">
      <w:pPr>
        <w:numPr>
          <w:ilvl w:val="0"/>
          <w:numId w:val="75"/>
        </w:numPr>
        <w:spacing w:after="135"/>
        <w:ind w:right="32" w:hanging="358"/>
      </w:pPr>
      <w:r>
        <w:t xml:space="preserve">10 mm caliper measurement by clinical exam (lesions which cannot be accurately measured with calipers should be recorded as non-measurable). </w:t>
      </w:r>
    </w:p>
    <w:p w14:paraId="7DC70E90" w14:textId="77777777" w:rsidR="000B3C5C" w:rsidRDefault="00ED192D">
      <w:pPr>
        <w:numPr>
          <w:ilvl w:val="0"/>
          <w:numId w:val="75"/>
        </w:numPr>
        <w:spacing w:after="183"/>
        <w:ind w:right="32" w:hanging="358"/>
      </w:pPr>
      <w:r>
        <w:t xml:space="preserve">20 mm by chest X-ray. </w:t>
      </w:r>
    </w:p>
    <w:p w14:paraId="588694DC" w14:textId="77777777" w:rsidR="000B3C5C" w:rsidRDefault="00ED192D">
      <w:pPr>
        <w:ind w:left="-3" w:right="14"/>
      </w:pPr>
      <w:r>
        <w:t xml:space="preserve">Malignant lymph nodes: To be considered pathologically enlarged and measurable, a lymph node must be ≥15 mm in short axis when assessed by CT scan (CT scan slice thickness recommended to be no greater than 5 mm). At baseline and in follow-up, only the short axis will be measured and followed. </w:t>
      </w:r>
    </w:p>
    <w:p w14:paraId="3E09A100" w14:textId="77777777" w:rsidR="000B3C5C" w:rsidRDefault="00ED192D">
      <w:pPr>
        <w:ind w:left="-3" w:right="14"/>
      </w:pPr>
      <w:r>
        <w:t xml:space="preserve">Non-measurable lesions are all other lesions, including small lesions (longest diameter &lt;10 mm or pathological lymph nodes with ≥10 to &lt;15 mm short axis), as well as non-measurable lesions. Lesions considered non-measurable include: leptomeningeal disease, ascites, pleural or pericardial effusion, inflammatory breast disease, lymphangitic involvement of skin or lung, and abdominal masses/abdominal organomegaly identified by physical exam that is not measurable by reproducible imaging techniques. </w:t>
      </w:r>
    </w:p>
    <w:p w14:paraId="1272581E" w14:textId="77777777" w:rsidR="000B3C5C" w:rsidRDefault="00ED192D">
      <w:pPr>
        <w:spacing w:after="135"/>
        <w:ind w:left="-3" w:right="14"/>
      </w:pPr>
      <w:r>
        <w:t xml:space="preserve">Special considerations regarding lesion measurability: </w:t>
      </w:r>
    </w:p>
    <w:p w14:paraId="47AB2594" w14:textId="77777777" w:rsidR="000B3C5C" w:rsidRDefault="00ED192D">
      <w:pPr>
        <w:numPr>
          <w:ilvl w:val="0"/>
          <w:numId w:val="75"/>
        </w:numPr>
        <w:spacing w:after="92" w:line="249" w:lineRule="auto"/>
        <w:ind w:right="32" w:hanging="358"/>
      </w:pPr>
      <w:r>
        <w:rPr>
          <w:b/>
        </w:rPr>
        <w:t xml:space="preserve">Bone lesions: </w:t>
      </w:r>
    </w:p>
    <w:p w14:paraId="0BCD7ED4" w14:textId="77777777" w:rsidR="000B3C5C" w:rsidRDefault="00ED192D">
      <w:pPr>
        <w:numPr>
          <w:ilvl w:val="1"/>
          <w:numId w:val="75"/>
        </w:numPr>
        <w:spacing w:after="139"/>
        <w:ind w:right="14" w:hanging="362"/>
      </w:pPr>
      <w:r>
        <w:t xml:space="preserve">Bone scan, positron emission tomography scan or plain films are not considered adequate imaging techniques to measure bone lesions. However, these techniques can be used to confirm the presence or disappearance of bone lesions, </w:t>
      </w:r>
    </w:p>
    <w:p w14:paraId="6587393F" w14:textId="77777777" w:rsidR="000B3C5C" w:rsidRDefault="00ED192D">
      <w:pPr>
        <w:numPr>
          <w:ilvl w:val="1"/>
          <w:numId w:val="75"/>
        </w:numPr>
        <w:spacing w:after="140"/>
        <w:ind w:right="14" w:hanging="362"/>
      </w:pPr>
      <w:r>
        <w:t>Lytic bone lesions or mixed lytic-blastic lesions, with identifiable soft tissue components, that can be evaluated by cross sectional imaging techniques such as CT or MRI can be considered as measurable lesions if the soft tissue component meets the definition of measurability described above, -</w:t>
      </w:r>
      <w:r>
        <w:rPr>
          <w:rFonts w:ascii="Arial" w:eastAsia="Arial" w:hAnsi="Arial" w:cs="Arial"/>
        </w:rPr>
        <w:t xml:space="preserve"> </w:t>
      </w:r>
      <w:r>
        <w:rPr>
          <w:rFonts w:ascii="Arial" w:eastAsia="Arial" w:hAnsi="Arial" w:cs="Arial"/>
        </w:rPr>
        <w:tab/>
      </w:r>
      <w:r>
        <w:t xml:space="preserve">Blastic bone lesions are non-measurable. </w:t>
      </w:r>
    </w:p>
    <w:p w14:paraId="0FAC0280" w14:textId="77777777" w:rsidR="000B3C5C" w:rsidRDefault="00ED192D">
      <w:pPr>
        <w:numPr>
          <w:ilvl w:val="0"/>
          <w:numId w:val="75"/>
        </w:numPr>
        <w:spacing w:after="92" w:line="249" w:lineRule="auto"/>
        <w:ind w:right="32" w:hanging="358"/>
      </w:pPr>
      <w:r>
        <w:rPr>
          <w:b/>
        </w:rPr>
        <w:t xml:space="preserve">Cystic lesions: </w:t>
      </w:r>
    </w:p>
    <w:p w14:paraId="54E8AF75" w14:textId="77777777" w:rsidR="000B3C5C" w:rsidRDefault="00ED192D">
      <w:pPr>
        <w:numPr>
          <w:ilvl w:val="1"/>
          <w:numId w:val="75"/>
        </w:numPr>
        <w:spacing w:after="139"/>
        <w:ind w:right="14" w:hanging="362"/>
      </w:pPr>
      <w:r>
        <w:t xml:space="preserve">Lesions that meet the criteria for radiographically defined simple cysts should not be considered as malignant lesions (neither measurable nor non-measurable) since they are, by definition, simple cysts, </w:t>
      </w:r>
    </w:p>
    <w:p w14:paraId="7D9FF5DD" w14:textId="77777777" w:rsidR="000B3C5C" w:rsidRDefault="00ED192D">
      <w:pPr>
        <w:numPr>
          <w:ilvl w:val="1"/>
          <w:numId w:val="75"/>
        </w:numPr>
        <w:spacing w:after="138"/>
        <w:ind w:right="14" w:hanging="362"/>
      </w:pPr>
      <w:r>
        <w:t xml:space="preserve">‘Cystic lesions’ thought to represent cystic metastases can be considered as measurable lesions, if they meet the definition of measurability described above. However, if non-cystic lesions are present in the same patient, these are preferred for selection as target lesions. </w:t>
      </w:r>
    </w:p>
    <w:p w14:paraId="7CA821BB" w14:textId="77777777" w:rsidR="000B3C5C" w:rsidRDefault="00ED192D">
      <w:pPr>
        <w:numPr>
          <w:ilvl w:val="0"/>
          <w:numId w:val="75"/>
        </w:numPr>
        <w:spacing w:after="92" w:line="249" w:lineRule="auto"/>
        <w:ind w:right="32" w:hanging="358"/>
      </w:pPr>
      <w:r>
        <w:rPr>
          <w:b/>
        </w:rPr>
        <w:t xml:space="preserve">Lesions with prior local treatment: </w:t>
      </w:r>
    </w:p>
    <w:p w14:paraId="59230C47" w14:textId="77777777" w:rsidR="000B3C5C" w:rsidRDefault="00ED192D">
      <w:pPr>
        <w:numPr>
          <w:ilvl w:val="1"/>
          <w:numId w:val="75"/>
        </w:numPr>
        <w:ind w:right="14" w:hanging="362"/>
      </w:pPr>
      <w:r>
        <w:t xml:space="preserve">Tumor lesions situated in a previously irradiated area, or in an area subjected to other locoregional therapy, are usually not considered measurable unless there has been demonstrated progression in the lesion. </w:t>
      </w:r>
    </w:p>
    <w:p w14:paraId="309AD7AF" w14:textId="77777777" w:rsidR="000B3C5C" w:rsidRDefault="00ED192D">
      <w:pPr>
        <w:pStyle w:val="Heading2"/>
        <w:ind w:left="-5" w:right="51"/>
      </w:pPr>
      <w:r>
        <w:t xml:space="preserve">Method of assessment </w:t>
      </w:r>
    </w:p>
    <w:p w14:paraId="3F5130E3" w14:textId="77777777" w:rsidR="000B3C5C" w:rsidRDefault="00ED192D">
      <w:pPr>
        <w:ind w:left="-3" w:right="14"/>
      </w:pPr>
      <w:r>
        <w:t xml:space="preserve">All measurements should be recorded in metric notation, using calipers if clinically assessed. All baseline evaluations should be performed as close as possible to the treatment start and never more than 4 weeks before the beginning of the treatment. </w:t>
      </w:r>
    </w:p>
    <w:p w14:paraId="28CD45EA" w14:textId="77777777" w:rsidR="000B3C5C" w:rsidRDefault="00ED192D">
      <w:pPr>
        <w:spacing w:after="76"/>
        <w:ind w:left="-3" w:right="14"/>
      </w:pPr>
      <w:r>
        <w:t xml:space="preserve">The same method of assessment and the same technique should be used to characterize each identified and reported lesion at baseline and during follow-up. Imaging based evaluation should always be performed rather than clinical examination unless the lesion(s) being followed cannot be imaged but are assessable by clinical examination. </w:t>
      </w:r>
    </w:p>
    <w:p w14:paraId="65FFE67E" w14:textId="77777777" w:rsidR="000B3C5C" w:rsidRDefault="00ED192D">
      <w:pPr>
        <w:numPr>
          <w:ilvl w:val="0"/>
          <w:numId w:val="76"/>
        </w:numPr>
        <w:ind w:right="14" w:hanging="358"/>
      </w:pPr>
      <w:r>
        <w:rPr>
          <w:b/>
        </w:rPr>
        <w:t>Clinical lesions:</w:t>
      </w:r>
      <w:r>
        <w:t xml:space="preserve"> Clinical lesions will only be considered measurable when they are superficial and ≥10 mm diameter as assessed using calipers. For the case of skin lesions, documentation by color photography including a ruler to estimate the size of the lesion is suggested. As noted above, when lesions can be evaluated by both clinical exam and imaging, imaging evaluation should be undertaken since it is more objective and may be reviewed at the end of the study. </w:t>
      </w:r>
    </w:p>
    <w:p w14:paraId="253A4A5D" w14:textId="77777777" w:rsidR="000B3C5C" w:rsidRDefault="00ED192D">
      <w:pPr>
        <w:numPr>
          <w:ilvl w:val="0"/>
          <w:numId w:val="76"/>
        </w:numPr>
        <w:spacing w:after="75"/>
        <w:ind w:right="14" w:hanging="358"/>
      </w:pPr>
      <w:r>
        <w:rPr>
          <w:b/>
        </w:rPr>
        <w:t>Chest X-ray:</w:t>
      </w:r>
      <w:r>
        <w:t xml:space="preserve"> Chest CT is preferred over chest X-ray, particularly when progression is an important endpoint, since CT is more sensitive than X-ray, particularly in identifying new lesions. However, lesions on chest X-ray may be considered measurable if they are clearly defined and surrounded by aerated lung. </w:t>
      </w:r>
    </w:p>
    <w:p w14:paraId="48439C6A" w14:textId="77777777" w:rsidR="000B3C5C" w:rsidRDefault="00ED192D">
      <w:pPr>
        <w:numPr>
          <w:ilvl w:val="0"/>
          <w:numId w:val="76"/>
        </w:numPr>
        <w:spacing w:after="75"/>
        <w:ind w:right="14" w:hanging="358"/>
      </w:pPr>
      <w:r>
        <w:rPr>
          <w:b/>
        </w:rPr>
        <w:t xml:space="preserve">CT, MRI: </w:t>
      </w:r>
      <w:r>
        <w:t xml:space="preserve">CT is the best currently available and reproducible method to measure lesions selected for response assessment. Measurability of lesions on CT scan is based on the assumption that CT slice thickness is 5 mm or less. When CT scans have slice thickness greater than 5 mm, the minimum size for a measurable lesion should be twice the slice thickness. </w:t>
      </w:r>
    </w:p>
    <w:p w14:paraId="64D4650C" w14:textId="77777777" w:rsidR="000B3C5C" w:rsidRDefault="00ED192D">
      <w:pPr>
        <w:numPr>
          <w:ilvl w:val="0"/>
          <w:numId w:val="76"/>
        </w:numPr>
        <w:spacing w:after="76"/>
        <w:ind w:right="14" w:hanging="358"/>
      </w:pPr>
      <w:r>
        <w:rPr>
          <w:b/>
        </w:rPr>
        <w:t>Ultrasound:</w:t>
      </w:r>
      <w:r>
        <w:t xml:space="preserve"> Ultrasound is not useful in assessment of lesion size and should not be used as a method of measurement. If new lesions are identified by ultrasound in the course of the study, confirmation by CT or MRI is advised. </w:t>
      </w:r>
    </w:p>
    <w:p w14:paraId="433575B2" w14:textId="77777777" w:rsidR="000B3C5C" w:rsidRDefault="00ED192D">
      <w:pPr>
        <w:numPr>
          <w:ilvl w:val="0"/>
          <w:numId w:val="76"/>
        </w:numPr>
        <w:spacing w:after="75"/>
        <w:ind w:right="14" w:hanging="358"/>
      </w:pPr>
      <w:r>
        <w:rPr>
          <w:b/>
        </w:rPr>
        <w:t>Endoscopy, laparoscopy:</w:t>
      </w:r>
      <w:r>
        <w:t xml:space="preserve"> The utilization of these techniques for objective tumor evaluation is not advised. </w:t>
      </w:r>
    </w:p>
    <w:p w14:paraId="74F0FC90" w14:textId="77777777" w:rsidR="000B3C5C" w:rsidRDefault="00ED192D">
      <w:pPr>
        <w:numPr>
          <w:ilvl w:val="0"/>
          <w:numId w:val="76"/>
        </w:numPr>
        <w:spacing w:after="136"/>
        <w:ind w:right="14" w:hanging="358"/>
      </w:pPr>
      <w:r>
        <w:rPr>
          <w:b/>
        </w:rPr>
        <w:t>Tumor markers:</w:t>
      </w:r>
      <w:r>
        <w:t xml:space="preserve"> Tumor markers alone cannot be used to assess objective tumor response. </w:t>
      </w:r>
    </w:p>
    <w:p w14:paraId="5C16046A" w14:textId="77777777" w:rsidR="000B3C5C" w:rsidRDefault="00ED192D">
      <w:pPr>
        <w:numPr>
          <w:ilvl w:val="0"/>
          <w:numId w:val="76"/>
        </w:numPr>
        <w:ind w:right="14" w:hanging="358"/>
      </w:pPr>
      <w:r>
        <w:rPr>
          <w:b/>
        </w:rPr>
        <w:t>Cytology, histology:</w:t>
      </w:r>
      <w:r>
        <w:t xml:space="preserve"> These techniques can be used to differentiate between PR and CR in rare cases if required by protocol. </w:t>
      </w:r>
    </w:p>
    <w:p w14:paraId="53B44A1F" w14:textId="77777777" w:rsidR="000B3C5C" w:rsidRDefault="00ED192D">
      <w:pPr>
        <w:pStyle w:val="Heading2"/>
        <w:ind w:left="-5" w:right="51"/>
      </w:pPr>
      <w:r>
        <w:t xml:space="preserve">Baseline documentation of ‘target’ and ‘non target’ lesions </w:t>
      </w:r>
    </w:p>
    <w:p w14:paraId="468C6B84" w14:textId="77777777" w:rsidR="000B3C5C" w:rsidRDefault="00ED192D">
      <w:pPr>
        <w:ind w:left="-3" w:right="633"/>
      </w:pPr>
      <w:r>
        <w:t xml:space="preserve">When more than 1 measurable lesion is present at baseline all lesions up to a maximum of 5 </w:t>
      </w:r>
      <w:r>
        <w:t xml:space="preserve">lesions total (and a maximum of 2 lesions per organ) representative of all involved organs should be identified as target lesions and will be recorded and measured at baseline. </w:t>
      </w:r>
    </w:p>
    <w:p w14:paraId="14058225" w14:textId="77777777" w:rsidR="000B3C5C" w:rsidRDefault="00ED192D">
      <w:pPr>
        <w:ind w:left="-3" w:right="14"/>
      </w:pPr>
      <w:r>
        <w:t xml:space="preserve">Target lesions should be selected on the basis of their size (lesions with the longest diameter), be representative of all involved organs, and should lend themselves to reproducible repeated measurements. </w:t>
      </w:r>
    </w:p>
    <w:p w14:paraId="325E7B17" w14:textId="77777777" w:rsidR="000B3C5C" w:rsidRDefault="00ED192D">
      <w:pPr>
        <w:ind w:left="-3" w:right="249"/>
      </w:pPr>
      <w:r>
        <w:t>Lymph nodes merit special mention since they are normal anatomical structures which may be visible by imaging even if not involved by tumor. Pathological nodes which are defined as measurable and may be identified as target lesions must meet the criterion of a short axis of ≥15 mm by CT scan. Only the short axis of these nodes will contribute to the baseline sum. All other pathological nodes (those with short axis ≥10 mm but &lt;15 mm) should be considered non-target lesions. Nodes that have a short axis &lt;10 m</w:t>
      </w:r>
      <w:r>
        <w:t xml:space="preserve">m are considered non-pathological and should not be recorded or followed. </w:t>
      </w:r>
    </w:p>
    <w:p w14:paraId="6DA4FD4A" w14:textId="77777777" w:rsidR="000B3C5C" w:rsidRDefault="00ED192D">
      <w:pPr>
        <w:ind w:left="-3" w:right="14"/>
      </w:pPr>
      <w:r>
        <w:t xml:space="preserve">A sum of the diameters (longest for non-nodal lesions, short axis for nodal lesions) for all target lesions will be calculated and reported as the baseline sum diameters. The baseline sum diameters will be used as reference to further characterize any objective tumor regression in the measurable dimension of the disease. </w:t>
      </w:r>
    </w:p>
    <w:p w14:paraId="6D95FB36" w14:textId="77777777" w:rsidR="000B3C5C" w:rsidRDefault="00ED192D">
      <w:pPr>
        <w:ind w:left="-3" w:right="14"/>
      </w:pPr>
      <w:r>
        <w:t xml:space="preserve">All other lesions (or sites of disease) including pathological lymph nodes should be identified as non-target lesions and should also be recorded at baseline. Measurements are not required and these lesions should be followed as ‘present’, ‘absent’, or ‘unequivocal progression’. In addition, it is possible to record multiple non-target lesions involving the same organ as a single item on the case (eg, ‘multiple enlarged pelvic lymph nodes’ or ‘multiple liver metastases’). </w:t>
      </w:r>
    </w:p>
    <w:p w14:paraId="2DD34612" w14:textId="77777777" w:rsidR="000B3C5C" w:rsidRDefault="00ED192D">
      <w:pPr>
        <w:pStyle w:val="Heading2"/>
        <w:ind w:left="-5" w:right="51"/>
      </w:pPr>
      <w:r>
        <w:t xml:space="preserve">Response criteria </w:t>
      </w:r>
    </w:p>
    <w:p w14:paraId="1D33F955" w14:textId="77777777" w:rsidR="000B3C5C" w:rsidRDefault="00ED192D">
      <w:pPr>
        <w:spacing w:after="310"/>
        <w:ind w:left="-3" w:right="14"/>
      </w:pPr>
      <w:r>
        <w:t xml:space="preserve">Response criteria are described in </w:t>
      </w:r>
      <w:r>
        <w:rPr>
          <w:color w:val="0000FF"/>
        </w:rPr>
        <w:t>Table 12</w:t>
      </w:r>
      <w:r>
        <w:t xml:space="preserve">.  </w:t>
      </w:r>
    </w:p>
    <w:p w14:paraId="6DF0EEB8" w14:textId="77777777" w:rsidR="000B3C5C" w:rsidRDefault="00ED192D">
      <w:pPr>
        <w:spacing w:after="4" w:line="250" w:lineRule="auto"/>
        <w:ind w:left="15" w:right="4"/>
        <w:jc w:val="center"/>
      </w:pPr>
      <w:r>
        <w:rPr>
          <w:rFonts w:ascii="Arial" w:eastAsia="Arial" w:hAnsi="Arial" w:cs="Arial"/>
          <w:b/>
          <w:sz w:val="20"/>
        </w:rPr>
        <w:t xml:space="preserve">Table 12 - Response criteria  </w:t>
      </w:r>
    </w:p>
    <w:tbl>
      <w:tblPr>
        <w:tblStyle w:val="TableGrid"/>
        <w:tblW w:w="9686" w:type="dxa"/>
        <w:tblInd w:w="-108" w:type="dxa"/>
        <w:tblCellMar>
          <w:top w:w="81" w:type="dxa"/>
          <w:left w:w="0" w:type="dxa"/>
          <w:bottom w:w="0" w:type="dxa"/>
          <w:right w:w="74" w:type="dxa"/>
        </w:tblCellMar>
        <w:tblLook w:val="04A0" w:firstRow="1" w:lastRow="0" w:firstColumn="1" w:lastColumn="0" w:noHBand="0" w:noVBand="1"/>
      </w:tblPr>
      <w:tblGrid>
        <w:gridCol w:w="2561"/>
        <w:gridCol w:w="7125"/>
      </w:tblGrid>
      <w:tr w:rsidR="000B3C5C" w14:paraId="1957D799" w14:textId="77777777">
        <w:trPr>
          <w:trHeight w:val="360"/>
        </w:trPr>
        <w:tc>
          <w:tcPr>
            <w:tcW w:w="2561" w:type="dxa"/>
            <w:tcBorders>
              <w:top w:val="single" w:sz="4" w:space="0" w:color="000000"/>
              <w:left w:val="nil"/>
              <w:bottom w:val="single" w:sz="4" w:space="0" w:color="000000"/>
              <w:right w:val="nil"/>
            </w:tcBorders>
          </w:tcPr>
          <w:p w14:paraId="4F02F590" w14:textId="77777777" w:rsidR="000B3C5C" w:rsidRDefault="00ED192D">
            <w:pPr>
              <w:spacing w:after="0" w:line="259" w:lineRule="auto"/>
              <w:ind w:left="0" w:right="45" w:firstLine="0"/>
              <w:jc w:val="center"/>
            </w:pPr>
            <w:r>
              <w:rPr>
                <w:rFonts w:ascii="Arial" w:eastAsia="Arial" w:hAnsi="Arial" w:cs="Arial"/>
                <w:b/>
                <w:sz w:val="20"/>
              </w:rPr>
              <w:t xml:space="preserve">Response criteria </w:t>
            </w:r>
          </w:p>
        </w:tc>
        <w:tc>
          <w:tcPr>
            <w:tcW w:w="7125" w:type="dxa"/>
            <w:tcBorders>
              <w:top w:val="single" w:sz="4" w:space="0" w:color="000000"/>
              <w:left w:val="nil"/>
              <w:bottom w:val="single" w:sz="4" w:space="0" w:color="000000"/>
              <w:right w:val="nil"/>
            </w:tcBorders>
          </w:tcPr>
          <w:p w14:paraId="3F9384BB" w14:textId="77777777" w:rsidR="000B3C5C" w:rsidRDefault="00ED192D">
            <w:pPr>
              <w:spacing w:after="0" w:line="259" w:lineRule="auto"/>
              <w:ind w:left="0" w:right="44" w:firstLine="0"/>
              <w:jc w:val="center"/>
            </w:pPr>
            <w:r>
              <w:rPr>
                <w:rFonts w:ascii="Arial" w:eastAsia="Arial" w:hAnsi="Arial" w:cs="Arial"/>
                <w:b/>
                <w:sz w:val="20"/>
              </w:rPr>
              <w:t xml:space="preserve">Evaluation of target lesions </w:t>
            </w:r>
          </w:p>
        </w:tc>
      </w:tr>
      <w:tr w:rsidR="000B3C5C" w14:paraId="6EBD08CE" w14:textId="77777777">
        <w:trPr>
          <w:trHeight w:val="605"/>
        </w:trPr>
        <w:tc>
          <w:tcPr>
            <w:tcW w:w="2561" w:type="dxa"/>
            <w:tcBorders>
              <w:top w:val="single" w:sz="4" w:space="0" w:color="000000"/>
              <w:left w:val="nil"/>
              <w:bottom w:val="nil"/>
              <w:right w:val="nil"/>
            </w:tcBorders>
          </w:tcPr>
          <w:p w14:paraId="59F6BE01" w14:textId="77777777" w:rsidR="000B3C5C" w:rsidRDefault="00ED192D">
            <w:pPr>
              <w:spacing w:after="0" w:line="259" w:lineRule="auto"/>
              <w:ind w:left="0" w:right="44" w:firstLine="0"/>
              <w:jc w:val="center"/>
            </w:pPr>
            <w:r>
              <w:rPr>
                <w:rFonts w:ascii="Arial" w:eastAsia="Arial" w:hAnsi="Arial" w:cs="Arial"/>
                <w:sz w:val="20"/>
              </w:rPr>
              <w:t xml:space="preserve">CR </w:t>
            </w:r>
          </w:p>
        </w:tc>
        <w:tc>
          <w:tcPr>
            <w:tcW w:w="7125" w:type="dxa"/>
            <w:tcBorders>
              <w:top w:val="single" w:sz="4" w:space="0" w:color="000000"/>
              <w:left w:val="nil"/>
              <w:bottom w:val="nil"/>
              <w:right w:val="nil"/>
            </w:tcBorders>
          </w:tcPr>
          <w:p w14:paraId="69E419C2" w14:textId="77777777" w:rsidR="000B3C5C" w:rsidRDefault="00ED192D">
            <w:pPr>
              <w:spacing w:after="0" w:line="259" w:lineRule="auto"/>
              <w:ind w:left="1870" w:hanging="1853"/>
            </w:pPr>
            <w:r>
              <w:rPr>
                <w:rFonts w:ascii="Arial" w:eastAsia="Arial" w:hAnsi="Arial" w:cs="Arial"/>
                <w:sz w:val="20"/>
              </w:rPr>
              <w:t xml:space="preserve">Disappearance of all target lesions. Any pathological lymph nodes (whether target or non-target) must have reduction in short axis to &lt;10 mm. </w:t>
            </w:r>
          </w:p>
        </w:tc>
      </w:tr>
      <w:tr w:rsidR="000B3C5C" w14:paraId="5477DE75" w14:textId="77777777">
        <w:trPr>
          <w:trHeight w:val="579"/>
        </w:trPr>
        <w:tc>
          <w:tcPr>
            <w:tcW w:w="2561" w:type="dxa"/>
            <w:tcBorders>
              <w:top w:val="nil"/>
              <w:left w:val="nil"/>
              <w:bottom w:val="nil"/>
              <w:right w:val="nil"/>
            </w:tcBorders>
          </w:tcPr>
          <w:p w14:paraId="6507C52A" w14:textId="77777777" w:rsidR="000B3C5C" w:rsidRDefault="00ED192D">
            <w:pPr>
              <w:spacing w:after="0" w:line="259" w:lineRule="auto"/>
              <w:ind w:left="0" w:right="44" w:firstLine="0"/>
              <w:jc w:val="center"/>
            </w:pPr>
            <w:r>
              <w:rPr>
                <w:rFonts w:ascii="Arial" w:eastAsia="Arial" w:hAnsi="Arial" w:cs="Arial"/>
                <w:sz w:val="20"/>
              </w:rPr>
              <w:t xml:space="preserve">PR </w:t>
            </w:r>
          </w:p>
        </w:tc>
        <w:tc>
          <w:tcPr>
            <w:tcW w:w="7125" w:type="dxa"/>
            <w:tcBorders>
              <w:top w:val="nil"/>
              <w:left w:val="nil"/>
              <w:bottom w:val="nil"/>
              <w:right w:val="nil"/>
            </w:tcBorders>
          </w:tcPr>
          <w:p w14:paraId="7623BF89" w14:textId="77777777" w:rsidR="000B3C5C" w:rsidRDefault="00ED192D">
            <w:pPr>
              <w:spacing w:after="0" w:line="259" w:lineRule="auto"/>
              <w:ind w:left="2616" w:hanging="2357"/>
            </w:pPr>
            <w:r>
              <w:rPr>
                <w:rFonts w:ascii="Arial" w:eastAsia="Arial" w:hAnsi="Arial" w:cs="Arial"/>
                <w:sz w:val="20"/>
              </w:rPr>
              <w:t xml:space="preserve">At least a 30% decrease in the sum of diameters of target lesions, taking as reference the baseline sum diameters. </w:t>
            </w:r>
          </w:p>
        </w:tc>
      </w:tr>
      <w:tr w:rsidR="000B3C5C" w14:paraId="5C8A089A" w14:textId="77777777">
        <w:trPr>
          <w:trHeight w:val="1038"/>
        </w:trPr>
        <w:tc>
          <w:tcPr>
            <w:tcW w:w="2561" w:type="dxa"/>
            <w:tcBorders>
              <w:top w:val="nil"/>
              <w:left w:val="nil"/>
              <w:bottom w:val="nil"/>
              <w:right w:val="nil"/>
            </w:tcBorders>
          </w:tcPr>
          <w:p w14:paraId="159E19BB" w14:textId="77777777" w:rsidR="000B3C5C" w:rsidRDefault="00ED192D">
            <w:pPr>
              <w:spacing w:after="0" w:line="259" w:lineRule="auto"/>
              <w:ind w:left="0" w:right="44" w:firstLine="0"/>
              <w:jc w:val="center"/>
            </w:pPr>
            <w:r>
              <w:rPr>
                <w:rFonts w:ascii="Arial" w:eastAsia="Arial" w:hAnsi="Arial" w:cs="Arial"/>
                <w:sz w:val="20"/>
              </w:rPr>
              <w:t xml:space="preserve">PD </w:t>
            </w:r>
          </w:p>
        </w:tc>
        <w:tc>
          <w:tcPr>
            <w:tcW w:w="7125" w:type="dxa"/>
            <w:tcBorders>
              <w:top w:val="nil"/>
              <w:left w:val="nil"/>
              <w:bottom w:val="nil"/>
              <w:right w:val="nil"/>
            </w:tcBorders>
          </w:tcPr>
          <w:p w14:paraId="6D4DCBA2" w14:textId="77777777" w:rsidR="000B3C5C" w:rsidRDefault="00ED192D">
            <w:pPr>
              <w:spacing w:after="0" w:line="259" w:lineRule="auto"/>
              <w:ind w:left="0" w:firstLine="286"/>
            </w:pPr>
            <w:r>
              <w:rPr>
                <w:rFonts w:ascii="Arial" w:eastAsia="Arial" w:hAnsi="Arial" w:cs="Arial"/>
                <w:sz w:val="20"/>
              </w:rPr>
              <w:t xml:space="preserve">At least a 20% increase in the sum of diameters of target lesions, taking as reference the smallest sum on study (this includes the baseline sum if that is the smallest on study). In addition to the relative increase of 20%, the sum must also demonstrate an absolute increase of at least 5 mm. (Note: the appearance of 1 or more new lesions is also considered progression). </w:t>
            </w:r>
          </w:p>
        </w:tc>
      </w:tr>
      <w:tr w:rsidR="000B3C5C" w14:paraId="7D8D5AA8" w14:textId="77777777">
        <w:trPr>
          <w:trHeight w:val="572"/>
        </w:trPr>
        <w:tc>
          <w:tcPr>
            <w:tcW w:w="2561" w:type="dxa"/>
            <w:tcBorders>
              <w:top w:val="nil"/>
              <w:left w:val="nil"/>
              <w:bottom w:val="single" w:sz="12" w:space="0" w:color="000000"/>
              <w:right w:val="nil"/>
            </w:tcBorders>
          </w:tcPr>
          <w:p w14:paraId="3678D470" w14:textId="77777777" w:rsidR="000B3C5C" w:rsidRDefault="00ED192D">
            <w:pPr>
              <w:spacing w:after="0" w:line="259" w:lineRule="auto"/>
              <w:ind w:left="0" w:right="44" w:firstLine="0"/>
              <w:jc w:val="center"/>
            </w:pPr>
            <w:r>
              <w:rPr>
                <w:rFonts w:ascii="Arial" w:eastAsia="Arial" w:hAnsi="Arial" w:cs="Arial"/>
                <w:sz w:val="20"/>
              </w:rPr>
              <w:t xml:space="preserve">SD </w:t>
            </w:r>
          </w:p>
        </w:tc>
        <w:tc>
          <w:tcPr>
            <w:tcW w:w="7125" w:type="dxa"/>
            <w:tcBorders>
              <w:top w:val="nil"/>
              <w:left w:val="nil"/>
              <w:bottom w:val="single" w:sz="12" w:space="0" w:color="000000"/>
              <w:right w:val="nil"/>
            </w:tcBorders>
          </w:tcPr>
          <w:p w14:paraId="547A9405" w14:textId="77777777" w:rsidR="000B3C5C" w:rsidRDefault="00ED192D">
            <w:pPr>
              <w:spacing w:after="0" w:line="259" w:lineRule="auto"/>
              <w:ind w:left="681" w:hanging="554"/>
            </w:pPr>
            <w:r>
              <w:rPr>
                <w:rFonts w:ascii="Arial" w:eastAsia="Arial" w:hAnsi="Arial" w:cs="Arial"/>
                <w:sz w:val="20"/>
              </w:rPr>
              <w:t xml:space="preserve">Neither sufficient shrinkage from the baseline study to qualify for PR nor sufficient increase to qualify for PD, taking as reference the smallest sum diameters while on study. </w:t>
            </w:r>
          </w:p>
        </w:tc>
      </w:tr>
    </w:tbl>
    <w:p w14:paraId="32DBCCE1" w14:textId="77777777" w:rsidR="000B3C5C" w:rsidRDefault="00ED192D">
      <w:pPr>
        <w:spacing w:after="183"/>
        <w:ind w:left="-5" w:right="2"/>
      </w:pPr>
      <w:r>
        <w:rPr>
          <w:rFonts w:ascii="Arial" w:eastAsia="Arial" w:hAnsi="Arial" w:cs="Arial"/>
          <w:sz w:val="18"/>
        </w:rPr>
        <w:t xml:space="preserve">Abbreviations: CR=complete response; PD=progressive disease; PR=partial response; SD=stable disease. </w:t>
      </w:r>
    </w:p>
    <w:p w14:paraId="354F9228" w14:textId="77777777" w:rsidR="000B3C5C" w:rsidRDefault="00ED192D">
      <w:pPr>
        <w:pStyle w:val="Heading2"/>
        <w:ind w:left="-5" w:right="51"/>
      </w:pPr>
      <w:r>
        <w:t xml:space="preserve">Special notes on the assessment of target lesions </w:t>
      </w:r>
    </w:p>
    <w:p w14:paraId="48A6C7C5" w14:textId="77777777" w:rsidR="000B3C5C" w:rsidRDefault="00ED192D">
      <w:pPr>
        <w:ind w:left="-3" w:right="14"/>
      </w:pPr>
      <w:r>
        <w:t xml:space="preserve">Lymph nodes identified as target lesions should always have the actual short axis measurement recorded and should be measured in the same anatomical plane as the baseline examination, even if the nodes regress to below 10 mm on study. This means that when lymph nodes are included as target lesions, the ‘sum’ of lesions may not be zero even if CR criteria are met, since a normal lymph node is defined as having a short axis of &lt;10 mm. For PR, SD and PD, the actual short axis measurement of the nodes is to be </w:t>
      </w:r>
      <w:r>
        <w:t xml:space="preserve">included in the sum of target lesions. </w:t>
      </w:r>
    </w:p>
    <w:p w14:paraId="414AB618" w14:textId="77777777" w:rsidR="000B3C5C" w:rsidRDefault="00ED192D">
      <w:pPr>
        <w:ind w:left="-3" w:right="14"/>
      </w:pPr>
      <w:r>
        <w:t>Target lesions that become ‘too small to measure’: All lesions (nodal and non-nodal) recorded at baseline should have their actual measurements recorded at each subsequent evaluation, even when very small (eg, 2 mm). However, sometimes lesions or lymph nodes which are recorded as target lesions at baseline become so faint on CT scan that the radiologist may not feel comfortable assigning an exact measure and may report them as being ‘too small to measure’. When this occurs it is important that a value be re</w:t>
      </w:r>
      <w:r>
        <w:t xml:space="preserve">corded on the eCRF. If it is the opinion of the radiologist that the lesion has likely disappeared, the measurement should be recorded as 0 mm. If the lesion is believed to be present and is faintly seen but too small to measure, a default value of 5 mm should be assigned. </w:t>
      </w:r>
    </w:p>
    <w:p w14:paraId="6A389547" w14:textId="77777777" w:rsidR="000B3C5C" w:rsidRDefault="00ED192D">
      <w:pPr>
        <w:ind w:left="-3" w:right="14"/>
      </w:pPr>
      <w:r>
        <w:t xml:space="preserve">When non-nodal lesions ‘fragment’, the longest diameters of the fragmented portions should be added together to calculate the target lesion sum. Similarly, as lesions coalesce, a plane between them may be maintained that would aid in obtaining maximal diameter measurements of each individual lesion. If the lesions have truly coalesced such that they are no longer separable, the vector of the longest diameter in this instance should be the maximal longest diameter for the ‘coalesced lesion’. </w:t>
      </w:r>
    </w:p>
    <w:p w14:paraId="17C3A77A" w14:textId="77777777" w:rsidR="000B3C5C" w:rsidRDefault="00ED192D">
      <w:pPr>
        <w:pStyle w:val="Heading2"/>
        <w:ind w:left="-5" w:right="51"/>
      </w:pPr>
      <w:r>
        <w:t xml:space="preserve">Evaluation of non-target lesions </w:t>
      </w:r>
    </w:p>
    <w:p w14:paraId="47FCAF43" w14:textId="77777777" w:rsidR="000B3C5C" w:rsidRDefault="00ED192D">
      <w:pPr>
        <w:spacing w:after="135"/>
        <w:ind w:left="-3" w:right="14"/>
      </w:pPr>
      <w:r>
        <w:t>While some non-</w:t>
      </w:r>
      <w:r>
        <w:t xml:space="preserve">target lesions may actually be measurable, they need not be measured and instead should be assessed only qualitatively at the time points specified in the protocol. </w:t>
      </w:r>
    </w:p>
    <w:p w14:paraId="43DC832B" w14:textId="77777777" w:rsidR="000B3C5C" w:rsidRDefault="00ED192D">
      <w:pPr>
        <w:numPr>
          <w:ilvl w:val="0"/>
          <w:numId w:val="77"/>
        </w:numPr>
        <w:spacing w:after="135"/>
        <w:ind w:right="14" w:hanging="358"/>
      </w:pPr>
      <w:r>
        <w:t xml:space="preserve">CR: Disappearance of all non-target lesions and normalization of tumor marker level. All lymph nodes must be non-pathological in size (&lt;10 mm short axis). </w:t>
      </w:r>
    </w:p>
    <w:p w14:paraId="7DA0DCB0" w14:textId="77777777" w:rsidR="000B3C5C" w:rsidRDefault="00ED192D">
      <w:pPr>
        <w:numPr>
          <w:ilvl w:val="0"/>
          <w:numId w:val="77"/>
        </w:numPr>
        <w:spacing w:after="135"/>
        <w:ind w:right="14" w:hanging="358"/>
      </w:pPr>
      <w:r>
        <w:t xml:space="preserve">Non-CR/Non-PD: Persistence of 1 or more non-target lesion(s) and/or maintenance of tumor marker level above the normal limits. </w:t>
      </w:r>
    </w:p>
    <w:p w14:paraId="1F3F4480" w14:textId="77777777" w:rsidR="000B3C5C" w:rsidRDefault="00ED192D">
      <w:pPr>
        <w:numPr>
          <w:ilvl w:val="0"/>
          <w:numId w:val="77"/>
        </w:numPr>
        <w:ind w:right="14" w:hanging="358"/>
      </w:pPr>
      <w:r>
        <w:t xml:space="preserve">Progressive Disease: Unequivocal progression of existing non-target lesions. (Note: the appearance of 1 or more new lesions is also considered progression). </w:t>
      </w:r>
    </w:p>
    <w:p w14:paraId="5933A004" w14:textId="77777777" w:rsidR="000B3C5C" w:rsidRDefault="00ED192D">
      <w:pPr>
        <w:ind w:left="-3" w:right="14"/>
      </w:pPr>
      <w:r>
        <w:t xml:space="preserve">The concept of progression of non-target disease requires additional explanation as follows: </w:t>
      </w:r>
    </w:p>
    <w:p w14:paraId="2C8E982A" w14:textId="77777777" w:rsidR="000B3C5C" w:rsidRDefault="00ED192D">
      <w:pPr>
        <w:ind w:left="-3" w:right="14"/>
      </w:pPr>
      <w:r>
        <w:t xml:space="preserve">When the patient also has measurable disease; in this setting, to achieve ‘unequivocal progression’ on the basis of the non-target disease, there must be an overall level of substantial worsening in non-target disease such that, even in presence of SD or PR in target disease, the overall tumor burden has increased sufficiently to merit discontinuation of therapy. A modest ‘increase’ in the size of 1 or more non-target lesions is usually not sufficient to qualify for unequivocal progression status. </w:t>
      </w:r>
    </w:p>
    <w:p w14:paraId="75704D82" w14:textId="77777777" w:rsidR="000B3C5C" w:rsidRDefault="00ED192D">
      <w:pPr>
        <w:spacing w:after="0"/>
        <w:ind w:left="-3" w:right="14"/>
      </w:pPr>
      <w:r>
        <w:t>When the patient has only non-measurable disease; to achieve ‘unequivocal progression’ on the basis of the non-target disease, there must be an overall level of substantial worsening such that the overall tumor burden has increased sufficiently to merit discontinuation of therapy. A modest ‘increase’ in the size of 1 or more non-target lesions is usually not sufficient to qualify for unequivocal progression status. Because worsening in non-target disease cannot be easily quantified (by definition: if all le</w:t>
      </w:r>
      <w:r>
        <w:t xml:space="preserve">sions are truly non-measurable) a useful test that can be applied when assessing patients for unequivocal progression is to consider if the increase in overall disease burden based on the change in non-measurable disease is comparable in magnitude to the increase that would be required to declare PD for measurable disease: ie, an increase in tumor burden representing an additional 73% increase in ‘volume’ (which is equivalent to a </w:t>
      </w:r>
    </w:p>
    <w:p w14:paraId="705A74A7" w14:textId="77777777" w:rsidR="000B3C5C" w:rsidRDefault="00ED192D">
      <w:pPr>
        <w:ind w:left="-3" w:right="14"/>
      </w:pPr>
      <w:r>
        <w:t xml:space="preserve">20% increase diameter in a measurable lesion). Examples include an increase in a pleural effusion from ‘trace’ to ‘large’, an increase in lymphangitic disease from localized to widespread, or may be described in protocols as ‘sufficient to require a change in therapy’. If ‘unequivocal progression’ is seen, the patient should be considered to have had overall PD at that point. </w:t>
      </w:r>
    </w:p>
    <w:p w14:paraId="593A113E" w14:textId="77777777" w:rsidR="000B3C5C" w:rsidRDefault="00ED192D">
      <w:pPr>
        <w:pStyle w:val="Heading2"/>
        <w:ind w:left="-5" w:right="51"/>
      </w:pPr>
      <w:r>
        <w:t xml:space="preserve">New lesions </w:t>
      </w:r>
    </w:p>
    <w:p w14:paraId="23B46AFD" w14:textId="77777777" w:rsidR="000B3C5C" w:rsidRDefault="00ED192D">
      <w:pPr>
        <w:ind w:left="-3" w:right="14"/>
      </w:pPr>
      <w:r>
        <w:t>The appearance of new malignant lesions denotes disease progression. The finding of a new lesion should be unequivocal: ie, not attributable to differences in scanning technique, change in imaging modality or findings thought to represent something other than tumor (for example, some ‘new’ bone lesions may be simply healing or flare of preexisting lesions). This is particularly important when the patient’s baseline lesions show PR or CR. For example, necrosis of a liver lesion may be reported on a CT scan r</w:t>
      </w:r>
      <w:r>
        <w:t xml:space="preserve">eport as a ‘new’ cystic lesion, which it is not. </w:t>
      </w:r>
    </w:p>
    <w:p w14:paraId="5B79423A" w14:textId="77777777" w:rsidR="000B3C5C" w:rsidRDefault="00ED192D">
      <w:pPr>
        <w:ind w:left="-3" w:right="14"/>
      </w:pPr>
      <w:r>
        <w:t xml:space="preserve">A lesion identified on a follow-up study in an anatomical location that was not scanned at baseline is considered a new lesion and will indicate disease progression. An example of this is the patient who has visceral disease at baseline and while on study has a CT or MRI brain ordered which reveals metastases. The patient’s brain metastases are considered to constitute PD even if he/she did not have brain imaging at baseline.  </w:t>
      </w:r>
    </w:p>
    <w:p w14:paraId="55EE8E80" w14:textId="77777777" w:rsidR="000B3C5C" w:rsidRDefault="00ED192D">
      <w:pPr>
        <w:ind w:left="-3" w:right="14"/>
      </w:pPr>
      <w:r>
        <w:t xml:space="preserve">If a new lesion is equivocal, for example because of its small size, continued therapy and follow-up evaluation will clarify if it represents new disease. If repeat scans confirm that there is a new lesion, then progression should be declared using the date of the initial scan. </w:t>
      </w:r>
    </w:p>
    <w:p w14:paraId="3BDD9FC3" w14:textId="77777777" w:rsidR="000B3C5C" w:rsidRDefault="00ED192D">
      <w:pPr>
        <w:spacing w:after="118"/>
        <w:ind w:left="-3" w:right="14"/>
      </w:pPr>
      <w:r>
        <w:t xml:space="preserve">While fluorodeoxyglucose-positron emission tomography (FDG-PET) response assessments need additional study, it is sometimes reasonable to incorporate the use of FDG-PET scanning to complement CT scanning in assessment of progression (particularly possible ‘new’ disease). New lesions on the basis of FDG-PET imaging can be identified according to the following algorithm: </w:t>
      </w:r>
    </w:p>
    <w:p w14:paraId="4046DED2" w14:textId="77777777" w:rsidR="000B3C5C" w:rsidRDefault="00ED192D">
      <w:pPr>
        <w:numPr>
          <w:ilvl w:val="0"/>
          <w:numId w:val="78"/>
        </w:numPr>
        <w:spacing w:after="118"/>
        <w:ind w:right="14" w:hanging="355"/>
      </w:pPr>
      <w:r>
        <w:t xml:space="preserve">Negative FDG-PET at baseline, with a positive FDG-PET at follow-up is a sign of PD based on a new lesion. </w:t>
      </w:r>
    </w:p>
    <w:p w14:paraId="79DEF61A" w14:textId="77777777" w:rsidR="000B3C5C" w:rsidRDefault="00ED192D">
      <w:pPr>
        <w:numPr>
          <w:ilvl w:val="0"/>
          <w:numId w:val="78"/>
        </w:numPr>
        <w:spacing w:after="136"/>
        <w:ind w:right="14" w:hanging="355"/>
      </w:pPr>
      <w:r>
        <w:t xml:space="preserve">No FDG-PET at baseline and a positive FDG-PET at follow-up: </w:t>
      </w:r>
    </w:p>
    <w:p w14:paraId="79943F26" w14:textId="77777777" w:rsidR="000B3C5C" w:rsidRDefault="00ED192D">
      <w:pPr>
        <w:numPr>
          <w:ilvl w:val="1"/>
          <w:numId w:val="78"/>
        </w:numPr>
        <w:spacing w:after="138"/>
        <w:ind w:right="14" w:hanging="362"/>
      </w:pPr>
      <w:r>
        <w:t xml:space="preserve">If the positive FDG-PET at follow-up corresponds to a new site of disease confirmed by CT, this is PD, </w:t>
      </w:r>
    </w:p>
    <w:p w14:paraId="474790D0" w14:textId="77777777" w:rsidR="000B3C5C" w:rsidRDefault="00ED192D">
      <w:pPr>
        <w:numPr>
          <w:ilvl w:val="1"/>
          <w:numId w:val="78"/>
        </w:numPr>
        <w:ind w:right="14" w:hanging="362"/>
      </w:pPr>
      <w:r>
        <w:t>If the positive FDG-PET at follow-</w:t>
      </w:r>
      <w:r>
        <w:t xml:space="preserve">up is not confirmed as a new site of disease on CT, additional follow-up CT scans are needed to determine if there is truly progression occurring at that site (if so, the date of PD will be the date of the initial abnormal FDG PET scan). If the positive FDG PET at follow-up corresponds to a preexisting site of disease on CT that is not progressing on the basis of anatomic images, this is not PD. </w:t>
      </w:r>
    </w:p>
    <w:p w14:paraId="1F8B46B8" w14:textId="77777777" w:rsidR="000B3C5C" w:rsidRDefault="00ED192D">
      <w:pPr>
        <w:pStyle w:val="Heading2"/>
        <w:ind w:left="-5" w:right="51"/>
      </w:pPr>
      <w:r>
        <w:t xml:space="preserve">Evaluation of best overall response </w:t>
      </w:r>
    </w:p>
    <w:p w14:paraId="3D24BB70" w14:textId="77777777" w:rsidR="000B3C5C" w:rsidRDefault="00ED192D">
      <w:pPr>
        <w:spacing w:after="314"/>
        <w:ind w:left="-3" w:right="14"/>
      </w:pPr>
      <w:r>
        <w:t xml:space="preserve">Time point response: At each protocol-specified time point, a response assessment should occur. </w:t>
      </w:r>
      <w:r>
        <w:rPr>
          <w:color w:val="0000FF"/>
        </w:rPr>
        <w:t>Table 13</w:t>
      </w:r>
      <w:r>
        <w:t xml:space="preserve"> provides a summary of the overall response status calculation at each time point for patients who have measurable disease at baseline. </w:t>
      </w:r>
    </w:p>
    <w:p w14:paraId="4537932D" w14:textId="77777777" w:rsidR="000B3C5C" w:rsidRDefault="00ED192D">
      <w:pPr>
        <w:spacing w:after="4" w:line="250" w:lineRule="auto"/>
        <w:ind w:left="15" w:right="4"/>
        <w:jc w:val="center"/>
      </w:pPr>
      <w:r>
        <w:rPr>
          <w:rFonts w:ascii="Arial" w:eastAsia="Arial" w:hAnsi="Arial" w:cs="Arial"/>
          <w:b/>
          <w:sz w:val="20"/>
        </w:rPr>
        <w:t xml:space="preserve">Table 13 - Response in patients with target disease  </w:t>
      </w:r>
    </w:p>
    <w:tbl>
      <w:tblPr>
        <w:tblStyle w:val="TableGrid"/>
        <w:tblW w:w="9489" w:type="dxa"/>
        <w:tblInd w:w="-10" w:type="dxa"/>
        <w:tblCellMar>
          <w:top w:w="51" w:type="dxa"/>
          <w:left w:w="0" w:type="dxa"/>
          <w:bottom w:w="0" w:type="dxa"/>
          <w:right w:w="115" w:type="dxa"/>
        </w:tblCellMar>
        <w:tblLook w:val="04A0" w:firstRow="1" w:lastRow="0" w:firstColumn="1" w:lastColumn="0" w:noHBand="0" w:noVBand="1"/>
      </w:tblPr>
      <w:tblGrid>
        <w:gridCol w:w="2424"/>
        <w:gridCol w:w="2852"/>
        <w:gridCol w:w="2192"/>
        <w:gridCol w:w="2021"/>
      </w:tblGrid>
      <w:tr w:rsidR="000B3C5C" w14:paraId="2C43BB64" w14:textId="77777777">
        <w:trPr>
          <w:trHeight w:val="360"/>
        </w:trPr>
        <w:tc>
          <w:tcPr>
            <w:tcW w:w="2425" w:type="dxa"/>
            <w:tcBorders>
              <w:top w:val="single" w:sz="4" w:space="0" w:color="000000"/>
              <w:left w:val="nil"/>
              <w:bottom w:val="single" w:sz="4" w:space="0" w:color="000000"/>
              <w:right w:val="nil"/>
            </w:tcBorders>
          </w:tcPr>
          <w:p w14:paraId="0015F6E0" w14:textId="77777777" w:rsidR="000B3C5C" w:rsidRDefault="00ED192D">
            <w:pPr>
              <w:spacing w:after="0" w:line="259" w:lineRule="auto"/>
              <w:ind w:left="434" w:firstLine="0"/>
            </w:pPr>
            <w:r>
              <w:rPr>
                <w:rFonts w:ascii="Arial" w:eastAsia="Arial" w:hAnsi="Arial" w:cs="Arial"/>
                <w:b/>
                <w:sz w:val="20"/>
              </w:rPr>
              <w:t xml:space="preserve">Target lesions </w:t>
            </w:r>
          </w:p>
        </w:tc>
        <w:tc>
          <w:tcPr>
            <w:tcW w:w="2852" w:type="dxa"/>
            <w:tcBorders>
              <w:top w:val="single" w:sz="4" w:space="0" w:color="000000"/>
              <w:left w:val="nil"/>
              <w:bottom w:val="single" w:sz="4" w:space="0" w:color="000000"/>
              <w:right w:val="nil"/>
            </w:tcBorders>
          </w:tcPr>
          <w:p w14:paraId="65AC9476" w14:textId="77777777" w:rsidR="000B3C5C" w:rsidRDefault="00ED192D">
            <w:pPr>
              <w:spacing w:after="0" w:line="259" w:lineRule="auto"/>
              <w:ind w:left="130" w:firstLine="0"/>
            </w:pPr>
            <w:r>
              <w:rPr>
                <w:rFonts w:ascii="Arial" w:eastAsia="Arial" w:hAnsi="Arial" w:cs="Arial"/>
                <w:b/>
                <w:sz w:val="20"/>
              </w:rPr>
              <w:t xml:space="preserve">Non-target lesions </w:t>
            </w:r>
          </w:p>
        </w:tc>
        <w:tc>
          <w:tcPr>
            <w:tcW w:w="2192" w:type="dxa"/>
            <w:tcBorders>
              <w:top w:val="single" w:sz="4" w:space="0" w:color="000000"/>
              <w:left w:val="nil"/>
              <w:bottom w:val="single" w:sz="4" w:space="0" w:color="000000"/>
              <w:right w:val="nil"/>
            </w:tcBorders>
          </w:tcPr>
          <w:p w14:paraId="28C86FB3" w14:textId="77777777" w:rsidR="000B3C5C" w:rsidRDefault="00ED192D">
            <w:pPr>
              <w:spacing w:after="0" w:line="259" w:lineRule="auto"/>
              <w:ind w:left="0" w:firstLine="0"/>
            </w:pPr>
            <w:r>
              <w:rPr>
                <w:rFonts w:ascii="Arial" w:eastAsia="Arial" w:hAnsi="Arial" w:cs="Arial"/>
                <w:b/>
                <w:sz w:val="20"/>
              </w:rPr>
              <w:t xml:space="preserve">New lesions </w:t>
            </w:r>
          </w:p>
        </w:tc>
        <w:tc>
          <w:tcPr>
            <w:tcW w:w="2021" w:type="dxa"/>
            <w:tcBorders>
              <w:top w:val="single" w:sz="4" w:space="0" w:color="000000"/>
              <w:left w:val="nil"/>
              <w:bottom w:val="single" w:sz="4" w:space="0" w:color="000000"/>
              <w:right w:val="nil"/>
            </w:tcBorders>
          </w:tcPr>
          <w:p w14:paraId="2C71FEAB" w14:textId="77777777" w:rsidR="000B3C5C" w:rsidRDefault="00ED192D">
            <w:pPr>
              <w:spacing w:after="0" w:line="259" w:lineRule="auto"/>
              <w:ind w:left="0" w:firstLine="0"/>
            </w:pPr>
            <w:r>
              <w:rPr>
                <w:rFonts w:ascii="Arial" w:eastAsia="Arial" w:hAnsi="Arial" w:cs="Arial"/>
                <w:b/>
                <w:sz w:val="20"/>
              </w:rPr>
              <w:t xml:space="preserve">Overall response </w:t>
            </w:r>
          </w:p>
        </w:tc>
      </w:tr>
      <w:tr w:rsidR="000B3C5C" w14:paraId="47E36274" w14:textId="77777777">
        <w:trPr>
          <w:trHeight w:val="316"/>
        </w:trPr>
        <w:tc>
          <w:tcPr>
            <w:tcW w:w="2425" w:type="dxa"/>
            <w:tcBorders>
              <w:top w:val="single" w:sz="4" w:space="0" w:color="000000"/>
              <w:left w:val="nil"/>
              <w:bottom w:val="nil"/>
              <w:right w:val="nil"/>
            </w:tcBorders>
          </w:tcPr>
          <w:p w14:paraId="3D78B9EE" w14:textId="77777777" w:rsidR="000B3C5C" w:rsidRDefault="00ED192D">
            <w:pPr>
              <w:spacing w:after="0" w:line="259" w:lineRule="auto"/>
              <w:ind w:left="0" w:right="87" w:firstLine="0"/>
              <w:jc w:val="center"/>
            </w:pPr>
            <w:r>
              <w:rPr>
                <w:rFonts w:ascii="Arial" w:eastAsia="Arial" w:hAnsi="Arial" w:cs="Arial"/>
                <w:sz w:val="20"/>
              </w:rPr>
              <w:t xml:space="preserve">CR </w:t>
            </w:r>
          </w:p>
        </w:tc>
        <w:tc>
          <w:tcPr>
            <w:tcW w:w="2852" w:type="dxa"/>
            <w:tcBorders>
              <w:top w:val="single" w:sz="4" w:space="0" w:color="000000"/>
              <w:left w:val="nil"/>
              <w:bottom w:val="nil"/>
              <w:right w:val="nil"/>
            </w:tcBorders>
          </w:tcPr>
          <w:p w14:paraId="5B81A7B1" w14:textId="77777777" w:rsidR="000B3C5C" w:rsidRDefault="00ED192D">
            <w:pPr>
              <w:spacing w:after="0" w:line="259" w:lineRule="auto"/>
              <w:ind w:left="890" w:firstLine="0"/>
            </w:pPr>
            <w:r>
              <w:rPr>
                <w:rFonts w:ascii="Arial" w:eastAsia="Arial" w:hAnsi="Arial" w:cs="Arial"/>
                <w:sz w:val="20"/>
              </w:rPr>
              <w:t xml:space="preserve">CR </w:t>
            </w:r>
          </w:p>
        </w:tc>
        <w:tc>
          <w:tcPr>
            <w:tcW w:w="2192" w:type="dxa"/>
            <w:tcBorders>
              <w:top w:val="single" w:sz="4" w:space="0" w:color="000000"/>
              <w:left w:val="nil"/>
              <w:bottom w:val="nil"/>
              <w:right w:val="nil"/>
            </w:tcBorders>
          </w:tcPr>
          <w:p w14:paraId="180B0F0A" w14:textId="77777777" w:rsidR="000B3C5C" w:rsidRDefault="00ED192D">
            <w:pPr>
              <w:spacing w:after="0" w:line="259" w:lineRule="auto"/>
              <w:ind w:left="475" w:firstLine="0"/>
            </w:pPr>
            <w:r>
              <w:rPr>
                <w:rFonts w:ascii="Arial" w:eastAsia="Arial" w:hAnsi="Arial" w:cs="Arial"/>
                <w:sz w:val="20"/>
              </w:rPr>
              <w:t xml:space="preserve">No </w:t>
            </w:r>
          </w:p>
        </w:tc>
        <w:tc>
          <w:tcPr>
            <w:tcW w:w="2021" w:type="dxa"/>
            <w:tcBorders>
              <w:top w:val="single" w:sz="4" w:space="0" w:color="000000"/>
              <w:left w:val="nil"/>
              <w:bottom w:val="nil"/>
              <w:right w:val="nil"/>
            </w:tcBorders>
          </w:tcPr>
          <w:p w14:paraId="7B4CAF06" w14:textId="77777777" w:rsidR="000B3C5C" w:rsidRDefault="00ED192D">
            <w:pPr>
              <w:spacing w:after="0" w:line="259" w:lineRule="auto"/>
              <w:ind w:left="692" w:firstLine="0"/>
            </w:pPr>
            <w:r>
              <w:rPr>
                <w:rFonts w:ascii="Arial" w:eastAsia="Arial" w:hAnsi="Arial" w:cs="Arial"/>
                <w:sz w:val="20"/>
              </w:rPr>
              <w:t xml:space="preserve">CR </w:t>
            </w:r>
          </w:p>
        </w:tc>
      </w:tr>
      <w:tr w:rsidR="000B3C5C" w14:paraId="57182ABA" w14:textId="77777777">
        <w:trPr>
          <w:trHeight w:val="289"/>
        </w:trPr>
        <w:tc>
          <w:tcPr>
            <w:tcW w:w="2425" w:type="dxa"/>
            <w:tcBorders>
              <w:top w:val="nil"/>
              <w:left w:val="nil"/>
              <w:bottom w:val="nil"/>
              <w:right w:val="nil"/>
            </w:tcBorders>
          </w:tcPr>
          <w:p w14:paraId="7944DDEB" w14:textId="77777777" w:rsidR="000B3C5C" w:rsidRDefault="00ED192D">
            <w:pPr>
              <w:spacing w:after="0" w:line="259" w:lineRule="auto"/>
              <w:ind w:left="0" w:right="87" w:firstLine="0"/>
              <w:jc w:val="center"/>
            </w:pPr>
            <w:r>
              <w:rPr>
                <w:rFonts w:ascii="Arial" w:eastAsia="Arial" w:hAnsi="Arial" w:cs="Arial"/>
                <w:sz w:val="20"/>
              </w:rPr>
              <w:t xml:space="preserve">CR </w:t>
            </w:r>
          </w:p>
        </w:tc>
        <w:tc>
          <w:tcPr>
            <w:tcW w:w="2852" w:type="dxa"/>
            <w:tcBorders>
              <w:top w:val="nil"/>
              <w:left w:val="nil"/>
              <w:bottom w:val="nil"/>
              <w:right w:val="nil"/>
            </w:tcBorders>
          </w:tcPr>
          <w:p w14:paraId="62028225" w14:textId="77777777" w:rsidR="000B3C5C" w:rsidRDefault="00ED192D">
            <w:pPr>
              <w:spacing w:after="0" w:line="259" w:lineRule="auto"/>
              <w:ind w:left="413" w:firstLine="0"/>
            </w:pPr>
            <w:r>
              <w:rPr>
                <w:rFonts w:ascii="Arial" w:eastAsia="Arial" w:hAnsi="Arial" w:cs="Arial"/>
                <w:sz w:val="20"/>
              </w:rPr>
              <w:t xml:space="preserve">Non-CR/non-PD </w:t>
            </w:r>
          </w:p>
        </w:tc>
        <w:tc>
          <w:tcPr>
            <w:tcW w:w="2192" w:type="dxa"/>
            <w:tcBorders>
              <w:top w:val="nil"/>
              <w:left w:val="nil"/>
              <w:bottom w:val="nil"/>
              <w:right w:val="nil"/>
            </w:tcBorders>
          </w:tcPr>
          <w:p w14:paraId="1547B65C" w14:textId="77777777" w:rsidR="000B3C5C" w:rsidRDefault="00ED192D">
            <w:pPr>
              <w:spacing w:after="0" w:line="259" w:lineRule="auto"/>
              <w:ind w:left="475" w:firstLine="0"/>
            </w:pPr>
            <w:r>
              <w:rPr>
                <w:rFonts w:ascii="Arial" w:eastAsia="Arial" w:hAnsi="Arial" w:cs="Arial"/>
                <w:sz w:val="20"/>
              </w:rPr>
              <w:t xml:space="preserve">No </w:t>
            </w:r>
          </w:p>
        </w:tc>
        <w:tc>
          <w:tcPr>
            <w:tcW w:w="2021" w:type="dxa"/>
            <w:tcBorders>
              <w:top w:val="nil"/>
              <w:left w:val="nil"/>
              <w:bottom w:val="nil"/>
              <w:right w:val="nil"/>
            </w:tcBorders>
          </w:tcPr>
          <w:p w14:paraId="7B2BB6FE" w14:textId="77777777" w:rsidR="000B3C5C" w:rsidRDefault="00ED192D">
            <w:pPr>
              <w:spacing w:after="0" w:line="259" w:lineRule="auto"/>
              <w:ind w:left="696" w:firstLine="0"/>
            </w:pPr>
            <w:r>
              <w:rPr>
                <w:rFonts w:ascii="Arial" w:eastAsia="Arial" w:hAnsi="Arial" w:cs="Arial"/>
                <w:sz w:val="20"/>
              </w:rPr>
              <w:t xml:space="preserve">PR </w:t>
            </w:r>
          </w:p>
        </w:tc>
      </w:tr>
      <w:tr w:rsidR="000B3C5C" w14:paraId="347459FF" w14:textId="77777777">
        <w:trPr>
          <w:trHeight w:val="291"/>
        </w:trPr>
        <w:tc>
          <w:tcPr>
            <w:tcW w:w="2425" w:type="dxa"/>
            <w:tcBorders>
              <w:top w:val="nil"/>
              <w:left w:val="nil"/>
              <w:bottom w:val="nil"/>
              <w:right w:val="nil"/>
            </w:tcBorders>
          </w:tcPr>
          <w:p w14:paraId="552C1688" w14:textId="77777777" w:rsidR="000B3C5C" w:rsidRDefault="00ED192D">
            <w:pPr>
              <w:spacing w:after="0" w:line="259" w:lineRule="auto"/>
              <w:ind w:left="0" w:right="87" w:firstLine="0"/>
              <w:jc w:val="center"/>
            </w:pPr>
            <w:r>
              <w:rPr>
                <w:rFonts w:ascii="Arial" w:eastAsia="Arial" w:hAnsi="Arial" w:cs="Arial"/>
                <w:sz w:val="20"/>
              </w:rPr>
              <w:t xml:space="preserve">CR </w:t>
            </w:r>
          </w:p>
        </w:tc>
        <w:tc>
          <w:tcPr>
            <w:tcW w:w="2852" w:type="dxa"/>
            <w:tcBorders>
              <w:top w:val="nil"/>
              <w:left w:val="nil"/>
              <w:bottom w:val="nil"/>
              <w:right w:val="nil"/>
            </w:tcBorders>
          </w:tcPr>
          <w:p w14:paraId="17694E01" w14:textId="77777777" w:rsidR="000B3C5C" w:rsidRDefault="00ED192D">
            <w:pPr>
              <w:spacing w:after="0" w:line="259" w:lineRule="auto"/>
              <w:ind w:left="502" w:firstLine="0"/>
            </w:pPr>
            <w:r>
              <w:rPr>
                <w:rFonts w:ascii="Arial" w:eastAsia="Arial" w:hAnsi="Arial" w:cs="Arial"/>
                <w:sz w:val="20"/>
              </w:rPr>
              <w:t xml:space="preserve">Not evaluated </w:t>
            </w:r>
          </w:p>
        </w:tc>
        <w:tc>
          <w:tcPr>
            <w:tcW w:w="2192" w:type="dxa"/>
            <w:tcBorders>
              <w:top w:val="nil"/>
              <w:left w:val="nil"/>
              <w:bottom w:val="nil"/>
              <w:right w:val="nil"/>
            </w:tcBorders>
          </w:tcPr>
          <w:p w14:paraId="3DE233BC" w14:textId="77777777" w:rsidR="000B3C5C" w:rsidRDefault="00ED192D">
            <w:pPr>
              <w:spacing w:after="0" w:line="259" w:lineRule="auto"/>
              <w:ind w:left="475" w:firstLine="0"/>
            </w:pPr>
            <w:r>
              <w:rPr>
                <w:rFonts w:ascii="Arial" w:eastAsia="Arial" w:hAnsi="Arial" w:cs="Arial"/>
                <w:sz w:val="20"/>
              </w:rPr>
              <w:t xml:space="preserve">No </w:t>
            </w:r>
          </w:p>
        </w:tc>
        <w:tc>
          <w:tcPr>
            <w:tcW w:w="2021" w:type="dxa"/>
            <w:tcBorders>
              <w:top w:val="nil"/>
              <w:left w:val="nil"/>
              <w:bottom w:val="nil"/>
              <w:right w:val="nil"/>
            </w:tcBorders>
          </w:tcPr>
          <w:p w14:paraId="29E7960E" w14:textId="77777777" w:rsidR="000B3C5C" w:rsidRDefault="00ED192D">
            <w:pPr>
              <w:spacing w:after="0" w:line="259" w:lineRule="auto"/>
              <w:ind w:left="696" w:firstLine="0"/>
            </w:pPr>
            <w:r>
              <w:rPr>
                <w:rFonts w:ascii="Arial" w:eastAsia="Arial" w:hAnsi="Arial" w:cs="Arial"/>
                <w:sz w:val="20"/>
              </w:rPr>
              <w:t xml:space="preserve">PR </w:t>
            </w:r>
          </w:p>
        </w:tc>
      </w:tr>
      <w:tr w:rsidR="000B3C5C" w14:paraId="4236FCEF" w14:textId="77777777">
        <w:trPr>
          <w:trHeight w:val="289"/>
        </w:trPr>
        <w:tc>
          <w:tcPr>
            <w:tcW w:w="2425" w:type="dxa"/>
            <w:tcBorders>
              <w:top w:val="nil"/>
              <w:left w:val="nil"/>
              <w:bottom w:val="nil"/>
              <w:right w:val="nil"/>
            </w:tcBorders>
          </w:tcPr>
          <w:p w14:paraId="6EAD6D57" w14:textId="77777777" w:rsidR="000B3C5C" w:rsidRDefault="00ED192D">
            <w:pPr>
              <w:spacing w:after="0" w:line="259" w:lineRule="auto"/>
              <w:ind w:left="0" w:right="87" w:firstLine="0"/>
              <w:jc w:val="center"/>
            </w:pPr>
            <w:r>
              <w:rPr>
                <w:rFonts w:ascii="Arial" w:eastAsia="Arial" w:hAnsi="Arial" w:cs="Arial"/>
                <w:sz w:val="20"/>
              </w:rPr>
              <w:t xml:space="preserve">PR </w:t>
            </w:r>
          </w:p>
        </w:tc>
        <w:tc>
          <w:tcPr>
            <w:tcW w:w="2852" w:type="dxa"/>
            <w:tcBorders>
              <w:top w:val="nil"/>
              <w:left w:val="nil"/>
              <w:bottom w:val="nil"/>
              <w:right w:val="nil"/>
            </w:tcBorders>
          </w:tcPr>
          <w:p w14:paraId="0E489D6B" w14:textId="77777777" w:rsidR="000B3C5C" w:rsidRDefault="00ED192D">
            <w:pPr>
              <w:spacing w:after="0" w:line="259" w:lineRule="auto"/>
              <w:ind w:left="0" w:firstLine="0"/>
            </w:pPr>
            <w:r>
              <w:rPr>
                <w:rFonts w:ascii="Arial" w:eastAsia="Arial" w:hAnsi="Arial" w:cs="Arial"/>
                <w:sz w:val="20"/>
              </w:rPr>
              <w:t xml:space="preserve">Non-PD or not all evaluated </w:t>
            </w:r>
          </w:p>
        </w:tc>
        <w:tc>
          <w:tcPr>
            <w:tcW w:w="2192" w:type="dxa"/>
            <w:tcBorders>
              <w:top w:val="nil"/>
              <w:left w:val="nil"/>
              <w:bottom w:val="nil"/>
              <w:right w:val="nil"/>
            </w:tcBorders>
          </w:tcPr>
          <w:p w14:paraId="12CBBA43" w14:textId="77777777" w:rsidR="000B3C5C" w:rsidRDefault="00ED192D">
            <w:pPr>
              <w:spacing w:after="0" w:line="259" w:lineRule="auto"/>
              <w:ind w:left="475" w:firstLine="0"/>
            </w:pPr>
            <w:r>
              <w:rPr>
                <w:rFonts w:ascii="Arial" w:eastAsia="Arial" w:hAnsi="Arial" w:cs="Arial"/>
                <w:sz w:val="20"/>
              </w:rPr>
              <w:t xml:space="preserve">No </w:t>
            </w:r>
          </w:p>
        </w:tc>
        <w:tc>
          <w:tcPr>
            <w:tcW w:w="2021" w:type="dxa"/>
            <w:tcBorders>
              <w:top w:val="nil"/>
              <w:left w:val="nil"/>
              <w:bottom w:val="nil"/>
              <w:right w:val="nil"/>
            </w:tcBorders>
          </w:tcPr>
          <w:p w14:paraId="2CB54C25" w14:textId="77777777" w:rsidR="000B3C5C" w:rsidRDefault="00ED192D">
            <w:pPr>
              <w:spacing w:after="0" w:line="259" w:lineRule="auto"/>
              <w:ind w:left="696" w:firstLine="0"/>
            </w:pPr>
            <w:r>
              <w:rPr>
                <w:rFonts w:ascii="Arial" w:eastAsia="Arial" w:hAnsi="Arial" w:cs="Arial"/>
                <w:sz w:val="20"/>
              </w:rPr>
              <w:t xml:space="preserve">PR </w:t>
            </w:r>
          </w:p>
        </w:tc>
      </w:tr>
      <w:tr w:rsidR="000B3C5C" w14:paraId="4EFDDC16" w14:textId="77777777">
        <w:trPr>
          <w:trHeight w:val="289"/>
        </w:trPr>
        <w:tc>
          <w:tcPr>
            <w:tcW w:w="2425" w:type="dxa"/>
            <w:tcBorders>
              <w:top w:val="nil"/>
              <w:left w:val="nil"/>
              <w:bottom w:val="nil"/>
              <w:right w:val="nil"/>
            </w:tcBorders>
          </w:tcPr>
          <w:p w14:paraId="52924054" w14:textId="77777777" w:rsidR="000B3C5C" w:rsidRDefault="00ED192D">
            <w:pPr>
              <w:spacing w:after="0" w:line="259" w:lineRule="auto"/>
              <w:ind w:left="0" w:right="87" w:firstLine="0"/>
              <w:jc w:val="center"/>
            </w:pPr>
            <w:r>
              <w:rPr>
                <w:rFonts w:ascii="Arial" w:eastAsia="Arial" w:hAnsi="Arial" w:cs="Arial"/>
                <w:sz w:val="20"/>
              </w:rPr>
              <w:t xml:space="preserve">SD </w:t>
            </w:r>
          </w:p>
        </w:tc>
        <w:tc>
          <w:tcPr>
            <w:tcW w:w="2852" w:type="dxa"/>
            <w:tcBorders>
              <w:top w:val="nil"/>
              <w:left w:val="nil"/>
              <w:bottom w:val="nil"/>
              <w:right w:val="nil"/>
            </w:tcBorders>
          </w:tcPr>
          <w:p w14:paraId="4FBAB8BF" w14:textId="77777777" w:rsidR="000B3C5C" w:rsidRDefault="00ED192D">
            <w:pPr>
              <w:spacing w:after="0" w:line="259" w:lineRule="auto"/>
              <w:ind w:left="0" w:firstLine="0"/>
            </w:pPr>
            <w:r>
              <w:rPr>
                <w:rFonts w:ascii="Arial" w:eastAsia="Arial" w:hAnsi="Arial" w:cs="Arial"/>
                <w:sz w:val="20"/>
              </w:rPr>
              <w:t xml:space="preserve">Non-PD or not all evaluated </w:t>
            </w:r>
          </w:p>
        </w:tc>
        <w:tc>
          <w:tcPr>
            <w:tcW w:w="2192" w:type="dxa"/>
            <w:tcBorders>
              <w:top w:val="nil"/>
              <w:left w:val="nil"/>
              <w:bottom w:val="nil"/>
              <w:right w:val="nil"/>
            </w:tcBorders>
          </w:tcPr>
          <w:p w14:paraId="494E563F" w14:textId="77777777" w:rsidR="000B3C5C" w:rsidRDefault="00ED192D">
            <w:pPr>
              <w:spacing w:after="0" w:line="259" w:lineRule="auto"/>
              <w:ind w:left="475" w:firstLine="0"/>
            </w:pPr>
            <w:r>
              <w:rPr>
                <w:rFonts w:ascii="Arial" w:eastAsia="Arial" w:hAnsi="Arial" w:cs="Arial"/>
                <w:sz w:val="20"/>
              </w:rPr>
              <w:t xml:space="preserve">No </w:t>
            </w:r>
          </w:p>
        </w:tc>
        <w:tc>
          <w:tcPr>
            <w:tcW w:w="2021" w:type="dxa"/>
            <w:tcBorders>
              <w:top w:val="nil"/>
              <w:left w:val="nil"/>
              <w:bottom w:val="nil"/>
              <w:right w:val="nil"/>
            </w:tcBorders>
          </w:tcPr>
          <w:p w14:paraId="5D4F8713" w14:textId="77777777" w:rsidR="000B3C5C" w:rsidRDefault="00ED192D">
            <w:pPr>
              <w:spacing w:after="0" w:line="259" w:lineRule="auto"/>
              <w:ind w:left="696" w:firstLine="0"/>
            </w:pPr>
            <w:r>
              <w:rPr>
                <w:rFonts w:ascii="Arial" w:eastAsia="Arial" w:hAnsi="Arial" w:cs="Arial"/>
                <w:sz w:val="20"/>
              </w:rPr>
              <w:t xml:space="preserve">SD </w:t>
            </w:r>
          </w:p>
        </w:tc>
      </w:tr>
      <w:tr w:rsidR="000B3C5C" w14:paraId="148ADEE3" w14:textId="77777777">
        <w:trPr>
          <w:trHeight w:val="289"/>
        </w:trPr>
        <w:tc>
          <w:tcPr>
            <w:tcW w:w="2425" w:type="dxa"/>
            <w:tcBorders>
              <w:top w:val="nil"/>
              <w:left w:val="nil"/>
              <w:bottom w:val="nil"/>
              <w:right w:val="nil"/>
            </w:tcBorders>
          </w:tcPr>
          <w:p w14:paraId="7BF11F51" w14:textId="77777777" w:rsidR="000B3C5C" w:rsidRDefault="00ED192D">
            <w:pPr>
              <w:spacing w:after="0" w:line="259" w:lineRule="auto"/>
              <w:ind w:left="502" w:firstLine="0"/>
            </w:pPr>
            <w:r>
              <w:rPr>
                <w:rFonts w:ascii="Arial" w:eastAsia="Arial" w:hAnsi="Arial" w:cs="Arial"/>
                <w:sz w:val="20"/>
              </w:rPr>
              <w:t xml:space="preserve">Not all evaluated </w:t>
            </w:r>
          </w:p>
        </w:tc>
        <w:tc>
          <w:tcPr>
            <w:tcW w:w="2852" w:type="dxa"/>
            <w:tcBorders>
              <w:top w:val="nil"/>
              <w:left w:val="nil"/>
              <w:bottom w:val="nil"/>
              <w:right w:val="nil"/>
            </w:tcBorders>
          </w:tcPr>
          <w:p w14:paraId="6C4B52C5" w14:textId="77777777" w:rsidR="000B3C5C" w:rsidRDefault="00ED192D">
            <w:pPr>
              <w:spacing w:after="0" w:line="259" w:lineRule="auto"/>
              <w:ind w:left="718" w:firstLine="0"/>
            </w:pPr>
            <w:r>
              <w:rPr>
                <w:rFonts w:ascii="Arial" w:eastAsia="Arial" w:hAnsi="Arial" w:cs="Arial"/>
                <w:sz w:val="20"/>
              </w:rPr>
              <w:t xml:space="preserve">Non-PD </w:t>
            </w:r>
          </w:p>
        </w:tc>
        <w:tc>
          <w:tcPr>
            <w:tcW w:w="2192" w:type="dxa"/>
            <w:tcBorders>
              <w:top w:val="nil"/>
              <w:left w:val="nil"/>
              <w:bottom w:val="nil"/>
              <w:right w:val="nil"/>
            </w:tcBorders>
          </w:tcPr>
          <w:p w14:paraId="20B3426F" w14:textId="77777777" w:rsidR="000B3C5C" w:rsidRDefault="00ED192D">
            <w:pPr>
              <w:spacing w:after="0" w:line="259" w:lineRule="auto"/>
              <w:ind w:left="475" w:firstLine="0"/>
            </w:pPr>
            <w:r>
              <w:rPr>
                <w:rFonts w:ascii="Arial" w:eastAsia="Arial" w:hAnsi="Arial" w:cs="Arial"/>
                <w:sz w:val="20"/>
              </w:rPr>
              <w:t xml:space="preserve">No </w:t>
            </w:r>
          </w:p>
        </w:tc>
        <w:tc>
          <w:tcPr>
            <w:tcW w:w="2021" w:type="dxa"/>
            <w:tcBorders>
              <w:top w:val="nil"/>
              <w:left w:val="nil"/>
              <w:bottom w:val="nil"/>
              <w:right w:val="nil"/>
            </w:tcBorders>
          </w:tcPr>
          <w:p w14:paraId="18086156" w14:textId="77777777" w:rsidR="000B3C5C" w:rsidRDefault="00ED192D">
            <w:pPr>
              <w:spacing w:after="0" w:line="259" w:lineRule="auto"/>
              <w:ind w:left="391" w:firstLine="0"/>
            </w:pPr>
            <w:r>
              <w:rPr>
                <w:rFonts w:ascii="Arial" w:eastAsia="Arial" w:hAnsi="Arial" w:cs="Arial"/>
                <w:sz w:val="20"/>
              </w:rPr>
              <w:t xml:space="preserve">Inevaluable </w:t>
            </w:r>
          </w:p>
        </w:tc>
      </w:tr>
      <w:tr w:rsidR="000B3C5C" w14:paraId="17F20769" w14:textId="77777777">
        <w:trPr>
          <w:trHeight w:val="289"/>
        </w:trPr>
        <w:tc>
          <w:tcPr>
            <w:tcW w:w="2425" w:type="dxa"/>
            <w:tcBorders>
              <w:top w:val="nil"/>
              <w:left w:val="nil"/>
              <w:bottom w:val="nil"/>
              <w:right w:val="nil"/>
            </w:tcBorders>
          </w:tcPr>
          <w:p w14:paraId="2E95583F" w14:textId="77777777" w:rsidR="000B3C5C" w:rsidRDefault="00ED192D">
            <w:pPr>
              <w:spacing w:after="0" w:line="259" w:lineRule="auto"/>
              <w:ind w:left="0" w:right="87" w:firstLine="0"/>
              <w:jc w:val="center"/>
            </w:pPr>
            <w:r>
              <w:rPr>
                <w:rFonts w:ascii="Arial" w:eastAsia="Arial" w:hAnsi="Arial" w:cs="Arial"/>
                <w:sz w:val="20"/>
              </w:rPr>
              <w:t xml:space="preserve">PD </w:t>
            </w:r>
          </w:p>
        </w:tc>
        <w:tc>
          <w:tcPr>
            <w:tcW w:w="2852" w:type="dxa"/>
            <w:tcBorders>
              <w:top w:val="nil"/>
              <w:left w:val="nil"/>
              <w:bottom w:val="nil"/>
              <w:right w:val="nil"/>
            </w:tcBorders>
          </w:tcPr>
          <w:p w14:paraId="3267420D" w14:textId="77777777" w:rsidR="000B3C5C" w:rsidRDefault="00ED192D">
            <w:pPr>
              <w:spacing w:after="0" w:line="259" w:lineRule="auto"/>
              <w:ind w:left="866" w:firstLine="0"/>
            </w:pPr>
            <w:r>
              <w:rPr>
                <w:rFonts w:ascii="Arial" w:eastAsia="Arial" w:hAnsi="Arial" w:cs="Arial"/>
                <w:sz w:val="20"/>
              </w:rPr>
              <w:t xml:space="preserve">Any </w:t>
            </w:r>
          </w:p>
        </w:tc>
        <w:tc>
          <w:tcPr>
            <w:tcW w:w="2192" w:type="dxa"/>
            <w:tcBorders>
              <w:top w:val="nil"/>
              <w:left w:val="nil"/>
              <w:bottom w:val="nil"/>
              <w:right w:val="nil"/>
            </w:tcBorders>
          </w:tcPr>
          <w:p w14:paraId="3E5DCC68" w14:textId="77777777" w:rsidR="000B3C5C" w:rsidRDefault="00ED192D">
            <w:pPr>
              <w:spacing w:after="0" w:line="259" w:lineRule="auto"/>
              <w:ind w:left="214" w:firstLine="0"/>
            </w:pPr>
            <w:r>
              <w:rPr>
                <w:rFonts w:ascii="Arial" w:eastAsia="Arial" w:hAnsi="Arial" w:cs="Arial"/>
                <w:sz w:val="20"/>
              </w:rPr>
              <w:t xml:space="preserve">Yes or No </w:t>
            </w:r>
          </w:p>
        </w:tc>
        <w:tc>
          <w:tcPr>
            <w:tcW w:w="2021" w:type="dxa"/>
            <w:tcBorders>
              <w:top w:val="nil"/>
              <w:left w:val="nil"/>
              <w:bottom w:val="nil"/>
              <w:right w:val="nil"/>
            </w:tcBorders>
          </w:tcPr>
          <w:p w14:paraId="2F7789E6" w14:textId="77777777" w:rsidR="000B3C5C" w:rsidRDefault="00ED192D">
            <w:pPr>
              <w:spacing w:after="0" w:line="259" w:lineRule="auto"/>
              <w:ind w:left="696" w:firstLine="0"/>
            </w:pPr>
            <w:r>
              <w:rPr>
                <w:rFonts w:ascii="Arial" w:eastAsia="Arial" w:hAnsi="Arial" w:cs="Arial"/>
                <w:sz w:val="20"/>
              </w:rPr>
              <w:t xml:space="preserve">PD </w:t>
            </w:r>
          </w:p>
        </w:tc>
      </w:tr>
      <w:tr w:rsidR="000B3C5C" w14:paraId="1EAE9739" w14:textId="77777777">
        <w:trPr>
          <w:trHeight w:val="290"/>
        </w:trPr>
        <w:tc>
          <w:tcPr>
            <w:tcW w:w="2425" w:type="dxa"/>
            <w:tcBorders>
              <w:top w:val="nil"/>
              <w:left w:val="nil"/>
              <w:bottom w:val="nil"/>
              <w:right w:val="nil"/>
            </w:tcBorders>
          </w:tcPr>
          <w:p w14:paraId="3B130C3B" w14:textId="77777777" w:rsidR="000B3C5C" w:rsidRDefault="00ED192D">
            <w:pPr>
              <w:spacing w:after="0" w:line="259" w:lineRule="auto"/>
              <w:ind w:left="0" w:right="85" w:firstLine="0"/>
              <w:jc w:val="center"/>
            </w:pPr>
            <w:r>
              <w:rPr>
                <w:rFonts w:ascii="Arial" w:eastAsia="Arial" w:hAnsi="Arial" w:cs="Arial"/>
                <w:sz w:val="20"/>
              </w:rPr>
              <w:t xml:space="preserve">Any </w:t>
            </w:r>
          </w:p>
        </w:tc>
        <w:tc>
          <w:tcPr>
            <w:tcW w:w="2852" w:type="dxa"/>
            <w:tcBorders>
              <w:top w:val="nil"/>
              <w:left w:val="nil"/>
              <w:bottom w:val="nil"/>
              <w:right w:val="nil"/>
            </w:tcBorders>
          </w:tcPr>
          <w:p w14:paraId="64C8F90A" w14:textId="77777777" w:rsidR="000B3C5C" w:rsidRDefault="00ED192D">
            <w:pPr>
              <w:spacing w:after="0" w:line="259" w:lineRule="auto"/>
              <w:ind w:left="895" w:firstLine="0"/>
            </w:pPr>
            <w:r>
              <w:rPr>
                <w:rFonts w:ascii="Arial" w:eastAsia="Arial" w:hAnsi="Arial" w:cs="Arial"/>
                <w:sz w:val="20"/>
              </w:rPr>
              <w:t xml:space="preserve">PD </w:t>
            </w:r>
          </w:p>
        </w:tc>
        <w:tc>
          <w:tcPr>
            <w:tcW w:w="2192" w:type="dxa"/>
            <w:tcBorders>
              <w:top w:val="nil"/>
              <w:left w:val="nil"/>
              <w:bottom w:val="nil"/>
              <w:right w:val="nil"/>
            </w:tcBorders>
          </w:tcPr>
          <w:p w14:paraId="0D06EB06" w14:textId="77777777" w:rsidR="000B3C5C" w:rsidRDefault="00ED192D">
            <w:pPr>
              <w:spacing w:after="0" w:line="259" w:lineRule="auto"/>
              <w:ind w:left="214" w:firstLine="0"/>
            </w:pPr>
            <w:r>
              <w:rPr>
                <w:rFonts w:ascii="Arial" w:eastAsia="Arial" w:hAnsi="Arial" w:cs="Arial"/>
                <w:sz w:val="20"/>
              </w:rPr>
              <w:t xml:space="preserve">Yes or No </w:t>
            </w:r>
          </w:p>
        </w:tc>
        <w:tc>
          <w:tcPr>
            <w:tcW w:w="2021" w:type="dxa"/>
            <w:tcBorders>
              <w:top w:val="nil"/>
              <w:left w:val="nil"/>
              <w:bottom w:val="nil"/>
              <w:right w:val="nil"/>
            </w:tcBorders>
          </w:tcPr>
          <w:p w14:paraId="5D72F85B" w14:textId="77777777" w:rsidR="000B3C5C" w:rsidRDefault="00ED192D">
            <w:pPr>
              <w:spacing w:after="0" w:line="259" w:lineRule="auto"/>
              <w:ind w:left="696" w:firstLine="0"/>
            </w:pPr>
            <w:r>
              <w:rPr>
                <w:rFonts w:ascii="Arial" w:eastAsia="Arial" w:hAnsi="Arial" w:cs="Arial"/>
                <w:sz w:val="20"/>
              </w:rPr>
              <w:t xml:space="preserve">PD </w:t>
            </w:r>
          </w:p>
        </w:tc>
      </w:tr>
      <w:tr w:rsidR="000B3C5C" w14:paraId="590AD008" w14:textId="77777777">
        <w:trPr>
          <w:trHeight w:val="281"/>
        </w:trPr>
        <w:tc>
          <w:tcPr>
            <w:tcW w:w="2425" w:type="dxa"/>
            <w:tcBorders>
              <w:top w:val="nil"/>
              <w:left w:val="nil"/>
              <w:bottom w:val="single" w:sz="12" w:space="0" w:color="000000"/>
              <w:right w:val="nil"/>
            </w:tcBorders>
          </w:tcPr>
          <w:p w14:paraId="2AEC2938" w14:textId="77777777" w:rsidR="000B3C5C" w:rsidRDefault="00ED192D">
            <w:pPr>
              <w:spacing w:after="0" w:line="259" w:lineRule="auto"/>
              <w:ind w:left="0" w:right="85" w:firstLine="0"/>
              <w:jc w:val="center"/>
            </w:pPr>
            <w:r>
              <w:rPr>
                <w:rFonts w:ascii="Arial" w:eastAsia="Arial" w:hAnsi="Arial" w:cs="Arial"/>
                <w:sz w:val="20"/>
              </w:rPr>
              <w:t xml:space="preserve">Any </w:t>
            </w:r>
          </w:p>
        </w:tc>
        <w:tc>
          <w:tcPr>
            <w:tcW w:w="2852" w:type="dxa"/>
            <w:tcBorders>
              <w:top w:val="nil"/>
              <w:left w:val="nil"/>
              <w:bottom w:val="single" w:sz="12" w:space="0" w:color="000000"/>
              <w:right w:val="nil"/>
            </w:tcBorders>
          </w:tcPr>
          <w:p w14:paraId="40F61612" w14:textId="77777777" w:rsidR="000B3C5C" w:rsidRDefault="00ED192D">
            <w:pPr>
              <w:spacing w:after="0" w:line="259" w:lineRule="auto"/>
              <w:ind w:left="866" w:firstLine="0"/>
            </w:pPr>
            <w:r>
              <w:rPr>
                <w:rFonts w:ascii="Arial" w:eastAsia="Arial" w:hAnsi="Arial" w:cs="Arial"/>
                <w:sz w:val="20"/>
              </w:rPr>
              <w:t xml:space="preserve">Any </w:t>
            </w:r>
          </w:p>
        </w:tc>
        <w:tc>
          <w:tcPr>
            <w:tcW w:w="2192" w:type="dxa"/>
            <w:tcBorders>
              <w:top w:val="nil"/>
              <w:left w:val="nil"/>
              <w:bottom w:val="single" w:sz="12" w:space="0" w:color="000000"/>
              <w:right w:val="nil"/>
            </w:tcBorders>
          </w:tcPr>
          <w:p w14:paraId="3BB98A61" w14:textId="77777777" w:rsidR="000B3C5C" w:rsidRDefault="00ED192D">
            <w:pPr>
              <w:spacing w:after="0" w:line="259" w:lineRule="auto"/>
              <w:ind w:left="437" w:firstLine="0"/>
            </w:pPr>
            <w:r>
              <w:rPr>
                <w:rFonts w:ascii="Arial" w:eastAsia="Arial" w:hAnsi="Arial" w:cs="Arial"/>
                <w:sz w:val="20"/>
              </w:rPr>
              <w:t xml:space="preserve">Yes </w:t>
            </w:r>
          </w:p>
        </w:tc>
        <w:tc>
          <w:tcPr>
            <w:tcW w:w="2021" w:type="dxa"/>
            <w:tcBorders>
              <w:top w:val="nil"/>
              <w:left w:val="nil"/>
              <w:bottom w:val="single" w:sz="12" w:space="0" w:color="000000"/>
              <w:right w:val="nil"/>
            </w:tcBorders>
          </w:tcPr>
          <w:p w14:paraId="57FE7CE9" w14:textId="77777777" w:rsidR="000B3C5C" w:rsidRDefault="00ED192D">
            <w:pPr>
              <w:spacing w:after="0" w:line="259" w:lineRule="auto"/>
              <w:ind w:left="696" w:firstLine="0"/>
            </w:pPr>
            <w:r>
              <w:rPr>
                <w:rFonts w:ascii="Arial" w:eastAsia="Arial" w:hAnsi="Arial" w:cs="Arial"/>
                <w:sz w:val="20"/>
              </w:rPr>
              <w:t xml:space="preserve">PD </w:t>
            </w:r>
          </w:p>
        </w:tc>
      </w:tr>
    </w:tbl>
    <w:p w14:paraId="0EDBB77F" w14:textId="77777777" w:rsidR="000B3C5C" w:rsidRDefault="00ED192D">
      <w:pPr>
        <w:spacing w:after="12"/>
        <w:ind w:left="111" w:right="2"/>
      </w:pPr>
      <w:r>
        <w:rPr>
          <w:rFonts w:ascii="Arial" w:eastAsia="Arial" w:hAnsi="Arial" w:cs="Arial"/>
          <w:sz w:val="18"/>
        </w:rPr>
        <w:t xml:space="preserve">Abbreviations: CR=complete response; PD=progressive disease; PR=partial response; SD=stable disease.  </w:t>
      </w:r>
    </w:p>
    <w:p w14:paraId="1E1B4EE4" w14:textId="77777777" w:rsidR="000B3C5C" w:rsidRDefault="00ED192D">
      <w:pPr>
        <w:spacing w:after="310"/>
        <w:ind w:left="-3" w:right="14"/>
      </w:pPr>
      <w:r>
        <w:t xml:space="preserve">When patients have non-measurable (therefore non-target) disease only, </w:t>
      </w:r>
      <w:r>
        <w:rPr>
          <w:color w:val="0000FF"/>
        </w:rPr>
        <w:t>Table 14</w:t>
      </w:r>
      <w:r>
        <w:t xml:space="preserve"> is to be used. </w:t>
      </w:r>
    </w:p>
    <w:p w14:paraId="18AE4CCF" w14:textId="77777777" w:rsidR="000B3C5C" w:rsidRDefault="00ED192D">
      <w:pPr>
        <w:spacing w:after="4" w:line="250" w:lineRule="auto"/>
        <w:ind w:left="15"/>
        <w:jc w:val="center"/>
      </w:pPr>
      <w:r>
        <w:rPr>
          <w:rFonts w:ascii="Arial" w:eastAsia="Arial" w:hAnsi="Arial" w:cs="Arial"/>
          <w:b/>
          <w:sz w:val="20"/>
        </w:rPr>
        <w:t xml:space="preserve">Table 14 - </w:t>
      </w:r>
      <w:r>
        <w:rPr>
          <w:rFonts w:ascii="Arial" w:eastAsia="Arial" w:hAnsi="Arial" w:cs="Arial"/>
          <w:b/>
          <w:sz w:val="20"/>
        </w:rPr>
        <w:t xml:space="preserve">Response in patients with non-target disease only  </w:t>
      </w:r>
    </w:p>
    <w:tbl>
      <w:tblPr>
        <w:tblStyle w:val="TableGrid"/>
        <w:tblW w:w="9686" w:type="dxa"/>
        <w:tblInd w:w="-108" w:type="dxa"/>
        <w:tblCellMar>
          <w:top w:w="81" w:type="dxa"/>
          <w:left w:w="0" w:type="dxa"/>
          <w:bottom w:w="0" w:type="dxa"/>
          <w:right w:w="115" w:type="dxa"/>
        </w:tblCellMar>
        <w:tblLook w:val="04A0" w:firstRow="1" w:lastRow="0" w:firstColumn="1" w:lastColumn="0" w:noHBand="0" w:noVBand="1"/>
      </w:tblPr>
      <w:tblGrid>
        <w:gridCol w:w="4263"/>
        <w:gridCol w:w="2996"/>
        <w:gridCol w:w="2427"/>
      </w:tblGrid>
      <w:tr w:rsidR="000B3C5C" w14:paraId="55CB7E0A" w14:textId="77777777">
        <w:trPr>
          <w:trHeight w:val="360"/>
        </w:trPr>
        <w:tc>
          <w:tcPr>
            <w:tcW w:w="4263" w:type="dxa"/>
            <w:tcBorders>
              <w:top w:val="single" w:sz="4" w:space="0" w:color="000000"/>
              <w:left w:val="nil"/>
              <w:bottom w:val="single" w:sz="4" w:space="0" w:color="000000"/>
              <w:right w:val="nil"/>
            </w:tcBorders>
          </w:tcPr>
          <w:p w14:paraId="71C55BB7" w14:textId="77777777" w:rsidR="000B3C5C" w:rsidRDefault="00ED192D">
            <w:pPr>
              <w:spacing w:after="0" w:line="259" w:lineRule="auto"/>
              <w:ind w:left="734" w:firstLine="0"/>
            </w:pPr>
            <w:r>
              <w:rPr>
                <w:rFonts w:ascii="Arial" w:eastAsia="Arial" w:hAnsi="Arial" w:cs="Arial"/>
                <w:b/>
                <w:sz w:val="20"/>
              </w:rPr>
              <w:t xml:space="preserve">Non-target lesions </w:t>
            </w:r>
          </w:p>
        </w:tc>
        <w:tc>
          <w:tcPr>
            <w:tcW w:w="2996" w:type="dxa"/>
            <w:tcBorders>
              <w:top w:val="single" w:sz="4" w:space="0" w:color="000000"/>
              <w:left w:val="nil"/>
              <w:bottom w:val="single" w:sz="4" w:space="0" w:color="000000"/>
              <w:right w:val="nil"/>
            </w:tcBorders>
          </w:tcPr>
          <w:p w14:paraId="3B5C765D" w14:textId="77777777" w:rsidR="000B3C5C" w:rsidRDefault="00ED192D">
            <w:pPr>
              <w:spacing w:after="0" w:line="259" w:lineRule="auto"/>
              <w:ind w:left="0" w:firstLine="0"/>
            </w:pPr>
            <w:r>
              <w:rPr>
                <w:rFonts w:ascii="Arial" w:eastAsia="Arial" w:hAnsi="Arial" w:cs="Arial"/>
                <w:b/>
                <w:sz w:val="20"/>
              </w:rPr>
              <w:t xml:space="preserve">New lesions </w:t>
            </w:r>
          </w:p>
        </w:tc>
        <w:tc>
          <w:tcPr>
            <w:tcW w:w="2427" w:type="dxa"/>
            <w:tcBorders>
              <w:top w:val="single" w:sz="4" w:space="0" w:color="000000"/>
              <w:left w:val="nil"/>
              <w:bottom w:val="single" w:sz="4" w:space="0" w:color="000000"/>
              <w:right w:val="nil"/>
            </w:tcBorders>
          </w:tcPr>
          <w:p w14:paraId="6535A36D" w14:textId="77777777" w:rsidR="000B3C5C" w:rsidRDefault="00ED192D">
            <w:pPr>
              <w:spacing w:after="0" w:line="259" w:lineRule="auto"/>
              <w:ind w:left="0" w:firstLine="0"/>
            </w:pPr>
            <w:r>
              <w:rPr>
                <w:rFonts w:ascii="Arial" w:eastAsia="Arial" w:hAnsi="Arial" w:cs="Arial"/>
                <w:b/>
                <w:sz w:val="20"/>
              </w:rPr>
              <w:t xml:space="preserve">Overall response </w:t>
            </w:r>
          </w:p>
        </w:tc>
      </w:tr>
      <w:tr w:rsidR="000B3C5C" w14:paraId="2F83015F" w14:textId="77777777">
        <w:trPr>
          <w:trHeight w:val="376"/>
        </w:trPr>
        <w:tc>
          <w:tcPr>
            <w:tcW w:w="4263" w:type="dxa"/>
            <w:tcBorders>
              <w:top w:val="single" w:sz="4" w:space="0" w:color="000000"/>
              <w:left w:val="nil"/>
              <w:bottom w:val="nil"/>
              <w:right w:val="nil"/>
            </w:tcBorders>
          </w:tcPr>
          <w:p w14:paraId="7AAF1F9E" w14:textId="77777777" w:rsidR="000B3C5C" w:rsidRDefault="00ED192D">
            <w:pPr>
              <w:spacing w:after="0" w:line="259" w:lineRule="auto"/>
              <w:ind w:left="1495" w:firstLine="0"/>
            </w:pPr>
            <w:r>
              <w:rPr>
                <w:rFonts w:ascii="Arial" w:eastAsia="Arial" w:hAnsi="Arial" w:cs="Arial"/>
                <w:sz w:val="20"/>
              </w:rPr>
              <w:t xml:space="preserve">CR </w:t>
            </w:r>
          </w:p>
        </w:tc>
        <w:tc>
          <w:tcPr>
            <w:tcW w:w="2996" w:type="dxa"/>
            <w:tcBorders>
              <w:top w:val="single" w:sz="4" w:space="0" w:color="000000"/>
              <w:left w:val="nil"/>
              <w:bottom w:val="nil"/>
              <w:right w:val="nil"/>
            </w:tcBorders>
          </w:tcPr>
          <w:p w14:paraId="2B5CF65F" w14:textId="77777777" w:rsidR="000B3C5C" w:rsidRDefault="00ED192D">
            <w:pPr>
              <w:spacing w:after="0" w:line="259" w:lineRule="auto"/>
              <w:ind w:left="475" w:firstLine="0"/>
            </w:pPr>
            <w:r>
              <w:rPr>
                <w:rFonts w:ascii="Arial" w:eastAsia="Arial" w:hAnsi="Arial" w:cs="Arial"/>
                <w:sz w:val="20"/>
              </w:rPr>
              <w:t xml:space="preserve">No </w:t>
            </w:r>
          </w:p>
        </w:tc>
        <w:tc>
          <w:tcPr>
            <w:tcW w:w="2427" w:type="dxa"/>
            <w:tcBorders>
              <w:top w:val="single" w:sz="4" w:space="0" w:color="000000"/>
              <w:left w:val="nil"/>
              <w:bottom w:val="nil"/>
              <w:right w:val="nil"/>
            </w:tcBorders>
          </w:tcPr>
          <w:p w14:paraId="28646BA9" w14:textId="77777777" w:rsidR="000B3C5C" w:rsidRDefault="00ED192D">
            <w:pPr>
              <w:spacing w:after="0" w:line="259" w:lineRule="auto"/>
              <w:ind w:left="694" w:firstLine="0"/>
            </w:pPr>
            <w:r>
              <w:rPr>
                <w:rFonts w:ascii="Arial" w:eastAsia="Arial" w:hAnsi="Arial" w:cs="Arial"/>
                <w:sz w:val="20"/>
              </w:rPr>
              <w:t xml:space="preserve">CR </w:t>
            </w:r>
          </w:p>
        </w:tc>
      </w:tr>
      <w:tr w:rsidR="000B3C5C" w14:paraId="28A3732E" w14:textId="77777777">
        <w:trPr>
          <w:trHeight w:val="349"/>
        </w:trPr>
        <w:tc>
          <w:tcPr>
            <w:tcW w:w="4263" w:type="dxa"/>
            <w:tcBorders>
              <w:top w:val="nil"/>
              <w:left w:val="nil"/>
              <w:bottom w:val="nil"/>
              <w:right w:val="nil"/>
            </w:tcBorders>
          </w:tcPr>
          <w:p w14:paraId="4FD85E38" w14:textId="77777777" w:rsidR="000B3C5C" w:rsidRDefault="00ED192D">
            <w:pPr>
              <w:spacing w:after="0" w:line="259" w:lineRule="auto"/>
              <w:ind w:left="1018" w:firstLine="0"/>
            </w:pPr>
            <w:r>
              <w:rPr>
                <w:rFonts w:ascii="Arial" w:eastAsia="Arial" w:hAnsi="Arial" w:cs="Arial"/>
                <w:sz w:val="20"/>
              </w:rPr>
              <w:t xml:space="preserve">Non-CR/non-PD </w:t>
            </w:r>
          </w:p>
        </w:tc>
        <w:tc>
          <w:tcPr>
            <w:tcW w:w="2996" w:type="dxa"/>
            <w:tcBorders>
              <w:top w:val="nil"/>
              <w:left w:val="nil"/>
              <w:bottom w:val="nil"/>
              <w:right w:val="nil"/>
            </w:tcBorders>
          </w:tcPr>
          <w:p w14:paraId="3AA379D6" w14:textId="77777777" w:rsidR="000B3C5C" w:rsidRDefault="00ED192D">
            <w:pPr>
              <w:spacing w:after="0" w:line="259" w:lineRule="auto"/>
              <w:ind w:left="475" w:firstLine="0"/>
            </w:pPr>
            <w:r>
              <w:rPr>
                <w:rFonts w:ascii="Arial" w:eastAsia="Arial" w:hAnsi="Arial" w:cs="Arial"/>
                <w:sz w:val="20"/>
              </w:rPr>
              <w:t xml:space="preserve">No </w:t>
            </w:r>
          </w:p>
        </w:tc>
        <w:tc>
          <w:tcPr>
            <w:tcW w:w="2427" w:type="dxa"/>
            <w:tcBorders>
              <w:top w:val="nil"/>
              <w:left w:val="nil"/>
              <w:bottom w:val="nil"/>
              <w:right w:val="nil"/>
            </w:tcBorders>
          </w:tcPr>
          <w:p w14:paraId="2C85EB5F" w14:textId="77777777" w:rsidR="000B3C5C" w:rsidRDefault="00ED192D">
            <w:pPr>
              <w:spacing w:after="0" w:line="259" w:lineRule="auto"/>
              <w:ind w:left="216" w:firstLine="0"/>
            </w:pPr>
            <w:r>
              <w:rPr>
                <w:rFonts w:ascii="Arial" w:eastAsia="Arial" w:hAnsi="Arial" w:cs="Arial"/>
                <w:sz w:val="20"/>
              </w:rPr>
              <w:t xml:space="preserve">Non-CR/non-PD </w:t>
            </w:r>
          </w:p>
        </w:tc>
      </w:tr>
      <w:tr w:rsidR="000B3C5C" w14:paraId="1A05ED7A" w14:textId="77777777">
        <w:trPr>
          <w:trHeight w:val="349"/>
        </w:trPr>
        <w:tc>
          <w:tcPr>
            <w:tcW w:w="4263" w:type="dxa"/>
            <w:tcBorders>
              <w:top w:val="nil"/>
              <w:left w:val="nil"/>
              <w:bottom w:val="nil"/>
              <w:right w:val="nil"/>
            </w:tcBorders>
          </w:tcPr>
          <w:p w14:paraId="2186731F" w14:textId="77777777" w:rsidR="000B3C5C" w:rsidRDefault="00ED192D">
            <w:pPr>
              <w:spacing w:after="0" w:line="259" w:lineRule="auto"/>
              <w:ind w:left="1003" w:firstLine="0"/>
            </w:pPr>
            <w:r>
              <w:rPr>
                <w:rFonts w:ascii="Arial" w:eastAsia="Arial" w:hAnsi="Arial" w:cs="Arial"/>
                <w:sz w:val="20"/>
              </w:rPr>
              <w:t xml:space="preserve">Not all evaluated </w:t>
            </w:r>
          </w:p>
        </w:tc>
        <w:tc>
          <w:tcPr>
            <w:tcW w:w="2996" w:type="dxa"/>
            <w:tcBorders>
              <w:top w:val="nil"/>
              <w:left w:val="nil"/>
              <w:bottom w:val="nil"/>
              <w:right w:val="nil"/>
            </w:tcBorders>
          </w:tcPr>
          <w:p w14:paraId="3DFB23B6" w14:textId="77777777" w:rsidR="000B3C5C" w:rsidRDefault="00ED192D">
            <w:pPr>
              <w:spacing w:after="0" w:line="259" w:lineRule="auto"/>
              <w:ind w:left="475" w:firstLine="0"/>
            </w:pPr>
            <w:r>
              <w:rPr>
                <w:rFonts w:ascii="Arial" w:eastAsia="Arial" w:hAnsi="Arial" w:cs="Arial"/>
                <w:sz w:val="20"/>
              </w:rPr>
              <w:t xml:space="preserve">No </w:t>
            </w:r>
          </w:p>
        </w:tc>
        <w:tc>
          <w:tcPr>
            <w:tcW w:w="2427" w:type="dxa"/>
            <w:tcBorders>
              <w:top w:val="nil"/>
              <w:left w:val="nil"/>
              <w:bottom w:val="nil"/>
              <w:right w:val="nil"/>
            </w:tcBorders>
          </w:tcPr>
          <w:p w14:paraId="6695C07A" w14:textId="77777777" w:rsidR="000B3C5C" w:rsidRDefault="00ED192D">
            <w:pPr>
              <w:spacing w:after="0" w:line="259" w:lineRule="auto"/>
              <w:ind w:left="394" w:firstLine="0"/>
            </w:pPr>
            <w:r>
              <w:rPr>
                <w:rFonts w:ascii="Arial" w:eastAsia="Arial" w:hAnsi="Arial" w:cs="Arial"/>
                <w:sz w:val="20"/>
              </w:rPr>
              <w:t xml:space="preserve">Inevaluable  </w:t>
            </w:r>
          </w:p>
        </w:tc>
      </w:tr>
      <w:tr w:rsidR="000B3C5C" w14:paraId="579F79E3" w14:textId="77777777">
        <w:trPr>
          <w:trHeight w:val="349"/>
        </w:trPr>
        <w:tc>
          <w:tcPr>
            <w:tcW w:w="4263" w:type="dxa"/>
            <w:tcBorders>
              <w:top w:val="nil"/>
              <w:left w:val="nil"/>
              <w:bottom w:val="nil"/>
              <w:right w:val="nil"/>
            </w:tcBorders>
          </w:tcPr>
          <w:p w14:paraId="70741D09" w14:textId="77777777" w:rsidR="000B3C5C" w:rsidRDefault="00ED192D">
            <w:pPr>
              <w:spacing w:after="0" w:line="259" w:lineRule="auto"/>
              <w:ind w:left="1025" w:firstLine="0"/>
            </w:pPr>
            <w:r>
              <w:rPr>
                <w:rFonts w:ascii="Arial" w:eastAsia="Arial" w:hAnsi="Arial" w:cs="Arial"/>
                <w:sz w:val="20"/>
              </w:rPr>
              <w:t xml:space="preserve">Unequivocal PD </w:t>
            </w:r>
          </w:p>
        </w:tc>
        <w:tc>
          <w:tcPr>
            <w:tcW w:w="2996" w:type="dxa"/>
            <w:tcBorders>
              <w:top w:val="nil"/>
              <w:left w:val="nil"/>
              <w:bottom w:val="nil"/>
              <w:right w:val="nil"/>
            </w:tcBorders>
          </w:tcPr>
          <w:p w14:paraId="318AD98E" w14:textId="77777777" w:rsidR="000B3C5C" w:rsidRDefault="00ED192D">
            <w:pPr>
              <w:spacing w:after="0" w:line="259" w:lineRule="auto"/>
              <w:ind w:left="214" w:firstLine="0"/>
            </w:pPr>
            <w:r>
              <w:rPr>
                <w:rFonts w:ascii="Arial" w:eastAsia="Arial" w:hAnsi="Arial" w:cs="Arial"/>
                <w:sz w:val="20"/>
              </w:rPr>
              <w:t xml:space="preserve">Yes or No </w:t>
            </w:r>
          </w:p>
        </w:tc>
        <w:tc>
          <w:tcPr>
            <w:tcW w:w="2427" w:type="dxa"/>
            <w:tcBorders>
              <w:top w:val="nil"/>
              <w:left w:val="nil"/>
              <w:bottom w:val="nil"/>
              <w:right w:val="nil"/>
            </w:tcBorders>
          </w:tcPr>
          <w:p w14:paraId="36C8FD05" w14:textId="77777777" w:rsidR="000B3C5C" w:rsidRDefault="00ED192D">
            <w:pPr>
              <w:spacing w:after="0" w:line="259" w:lineRule="auto"/>
              <w:ind w:left="698" w:firstLine="0"/>
            </w:pPr>
            <w:r>
              <w:rPr>
                <w:rFonts w:ascii="Arial" w:eastAsia="Arial" w:hAnsi="Arial" w:cs="Arial"/>
                <w:sz w:val="20"/>
              </w:rPr>
              <w:t xml:space="preserve">PD </w:t>
            </w:r>
          </w:p>
        </w:tc>
      </w:tr>
      <w:tr w:rsidR="000B3C5C" w14:paraId="389D23AF" w14:textId="77777777">
        <w:trPr>
          <w:trHeight w:val="343"/>
        </w:trPr>
        <w:tc>
          <w:tcPr>
            <w:tcW w:w="4263" w:type="dxa"/>
            <w:tcBorders>
              <w:top w:val="nil"/>
              <w:left w:val="nil"/>
              <w:bottom w:val="single" w:sz="12" w:space="0" w:color="000000"/>
              <w:right w:val="nil"/>
            </w:tcBorders>
          </w:tcPr>
          <w:p w14:paraId="1C13E7D6" w14:textId="77777777" w:rsidR="000B3C5C" w:rsidRDefault="00ED192D">
            <w:pPr>
              <w:spacing w:after="0" w:line="259" w:lineRule="auto"/>
              <w:ind w:left="1471" w:firstLine="0"/>
            </w:pPr>
            <w:r>
              <w:rPr>
                <w:rFonts w:ascii="Arial" w:eastAsia="Arial" w:hAnsi="Arial" w:cs="Arial"/>
                <w:sz w:val="20"/>
              </w:rPr>
              <w:t xml:space="preserve">Any </w:t>
            </w:r>
          </w:p>
        </w:tc>
        <w:tc>
          <w:tcPr>
            <w:tcW w:w="2996" w:type="dxa"/>
            <w:tcBorders>
              <w:top w:val="nil"/>
              <w:left w:val="nil"/>
              <w:bottom w:val="single" w:sz="12" w:space="0" w:color="000000"/>
              <w:right w:val="nil"/>
            </w:tcBorders>
          </w:tcPr>
          <w:p w14:paraId="42B1C593" w14:textId="77777777" w:rsidR="000B3C5C" w:rsidRDefault="00ED192D">
            <w:pPr>
              <w:spacing w:after="0" w:line="259" w:lineRule="auto"/>
              <w:ind w:left="437" w:firstLine="0"/>
            </w:pPr>
            <w:r>
              <w:rPr>
                <w:rFonts w:ascii="Arial" w:eastAsia="Arial" w:hAnsi="Arial" w:cs="Arial"/>
                <w:sz w:val="20"/>
              </w:rPr>
              <w:t xml:space="preserve">Yes </w:t>
            </w:r>
          </w:p>
        </w:tc>
        <w:tc>
          <w:tcPr>
            <w:tcW w:w="2427" w:type="dxa"/>
            <w:tcBorders>
              <w:top w:val="nil"/>
              <w:left w:val="nil"/>
              <w:bottom w:val="single" w:sz="12" w:space="0" w:color="000000"/>
              <w:right w:val="nil"/>
            </w:tcBorders>
          </w:tcPr>
          <w:p w14:paraId="38F56129" w14:textId="77777777" w:rsidR="000B3C5C" w:rsidRDefault="00ED192D">
            <w:pPr>
              <w:spacing w:after="0" w:line="259" w:lineRule="auto"/>
              <w:ind w:left="698" w:firstLine="0"/>
            </w:pPr>
            <w:r>
              <w:rPr>
                <w:rFonts w:ascii="Arial" w:eastAsia="Arial" w:hAnsi="Arial" w:cs="Arial"/>
                <w:sz w:val="20"/>
              </w:rPr>
              <w:t xml:space="preserve">PD </w:t>
            </w:r>
          </w:p>
        </w:tc>
      </w:tr>
    </w:tbl>
    <w:p w14:paraId="7F6EB67B" w14:textId="77777777" w:rsidR="000B3C5C" w:rsidRDefault="00ED192D">
      <w:pPr>
        <w:spacing w:after="304"/>
        <w:ind w:left="-5" w:right="2"/>
      </w:pPr>
      <w:r>
        <w:rPr>
          <w:rFonts w:ascii="Arial" w:eastAsia="Arial" w:hAnsi="Arial" w:cs="Arial"/>
          <w:sz w:val="18"/>
        </w:rPr>
        <w:t xml:space="preserve">Abbreviations: CR=complete response; PD=progressive disease; PR=partial response; SD=stable disease. </w:t>
      </w:r>
    </w:p>
    <w:p w14:paraId="555B7894" w14:textId="77777777" w:rsidR="000B3C5C" w:rsidRDefault="00ED192D">
      <w:pPr>
        <w:spacing w:after="170"/>
        <w:ind w:left="-3" w:right="14"/>
      </w:pPr>
      <w:r>
        <w:t xml:space="preserve">Missing assessments and inevaluable designation: When no imaging/measurement is done at all at a particular time point, the patient is not evaluable (NE) at that time point. </w:t>
      </w:r>
    </w:p>
    <w:p w14:paraId="312DB52F" w14:textId="77777777" w:rsidR="000B3C5C" w:rsidRDefault="00ED192D">
      <w:pPr>
        <w:spacing w:after="170"/>
        <w:ind w:left="-3" w:right="14"/>
      </w:pPr>
      <w:r>
        <w:t xml:space="preserve">If only a subset of lesion measurements are made at an assessment, usually the case is also considered NE at that time point, unless a convincing argument can be made that the contribution of the individual missing lesion(s) would not change the assigned time point response. This would be most likely to happen in the case of PD. When no imaging/measurement is done at all at a particular time point, the patient is NE at that time point. </w:t>
      </w:r>
    </w:p>
    <w:p w14:paraId="418CA9BC" w14:textId="77777777" w:rsidR="000B3C5C" w:rsidRDefault="00ED192D">
      <w:pPr>
        <w:spacing w:after="170"/>
        <w:ind w:left="-3" w:right="14"/>
      </w:pPr>
      <w:r>
        <w:t xml:space="preserve">If only a subset of lesion measurements are made at an assessment, usually the case is also considered NE at that time point, unless a convincing argument can be made that the contribution of the individual missing lesion(s) would not change the assigned time point response. This would be most likely to happen in the case of PD. </w:t>
      </w:r>
    </w:p>
    <w:p w14:paraId="4C586D15" w14:textId="77777777" w:rsidR="000B3C5C" w:rsidRDefault="00ED192D">
      <w:pPr>
        <w:pStyle w:val="Heading2"/>
        <w:spacing w:after="166"/>
        <w:ind w:left="-5" w:right="51"/>
      </w:pPr>
      <w:r>
        <w:t xml:space="preserve">Special notes on response assessment </w:t>
      </w:r>
    </w:p>
    <w:p w14:paraId="775DAC05" w14:textId="77777777" w:rsidR="000B3C5C" w:rsidRDefault="00ED192D">
      <w:pPr>
        <w:spacing w:after="170"/>
        <w:ind w:left="-3" w:right="14"/>
      </w:pPr>
      <w:r>
        <w:t xml:space="preserve">When nodal disease is included in the sum of target lesions and the nodes decrease to ‘normal’ size (&lt;10 mm), they may still have a measurement reported on scans. This measurement should be recorded even though the nodes are normal in order not to overstate progression should it be based on increase in size of the nodes. As noted earlier, this means that patients with CR may not have a total sum of ‘zero’ on the eCRF. </w:t>
      </w:r>
    </w:p>
    <w:p w14:paraId="5F9D4383" w14:textId="77777777" w:rsidR="000B3C5C" w:rsidRDefault="00ED192D">
      <w:pPr>
        <w:spacing w:after="170"/>
        <w:ind w:left="-3" w:right="14"/>
      </w:pPr>
      <w:r>
        <w:t xml:space="preserve">In trials where confirmation of response is required, repeated ‘NE’ time point assessments may complicate best response determination. The analysis plan for the trial must address how missing data/assessments will be addressed in determination of response and progression. For example, in most trials it is reasonable to consider a patient with time point responses of PR, -NE, and -PR as a confirmed response. </w:t>
      </w:r>
    </w:p>
    <w:p w14:paraId="2F33D0A2" w14:textId="77777777" w:rsidR="000B3C5C" w:rsidRDefault="00ED192D">
      <w:pPr>
        <w:ind w:left="-3" w:right="14"/>
      </w:pPr>
      <w:r>
        <w:t xml:space="preserve">Patients with a global deterioration of health status requiring discontinuation of treatment without objective evidence of disease progression at that time should be reported as ‘symptomatic deterioration’. Every effort should be made to document objective progression even after discontinuation of treatment. Symptomatic deterioration is not a descriptor of an objective response: it is a reason for stopping study therapy. </w:t>
      </w:r>
    </w:p>
    <w:p w14:paraId="71D79ABC" w14:textId="77777777" w:rsidR="000B3C5C" w:rsidRDefault="00ED192D">
      <w:pPr>
        <w:spacing w:after="170"/>
        <w:ind w:left="-3" w:right="14"/>
      </w:pPr>
      <w:r>
        <w:t xml:space="preserve">The objective response status of such patients is to be determined by evaluation of target and non target disease. For equivocal findings of progression (eg, very small and uncertain new lesions; cystic changes or necrosis in existing lesions), treatment may continue until the next scheduled assessment. If at the next scheduled assessment, progression is confirmed, the date of progression should be the earlier date when progression was suspected. </w:t>
      </w:r>
    </w:p>
    <w:p w14:paraId="77580DDD" w14:textId="77777777" w:rsidR="000B3C5C" w:rsidRDefault="00ED192D">
      <w:pPr>
        <w:pStyle w:val="Heading2"/>
        <w:spacing w:after="166"/>
        <w:ind w:left="-5" w:right="51"/>
      </w:pPr>
      <w:r>
        <w:t xml:space="preserve">Duration of response </w:t>
      </w:r>
    </w:p>
    <w:p w14:paraId="0818C2F6" w14:textId="77777777" w:rsidR="000B3C5C" w:rsidRDefault="00ED192D">
      <w:pPr>
        <w:spacing w:after="170"/>
        <w:ind w:left="-3" w:right="14"/>
      </w:pPr>
      <w:r>
        <w:t xml:space="preserve">The duration of overall response is measured from the time measurement criteria are first met for CR/PR (whichever is first recorded) until the first date that recurrent or PD is objectively documented (taking as reference for PD the smallest measurements recorded on study). </w:t>
      </w:r>
    </w:p>
    <w:p w14:paraId="38FC0B98" w14:textId="77777777" w:rsidR="000B3C5C" w:rsidRDefault="00ED192D">
      <w:pPr>
        <w:spacing w:after="170"/>
        <w:ind w:left="-3" w:right="14"/>
      </w:pPr>
      <w:r>
        <w:t xml:space="preserve">The duration of overall CR is measured from the time measurement criteria are first met for CR until the first date that recurrent disease is objectively documented. </w:t>
      </w:r>
    </w:p>
    <w:p w14:paraId="385590D9" w14:textId="77777777" w:rsidR="000B3C5C" w:rsidRDefault="00ED192D">
      <w:pPr>
        <w:spacing w:after="170"/>
        <w:ind w:left="-3" w:right="14"/>
      </w:pPr>
      <w:r>
        <w:t xml:space="preserve">Stable disease is measured from the start of the treatment until the criteria for progression are met, taking as reference the smallest sum on study (if the baseline sum is the smallest, this is the reference for calculation of PD). </w:t>
      </w:r>
    </w:p>
    <w:p w14:paraId="45A2AB60" w14:textId="77777777" w:rsidR="000B3C5C" w:rsidRDefault="00ED192D">
      <w:pPr>
        <w:spacing w:after="0"/>
        <w:ind w:left="-3" w:right="14"/>
      </w:pPr>
      <w:r>
        <w:t xml:space="preserve">Reproduced from: Eisenhauer EA, Therasse P, Bogaerts J et al. New response evaluation criteria in solid tumours: Revised RECIST guideline (version 1.1). Eur J Cancer. 2009;45:228 47. </w:t>
      </w:r>
      <w:r>
        <w:br w:type="page"/>
      </w:r>
    </w:p>
    <w:p w14:paraId="0C9553DA" w14:textId="77777777" w:rsidR="000B3C5C" w:rsidRDefault="00ED192D">
      <w:pPr>
        <w:spacing w:after="0" w:line="249" w:lineRule="auto"/>
        <w:ind w:left="664" w:hanging="679"/>
      </w:pPr>
      <w:r>
        <w:rPr>
          <w:rFonts w:ascii="Arial" w:eastAsia="Arial" w:hAnsi="Arial" w:cs="Arial"/>
          <w:b/>
          <w:sz w:val="22"/>
        </w:rPr>
        <w:t xml:space="preserve">10.12 APPENDIX 12: BARCELONA CLINIC LIVER CANCER (BCLC) STAGING </w:t>
      </w:r>
    </w:p>
    <w:p w14:paraId="57BE7ABB" w14:textId="77777777" w:rsidR="000B3C5C" w:rsidRDefault="00ED192D">
      <w:pPr>
        <w:pStyle w:val="Heading3"/>
        <w:spacing w:after="0"/>
        <w:ind w:left="664" w:hanging="679"/>
      </w:pPr>
      <w:r>
        <w:t xml:space="preserve">CLASSIFICATION  </w:t>
      </w:r>
    </w:p>
    <w:p w14:paraId="41773C0A" w14:textId="77777777" w:rsidR="000B3C5C" w:rsidRDefault="00ED192D">
      <w:pPr>
        <w:spacing w:after="102" w:line="259" w:lineRule="auto"/>
        <w:ind w:left="-108" w:right="-112" w:firstLine="0"/>
      </w:pPr>
      <w:r>
        <w:rPr>
          <w:rFonts w:ascii="Calibri" w:eastAsia="Calibri" w:hAnsi="Calibri" w:cs="Calibri"/>
          <w:noProof/>
          <w:sz w:val="22"/>
        </w:rPr>
        <mc:AlternateContent>
          <mc:Choice Requires="wpg">
            <w:drawing>
              <wp:inline distT="0" distB="0" distL="0" distR="0" wp14:anchorId="16E717EE" wp14:editId="3A8DCE38">
                <wp:extent cx="6150559" cy="234696"/>
                <wp:effectExtent l="0" t="0" r="0" b="0"/>
                <wp:docPr id="291392" name="Group 291392"/>
                <wp:cNvGraphicFramePr/>
                <a:graphic xmlns:a="http://schemas.openxmlformats.org/drawingml/2006/main">
                  <a:graphicData uri="http://schemas.microsoft.com/office/word/2010/wordprocessingGroup">
                    <wpg:wgp>
                      <wpg:cNvGrpSpPr/>
                      <wpg:grpSpPr>
                        <a:xfrm>
                          <a:off x="0" y="0"/>
                          <a:ext cx="6150559" cy="234696"/>
                          <a:chOff x="0" y="0"/>
                          <a:chExt cx="6150559" cy="234696"/>
                        </a:xfrm>
                      </wpg:grpSpPr>
                      <wps:wsp>
                        <wps:cNvPr id="28758" name="Rectangle 28758"/>
                        <wps:cNvSpPr/>
                        <wps:spPr>
                          <a:xfrm>
                            <a:off x="2938856" y="70979"/>
                            <a:ext cx="1069634" cy="158130"/>
                          </a:xfrm>
                          <a:prstGeom prst="rect">
                            <a:avLst/>
                          </a:prstGeom>
                          <a:ln>
                            <a:noFill/>
                          </a:ln>
                        </wps:spPr>
                        <wps:txbx>
                          <w:txbxContent>
                            <w:p w14:paraId="01F13234" w14:textId="77777777" w:rsidR="000B3C5C" w:rsidRDefault="00ED192D">
                              <w:pPr>
                                <w:spacing w:after="160" w:line="259" w:lineRule="auto"/>
                                <w:ind w:left="0" w:firstLine="0"/>
                              </w:pPr>
                              <w:r>
                                <w:rPr>
                                  <w:rFonts w:ascii="Arial" w:eastAsia="Arial" w:hAnsi="Arial" w:cs="Arial"/>
                                  <w:b/>
                                  <w:sz w:val="20"/>
                                </w:rPr>
                                <w:t>Tumor status</w:t>
                              </w:r>
                            </w:p>
                          </w:txbxContent>
                        </wps:txbx>
                        <wps:bodyPr horzOverflow="overflow" vert="horz" lIns="0" tIns="0" rIns="0" bIns="0" rtlCol="0">
                          <a:noAutofit/>
                        </wps:bodyPr>
                      </wps:wsp>
                      <wps:wsp>
                        <wps:cNvPr id="28759" name="Rectangle 28759"/>
                        <wps:cNvSpPr/>
                        <wps:spPr>
                          <a:xfrm>
                            <a:off x="3743528" y="70979"/>
                            <a:ext cx="46769" cy="158130"/>
                          </a:xfrm>
                          <a:prstGeom prst="rect">
                            <a:avLst/>
                          </a:prstGeom>
                          <a:ln>
                            <a:noFill/>
                          </a:ln>
                        </wps:spPr>
                        <wps:txbx>
                          <w:txbxContent>
                            <w:p w14:paraId="61A4FA2B"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315862" name="Shape 315862"/>
                        <wps:cNvSpPr/>
                        <wps:spPr>
                          <a:xfrm>
                            <a:off x="0" y="0"/>
                            <a:ext cx="1806194" cy="9144"/>
                          </a:xfrm>
                          <a:custGeom>
                            <a:avLst/>
                            <a:gdLst/>
                            <a:ahLst/>
                            <a:cxnLst/>
                            <a:rect l="0" t="0" r="0" b="0"/>
                            <a:pathLst>
                              <a:path w="1806194" h="9144">
                                <a:moveTo>
                                  <a:pt x="0" y="0"/>
                                </a:moveTo>
                                <a:lnTo>
                                  <a:pt x="1806194" y="0"/>
                                </a:lnTo>
                                <a:lnTo>
                                  <a:pt x="18061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63" name="Shape 315863"/>
                        <wps:cNvSpPr/>
                        <wps:spPr>
                          <a:xfrm>
                            <a:off x="1806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64" name="Shape 315864"/>
                        <wps:cNvSpPr/>
                        <wps:spPr>
                          <a:xfrm>
                            <a:off x="1812366" y="0"/>
                            <a:ext cx="457200" cy="9144"/>
                          </a:xfrm>
                          <a:custGeom>
                            <a:avLst/>
                            <a:gdLst/>
                            <a:ahLst/>
                            <a:cxnLst/>
                            <a:rect l="0" t="0" r="0" b="0"/>
                            <a:pathLst>
                              <a:path w="457200" h="9144">
                                <a:moveTo>
                                  <a:pt x="0" y="0"/>
                                </a:moveTo>
                                <a:lnTo>
                                  <a:pt x="457200" y="0"/>
                                </a:lnTo>
                                <a:lnTo>
                                  <a:pt x="457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65" name="Shape 315865"/>
                        <wps:cNvSpPr/>
                        <wps:spPr>
                          <a:xfrm>
                            <a:off x="22695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66" name="Shape 315866"/>
                        <wps:cNvSpPr/>
                        <wps:spPr>
                          <a:xfrm>
                            <a:off x="2275662" y="0"/>
                            <a:ext cx="2137283" cy="9144"/>
                          </a:xfrm>
                          <a:custGeom>
                            <a:avLst/>
                            <a:gdLst/>
                            <a:ahLst/>
                            <a:cxnLst/>
                            <a:rect l="0" t="0" r="0" b="0"/>
                            <a:pathLst>
                              <a:path w="2137283" h="9144">
                                <a:moveTo>
                                  <a:pt x="0" y="0"/>
                                </a:moveTo>
                                <a:lnTo>
                                  <a:pt x="2137283" y="0"/>
                                </a:lnTo>
                                <a:lnTo>
                                  <a:pt x="21372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67" name="Shape 315867"/>
                        <wps:cNvSpPr/>
                        <wps:spPr>
                          <a:xfrm>
                            <a:off x="44129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68" name="Shape 315868"/>
                        <wps:cNvSpPr/>
                        <wps:spPr>
                          <a:xfrm>
                            <a:off x="4419041" y="0"/>
                            <a:ext cx="1731518" cy="9144"/>
                          </a:xfrm>
                          <a:custGeom>
                            <a:avLst/>
                            <a:gdLst/>
                            <a:ahLst/>
                            <a:cxnLst/>
                            <a:rect l="0" t="0" r="0" b="0"/>
                            <a:pathLst>
                              <a:path w="1731518" h="9144">
                                <a:moveTo>
                                  <a:pt x="0" y="0"/>
                                </a:moveTo>
                                <a:lnTo>
                                  <a:pt x="1731518" y="0"/>
                                </a:lnTo>
                                <a:lnTo>
                                  <a:pt x="17315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69" name="Shape 315869"/>
                        <wps:cNvSpPr/>
                        <wps:spPr>
                          <a:xfrm>
                            <a:off x="2269566" y="228600"/>
                            <a:ext cx="1274318" cy="9144"/>
                          </a:xfrm>
                          <a:custGeom>
                            <a:avLst/>
                            <a:gdLst/>
                            <a:ahLst/>
                            <a:cxnLst/>
                            <a:rect l="0" t="0" r="0" b="0"/>
                            <a:pathLst>
                              <a:path w="1274318" h="9144">
                                <a:moveTo>
                                  <a:pt x="0" y="0"/>
                                </a:moveTo>
                                <a:lnTo>
                                  <a:pt x="1274318" y="0"/>
                                </a:lnTo>
                                <a:lnTo>
                                  <a:pt x="12743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70" name="Shape 315870"/>
                        <wps:cNvSpPr/>
                        <wps:spPr>
                          <a:xfrm>
                            <a:off x="3543884" y="2286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71" name="Shape 315871"/>
                        <wps:cNvSpPr/>
                        <wps:spPr>
                          <a:xfrm>
                            <a:off x="3549980" y="228600"/>
                            <a:ext cx="862889" cy="9144"/>
                          </a:xfrm>
                          <a:custGeom>
                            <a:avLst/>
                            <a:gdLst/>
                            <a:ahLst/>
                            <a:cxnLst/>
                            <a:rect l="0" t="0" r="0" b="0"/>
                            <a:pathLst>
                              <a:path w="862889" h="9144">
                                <a:moveTo>
                                  <a:pt x="0" y="0"/>
                                </a:moveTo>
                                <a:lnTo>
                                  <a:pt x="862889" y="0"/>
                                </a:lnTo>
                                <a:lnTo>
                                  <a:pt x="862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392" style="width:484.296pt;height:18.48pt;mso-position-horizontal-relative:char;mso-position-vertical-relative:line" coordsize="61505,2346">
                <v:rect id="Rectangle 28758" style="position:absolute;width:10696;height:1581;left:29388;top:709;" filled="f" stroked="f">
                  <v:textbox inset="0,0,0,0">
                    <w:txbxContent>
                      <w:p>
                        <w:pPr>
                          <w:spacing w:before="0" w:after="160" w:line="259" w:lineRule="auto"/>
                          <w:ind w:left="0" w:firstLine="0"/>
                        </w:pPr>
                        <w:r>
                          <w:rPr>
                            <w:rFonts w:cs="Arial" w:hAnsi="Arial" w:eastAsia="Arial" w:ascii="Arial"/>
                            <w:b w:val="1"/>
                            <w:sz w:val="20"/>
                          </w:rPr>
                          <w:t xml:space="preserve">Tumor status</w:t>
                        </w:r>
                      </w:p>
                    </w:txbxContent>
                  </v:textbox>
                </v:rect>
                <v:rect id="Rectangle 28759" style="position:absolute;width:467;height:1581;left:37435;top:709;"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shape id="Shape 315872" style="position:absolute;width:18061;height:91;left:0;top:0;" coordsize="1806194,9144" path="m0,0l1806194,0l1806194,9144l0,9144l0,0">
                  <v:stroke weight="0pt" endcap="flat" joinstyle="miter" miterlimit="10" on="false" color="#000000" opacity="0"/>
                  <v:fill on="true" color="#000000"/>
                </v:shape>
                <v:shape id="Shape 315873" style="position:absolute;width:91;height:91;left:18062;top:0;" coordsize="9144,9144" path="m0,0l9144,0l9144,9144l0,9144l0,0">
                  <v:stroke weight="0pt" endcap="flat" joinstyle="miter" miterlimit="10" on="false" color="#000000" opacity="0"/>
                  <v:fill on="true" color="#000000"/>
                </v:shape>
                <v:shape id="Shape 315874" style="position:absolute;width:4572;height:91;left:18123;top:0;" coordsize="457200,9144" path="m0,0l457200,0l457200,9144l0,9144l0,0">
                  <v:stroke weight="0pt" endcap="flat" joinstyle="miter" miterlimit="10" on="false" color="#000000" opacity="0"/>
                  <v:fill on="true" color="#000000"/>
                </v:shape>
                <v:shape id="Shape 315875" style="position:absolute;width:91;height:91;left:22695;top:0;" coordsize="9144,9144" path="m0,0l9144,0l9144,9144l0,9144l0,0">
                  <v:stroke weight="0pt" endcap="flat" joinstyle="miter" miterlimit="10" on="false" color="#000000" opacity="0"/>
                  <v:fill on="true" color="#000000"/>
                </v:shape>
                <v:shape id="Shape 315876" style="position:absolute;width:21372;height:91;left:22756;top:0;" coordsize="2137283,9144" path="m0,0l2137283,0l2137283,9144l0,9144l0,0">
                  <v:stroke weight="0pt" endcap="flat" joinstyle="miter" miterlimit="10" on="false" color="#000000" opacity="0"/>
                  <v:fill on="true" color="#000000"/>
                </v:shape>
                <v:shape id="Shape 315877" style="position:absolute;width:91;height:91;left:44129;top:0;" coordsize="9144,9144" path="m0,0l9144,0l9144,9144l0,9144l0,0">
                  <v:stroke weight="0pt" endcap="flat" joinstyle="miter" miterlimit="10" on="false" color="#000000" opacity="0"/>
                  <v:fill on="true" color="#000000"/>
                </v:shape>
                <v:shape id="Shape 315878" style="position:absolute;width:17315;height:91;left:44190;top:0;" coordsize="1731518,9144" path="m0,0l1731518,0l1731518,9144l0,9144l0,0">
                  <v:stroke weight="0pt" endcap="flat" joinstyle="miter" miterlimit="10" on="false" color="#000000" opacity="0"/>
                  <v:fill on="true" color="#000000"/>
                </v:shape>
                <v:shape id="Shape 315879" style="position:absolute;width:12743;height:91;left:22695;top:2286;" coordsize="1274318,9144" path="m0,0l1274318,0l1274318,9144l0,9144l0,0">
                  <v:stroke weight="0pt" endcap="flat" joinstyle="miter" miterlimit="10" on="false" color="#000000" opacity="0"/>
                  <v:fill on="true" color="#000000"/>
                </v:shape>
                <v:shape id="Shape 315880" style="position:absolute;width:91;height:91;left:35438;top:2286;" coordsize="9144,9144" path="m0,0l9144,0l9144,9144l0,9144l0,0">
                  <v:stroke weight="0pt" endcap="flat" joinstyle="miter" miterlimit="10" on="false" color="#000000" opacity="0"/>
                  <v:fill on="true" color="#000000"/>
                </v:shape>
                <v:shape id="Shape 315881" style="position:absolute;width:8628;height:91;left:35499;top:2286;" coordsize="862889,9144" path="m0,0l862889,0l862889,9144l0,9144l0,0">
                  <v:stroke weight="0pt" endcap="flat" joinstyle="miter" miterlimit="10" on="false" color="#000000" opacity="0"/>
                  <v:fill on="true" color="#000000"/>
                </v:shape>
              </v:group>
            </w:pict>
          </mc:Fallback>
        </mc:AlternateContent>
      </w:r>
    </w:p>
    <w:tbl>
      <w:tblPr>
        <w:tblStyle w:val="TableGrid"/>
        <w:tblW w:w="9686" w:type="dxa"/>
        <w:tblInd w:w="-108" w:type="dxa"/>
        <w:tblCellMar>
          <w:top w:w="0" w:type="dxa"/>
          <w:left w:w="0" w:type="dxa"/>
          <w:bottom w:w="0" w:type="dxa"/>
          <w:right w:w="67" w:type="dxa"/>
        </w:tblCellMar>
        <w:tblLook w:val="04A0" w:firstRow="1" w:lastRow="0" w:firstColumn="1" w:lastColumn="0" w:noHBand="0" w:noVBand="1"/>
      </w:tblPr>
      <w:tblGrid>
        <w:gridCol w:w="3096"/>
        <w:gridCol w:w="444"/>
        <w:gridCol w:w="424"/>
        <w:gridCol w:w="1869"/>
        <w:gridCol w:w="1228"/>
        <w:gridCol w:w="790"/>
        <w:gridCol w:w="1835"/>
      </w:tblGrid>
      <w:tr w:rsidR="000B3C5C" w14:paraId="6AE099BD" w14:textId="77777777">
        <w:trPr>
          <w:trHeight w:val="253"/>
        </w:trPr>
        <w:tc>
          <w:tcPr>
            <w:tcW w:w="3015" w:type="dxa"/>
            <w:tcBorders>
              <w:top w:val="nil"/>
              <w:left w:val="nil"/>
              <w:bottom w:val="single" w:sz="4" w:space="0" w:color="000000"/>
              <w:right w:val="nil"/>
            </w:tcBorders>
          </w:tcPr>
          <w:p w14:paraId="164718E3" w14:textId="77777777" w:rsidR="000B3C5C" w:rsidRDefault="00ED192D">
            <w:pPr>
              <w:spacing w:after="0" w:line="259" w:lineRule="auto"/>
              <w:ind w:left="0" w:right="106" w:firstLine="0"/>
              <w:jc w:val="center"/>
            </w:pPr>
            <w:r>
              <w:rPr>
                <w:rFonts w:ascii="Arial" w:eastAsia="Arial" w:hAnsi="Arial" w:cs="Arial"/>
                <w:b/>
                <w:sz w:val="20"/>
              </w:rPr>
              <w:t>Stage (</w:t>
            </w:r>
            <w:r>
              <w:rPr>
                <w:rFonts w:ascii="Arial" w:eastAsia="Arial" w:hAnsi="Arial" w:cs="Arial"/>
                <w:b/>
                <w:color w:val="0000FF"/>
                <w:sz w:val="20"/>
              </w:rPr>
              <w:t>60</w:t>
            </w:r>
            <w:r>
              <w:rPr>
                <w:rFonts w:ascii="Arial" w:eastAsia="Arial" w:hAnsi="Arial" w:cs="Arial"/>
                <w:b/>
                <w:sz w:val="20"/>
              </w:rPr>
              <w:t xml:space="preserve">) </w:t>
            </w:r>
          </w:p>
        </w:tc>
        <w:tc>
          <w:tcPr>
            <w:tcW w:w="869" w:type="dxa"/>
            <w:gridSpan w:val="2"/>
            <w:tcBorders>
              <w:top w:val="nil"/>
              <w:left w:val="nil"/>
              <w:bottom w:val="single" w:sz="4" w:space="0" w:color="000000"/>
              <w:right w:val="nil"/>
            </w:tcBorders>
          </w:tcPr>
          <w:p w14:paraId="40927A5B" w14:textId="77777777" w:rsidR="000B3C5C" w:rsidRDefault="00ED192D">
            <w:pPr>
              <w:spacing w:after="0" w:line="259" w:lineRule="auto"/>
              <w:ind w:left="0" w:firstLine="0"/>
            </w:pPr>
            <w:r>
              <w:rPr>
                <w:rFonts w:ascii="Arial" w:eastAsia="Arial" w:hAnsi="Arial" w:cs="Arial"/>
                <w:b/>
                <w:sz w:val="20"/>
              </w:rPr>
              <w:t xml:space="preserve">PST </w:t>
            </w:r>
          </w:p>
        </w:tc>
        <w:tc>
          <w:tcPr>
            <w:tcW w:w="1903" w:type="dxa"/>
            <w:tcBorders>
              <w:top w:val="nil"/>
              <w:left w:val="nil"/>
              <w:bottom w:val="single" w:sz="4" w:space="0" w:color="000000"/>
              <w:right w:val="nil"/>
            </w:tcBorders>
          </w:tcPr>
          <w:p w14:paraId="4E6CD03F" w14:textId="77777777" w:rsidR="000B3C5C" w:rsidRDefault="00ED192D">
            <w:pPr>
              <w:spacing w:after="0" w:line="259" w:lineRule="auto"/>
              <w:ind w:left="218" w:firstLine="0"/>
            </w:pPr>
            <w:r>
              <w:rPr>
                <w:rFonts w:ascii="Arial" w:eastAsia="Arial" w:hAnsi="Arial" w:cs="Arial"/>
                <w:sz w:val="20"/>
              </w:rPr>
              <w:t xml:space="preserve">Tumor Stage </w:t>
            </w:r>
          </w:p>
        </w:tc>
        <w:tc>
          <w:tcPr>
            <w:tcW w:w="1253" w:type="dxa"/>
            <w:tcBorders>
              <w:top w:val="nil"/>
              <w:left w:val="nil"/>
              <w:bottom w:val="single" w:sz="4" w:space="0" w:color="000000"/>
              <w:right w:val="nil"/>
            </w:tcBorders>
          </w:tcPr>
          <w:p w14:paraId="3F7DDCE6" w14:textId="77777777" w:rsidR="000B3C5C" w:rsidRDefault="00ED192D">
            <w:pPr>
              <w:spacing w:after="0" w:line="259" w:lineRule="auto"/>
              <w:ind w:left="0" w:firstLine="0"/>
            </w:pPr>
            <w:r>
              <w:rPr>
                <w:rFonts w:ascii="Arial" w:eastAsia="Arial" w:hAnsi="Arial" w:cs="Arial"/>
                <w:sz w:val="20"/>
              </w:rPr>
              <w:t xml:space="preserve">Okuda Stage </w:t>
            </w:r>
          </w:p>
        </w:tc>
        <w:tc>
          <w:tcPr>
            <w:tcW w:w="2645" w:type="dxa"/>
            <w:gridSpan w:val="2"/>
            <w:tcBorders>
              <w:top w:val="nil"/>
              <w:left w:val="nil"/>
              <w:bottom w:val="single" w:sz="4" w:space="0" w:color="000000"/>
              <w:right w:val="nil"/>
            </w:tcBorders>
          </w:tcPr>
          <w:p w14:paraId="5A903F7E" w14:textId="77777777" w:rsidR="000B3C5C" w:rsidRDefault="00ED192D">
            <w:pPr>
              <w:spacing w:after="0" w:line="259" w:lineRule="auto"/>
              <w:ind w:left="0" w:right="28" w:firstLine="0"/>
              <w:jc w:val="center"/>
            </w:pPr>
            <w:r>
              <w:rPr>
                <w:rFonts w:ascii="Arial" w:eastAsia="Arial" w:hAnsi="Arial" w:cs="Arial"/>
                <w:b/>
                <w:sz w:val="20"/>
              </w:rPr>
              <w:t xml:space="preserve">Liver function studies </w:t>
            </w:r>
          </w:p>
        </w:tc>
      </w:tr>
      <w:tr w:rsidR="000B3C5C" w14:paraId="668F22E8" w14:textId="77777777">
        <w:trPr>
          <w:trHeight w:val="374"/>
        </w:trPr>
        <w:tc>
          <w:tcPr>
            <w:tcW w:w="3015" w:type="dxa"/>
            <w:tcBorders>
              <w:top w:val="single" w:sz="4" w:space="0" w:color="000000"/>
              <w:left w:val="nil"/>
              <w:bottom w:val="nil"/>
              <w:right w:val="nil"/>
            </w:tcBorders>
          </w:tcPr>
          <w:p w14:paraId="4576E71D" w14:textId="77777777" w:rsidR="000B3C5C" w:rsidRDefault="000B3C5C">
            <w:pPr>
              <w:spacing w:after="160" w:line="259" w:lineRule="auto"/>
              <w:ind w:left="0" w:firstLine="0"/>
            </w:pPr>
          </w:p>
        </w:tc>
        <w:tc>
          <w:tcPr>
            <w:tcW w:w="869" w:type="dxa"/>
            <w:gridSpan w:val="2"/>
            <w:tcBorders>
              <w:top w:val="single" w:sz="4" w:space="0" w:color="000000"/>
              <w:left w:val="nil"/>
              <w:bottom w:val="nil"/>
              <w:right w:val="nil"/>
            </w:tcBorders>
          </w:tcPr>
          <w:p w14:paraId="7D8D1C52" w14:textId="77777777" w:rsidR="000B3C5C" w:rsidRDefault="000B3C5C">
            <w:pPr>
              <w:spacing w:after="160" w:line="259" w:lineRule="auto"/>
              <w:ind w:left="0" w:firstLine="0"/>
            </w:pPr>
          </w:p>
        </w:tc>
        <w:tc>
          <w:tcPr>
            <w:tcW w:w="1903" w:type="dxa"/>
            <w:tcBorders>
              <w:top w:val="single" w:sz="4" w:space="0" w:color="000000"/>
              <w:left w:val="nil"/>
              <w:bottom w:val="nil"/>
              <w:right w:val="nil"/>
            </w:tcBorders>
          </w:tcPr>
          <w:p w14:paraId="29847F5C" w14:textId="77777777" w:rsidR="000B3C5C" w:rsidRDefault="00ED192D">
            <w:pPr>
              <w:spacing w:after="0" w:line="259" w:lineRule="auto"/>
              <w:ind w:left="77" w:firstLine="0"/>
              <w:jc w:val="center"/>
            </w:pPr>
            <w:r>
              <w:rPr>
                <w:rFonts w:ascii="Arial" w:eastAsia="Arial" w:hAnsi="Arial" w:cs="Arial"/>
                <w:sz w:val="20"/>
              </w:rPr>
              <w:t xml:space="preserve">Stage A: early HCC </w:t>
            </w:r>
          </w:p>
        </w:tc>
        <w:tc>
          <w:tcPr>
            <w:tcW w:w="1253" w:type="dxa"/>
            <w:tcBorders>
              <w:top w:val="single" w:sz="4" w:space="0" w:color="000000"/>
              <w:left w:val="nil"/>
              <w:bottom w:val="nil"/>
              <w:right w:val="nil"/>
            </w:tcBorders>
          </w:tcPr>
          <w:p w14:paraId="5B16B2C7" w14:textId="77777777" w:rsidR="000B3C5C" w:rsidRDefault="000B3C5C">
            <w:pPr>
              <w:spacing w:after="160" w:line="259" w:lineRule="auto"/>
              <w:ind w:left="0" w:firstLine="0"/>
            </w:pPr>
          </w:p>
        </w:tc>
        <w:tc>
          <w:tcPr>
            <w:tcW w:w="2645" w:type="dxa"/>
            <w:gridSpan w:val="2"/>
            <w:tcBorders>
              <w:top w:val="single" w:sz="4" w:space="0" w:color="000000"/>
              <w:left w:val="nil"/>
              <w:bottom w:val="nil"/>
              <w:right w:val="nil"/>
            </w:tcBorders>
          </w:tcPr>
          <w:p w14:paraId="10D56BA4" w14:textId="77777777" w:rsidR="000B3C5C" w:rsidRDefault="000B3C5C">
            <w:pPr>
              <w:spacing w:after="160" w:line="259" w:lineRule="auto"/>
              <w:ind w:left="0" w:firstLine="0"/>
            </w:pPr>
          </w:p>
        </w:tc>
      </w:tr>
      <w:tr w:rsidR="000B3C5C" w14:paraId="3A979920" w14:textId="77777777">
        <w:trPr>
          <w:trHeight w:val="578"/>
        </w:trPr>
        <w:tc>
          <w:tcPr>
            <w:tcW w:w="3015" w:type="dxa"/>
            <w:tcBorders>
              <w:top w:val="nil"/>
              <w:left w:val="nil"/>
              <w:bottom w:val="nil"/>
              <w:right w:val="nil"/>
            </w:tcBorders>
          </w:tcPr>
          <w:p w14:paraId="1C3AFE31" w14:textId="77777777" w:rsidR="000B3C5C" w:rsidRDefault="00ED192D">
            <w:pPr>
              <w:spacing w:after="0" w:line="259" w:lineRule="auto"/>
              <w:ind w:left="0" w:right="109" w:firstLine="0"/>
              <w:jc w:val="center"/>
            </w:pPr>
            <w:r>
              <w:rPr>
                <w:rFonts w:ascii="Arial" w:eastAsia="Arial" w:hAnsi="Arial" w:cs="Arial"/>
                <w:sz w:val="20"/>
              </w:rPr>
              <w:t xml:space="preserve">A1 </w:t>
            </w:r>
          </w:p>
        </w:tc>
        <w:tc>
          <w:tcPr>
            <w:tcW w:w="869" w:type="dxa"/>
            <w:gridSpan w:val="2"/>
            <w:tcBorders>
              <w:top w:val="nil"/>
              <w:left w:val="nil"/>
              <w:bottom w:val="nil"/>
              <w:right w:val="nil"/>
            </w:tcBorders>
          </w:tcPr>
          <w:p w14:paraId="1E366476" w14:textId="77777777" w:rsidR="000B3C5C" w:rsidRDefault="00ED192D">
            <w:pPr>
              <w:spacing w:after="0" w:line="259" w:lineRule="auto"/>
              <w:ind w:left="149" w:firstLine="0"/>
            </w:pPr>
            <w:r>
              <w:rPr>
                <w:rFonts w:ascii="Arial" w:eastAsia="Arial" w:hAnsi="Arial" w:cs="Arial"/>
                <w:sz w:val="20"/>
              </w:rPr>
              <w:t xml:space="preserve">0 </w:t>
            </w:r>
          </w:p>
        </w:tc>
        <w:tc>
          <w:tcPr>
            <w:tcW w:w="1903" w:type="dxa"/>
            <w:tcBorders>
              <w:top w:val="nil"/>
              <w:left w:val="nil"/>
              <w:bottom w:val="nil"/>
              <w:right w:val="nil"/>
            </w:tcBorders>
          </w:tcPr>
          <w:p w14:paraId="27B8C15C" w14:textId="77777777" w:rsidR="000B3C5C" w:rsidRDefault="00ED192D">
            <w:pPr>
              <w:spacing w:after="0" w:line="259" w:lineRule="auto"/>
              <w:ind w:left="511" w:firstLine="0"/>
            </w:pPr>
            <w:r>
              <w:rPr>
                <w:rFonts w:ascii="Arial" w:eastAsia="Arial" w:hAnsi="Arial" w:cs="Arial"/>
                <w:sz w:val="20"/>
              </w:rPr>
              <w:t xml:space="preserve">Single </w:t>
            </w:r>
          </w:p>
        </w:tc>
        <w:tc>
          <w:tcPr>
            <w:tcW w:w="1253" w:type="dxa"/>
            <w:tcBorders>
              <w:top w:val="nil"/>
              <w:left w:val="nil"/>
              <w:bottom w:val="nil"/>
              <w:right w:val="nil"/>
            </w:tcBorders>
          </w:tcPr>
          <w:p w14:paraId="75DEACA0" w14:textId="77777777" w:rsidR="000B3C5C" w:rsidRDefault="00ED192D">
            <w:pPr>
              <w:spacing w:after="0" w:line="259" w:lineRule="auto"/>
              <w:ind w:left="502" w:firstLine="0"/>
            </w:pPr>
            <w:r>
              <w:rPr>
                <w:rFonts w:ascii="Arial" w:eastAsia="Arial" w:hAnsi="Arial" w:cs="Arial"/>
                <w:sz w:val="20"/>
              </w:rPr>
              <w:t xml:space="preserve">I </w:t>
            </w:r>
          </w:p>
        </w:tc>
        <w:tc>
          <w:tcPr>
            <w:tcW w:w="2645" w:type="dxa"/>
            <w:gridSpan w:val="2"/>
            <w:tcBorders>
              <w:top w:val="nil"/>
              <w:left w:val="nil"/>
              <w:bottom w:val="nil"/>
              <w:right w:val="nil"/>
            </w:tcBorders>
          </w:tcPr>
          <w:p w14:paraId="7A917DE4" w14:textId="77777777" w:rsidR="000B3C5C" w:rsidRDefault="00ED192D">
            <w:pPr>
              <w:spacing w:after="0" w:line="259" w:lineRule="auto"/>
              <w:ind w:left="993" w:hanging="974"/>
            </w:pPr>
            <w:r>
              <w:rPr>
                <w:rFonts w:ascii="Arial" w:eastAsia="Arial" w:hAnsi="Arial" w:cs="Arial"/>
                <w:sz w:val="20"/>
              </w:rPr>
              <w:t xml:space="preserve">No portal hypertension and normal bilirubin </w:t>
            </w:r>
          </w:p>
        </w:tc>
      </w:tr>
      <w:tr w:rsidR="000B3C5C" w14:paraId="4EF84A83" w14:textId="77777777">
        <w:trPr>
          <w:trHeight w:val="579"/>
        </w:trPr>
        <w:tc>
          <w:tcPr>
            <w:tcW w:w="3015" w:type="dxa"/>
            <w:tcBorders>
              <w:top w:val="nil"/>
              <w:left w:val="nil"/>
              <w:bottom w:val="nil"/>
              <w:right w:val="nil"/>
            </w:tcBorders>
          </w:tcPr>
          <w:p w14:paraId="64DA3FDB" w14:textId="77777777" w:rsidR="000B3C5C" w:rsidRDefault="00ED192D">
            <w:pPr>
              <w:spacing w:after="0" w:line="259" w:lineRule="auto"/>
              <w:ind w:left="0" w:right="109" w:firstLine="0"/>
              <w:jc w:val="center"/>
            </w:pPr>
            <w:r>
              <w:rPr>
                <w:rFonts w:ascii="Arial" w:eastAsia="Arial" w:hAnsi="Arial" w:cs="Arial"/>
                <w:sz w:val="20"/>
              </w:rPr>
              <w:t xml:space="preserve">A2 </w:t>
            </w:r>
          </w:p>
        </w:tc>
        <w:tc>
          <w:tcPr>
            <w:tcW w:w="869" w:type="dxa"/>
            <w:gridSpan w:val="2"/>
            <w:tcBorders>
              <w:top w:val="nil"/>
              <w:left w:val="nil"/>
              <w:bottom w:val="nil"/>
              <w:right w:val="nil"/>
            </w:tcBorders>
          </w:tcPr>
          <w:p w14:paraId="23D0AF98" w14:textId="77777777" w:rsidR="000B3C5C" w:rsidRDefault="00ED192D">
            <w:pPr>
              <w:spacing w:after="0" w:line="259" w:lineRule="auto"/>
              <w:ind w:left="149" w:firstLine="0"/>
            </w:pPr>
            <w:r>
              <w:rPr>
                <w:rFonts w:ascii="Arial" w:eastAsia="Arial" w:hAnsi="Arial" w:cs="Arial"/>
                <w:sz w:val="20"/>
              </w:rPr>
              <w:t xml:space="preserve">0 </w:t>
            </w:r>
          </w:p>
        </w:tc>
        <w:tc>
          <w:tcPr>
            <w:tcW w:w="1903" w:type="dxa"/>
            <w:tcBorders>
              <w:top w:val="nil"/>
              <w:left w:val="nil"/>
              <w:bottom w:val="nil"/>
              <w:right w:val="nil"/>
            </w:tcBorders>
          </w:tcPr>
          <w:p w14:paraId="17ED1770" w14:textId="77777777" w:rsidR="000B3C5C" w:rsidRDefault="00ED192D">
            <w:pPr>
              <w:spacing w:after="0" w:line="259" w:lineRule="auto"/>
              <w:ind w:left="511" w:firstLine="0"/>
            </w:pPr>
            <w:r>
              <w:rPr>
                <w:rFonts w:ascii="Arial" w:eastAsia="Arial" w:hAnsi="Arial" w:cs="Arial"/>
                <w:sz w:val="20"/>
              </w:rPr>
              <w:t xml:space="preserve">Single </w:t>
            </w:r>
          </w:p>
        </w:tc>
        <w:tc>
          <w:tcPr>
            <w:tcW w:w="1253" w:type="dxa"/>
            <w:tcBorders>
              <w:top w:val="nil"/>
              <w:left w:val="nil"/>
              <w:bottom w:val="nil"/>
              <w:right w:val="nil"/>
            </w:tcBorders>
          </w:tcPr>
          <w:p w14:paraId="7DA8E685" w14:textId="77777777" w:rsidR="000B3C5C" w:rsidRDefault="00ED192D">
            <w:pPr>
              <w:spacing w:after="0" w:line="259" w:lineRule="auto"/>
              <w:ind w:left="502" w:firstLine="0"/>
            </w:pPr>
            <w:r>
              <w:rPr>
                <w:rFonts w:ascii="Arial" w:eastAsia="Arial" w:hAnsi="Arial" w:cs="Arial"/>
                <w:sz w:val="20"/>
              </w:rPr>
              <w:t xml:space="preserve">I </w:t>
            </w:r>
          </w:p>
        </w:tc>
        <w:tc>
          <w:tcPr>
            <w:tcW w:w="2645" w:type="dxa"/>
            <w:gridSpan w:val="2"/>
            <w:tcBorders>
              <w:top w:val="nil"/>
              <w:left w:val="nil"/>
              <w:bottom w:val="nil"/>
              <w:right w:val="nil"/>
            </w:tcBorders>
          </w:tcPr>
          <w:p w14:paraId="53A07D6B" w14:textId="77777777" w:rsidR="000B3C5C" w:rsidRDefault="00ED192D">
            <w:pPr>
              <w:spacing w:after="0" w:line="259" w:lineRule="auto"/>
              <w:ind w:left="994" w:hanging="857"/>
            </w:pPr>
            <w:r>
              <w:rPr>
                <w:rFonts w:ascii="Arial" w:eastAsia="Arial" w:hAnsi="Arial" w:cs="Arial"/>
                <w:sz w:val="20"/>
              </w:rPr>
              <w:t xml:space="preserve">Portal hypertension and normal bilirubin </w:t>
            </w:r>
          </w:p>
        </w:tc>
      </w:tr>
      <w:tr w:rsidR="000B3C5C" w14:paraId="4BD84A8C" w14:textId="77777777">
        <w:trPr>
          <w:trHeight w:val="580"/>
        </w:trPr>
        <w:tc>
          <w:tcPr>
            <w:tcW w:w="3015" w:type="dxa"/>
            <w:tcBorders>
              <w:top w:val="nil"/>
              <w:left w:val="nil"/>
              <w:bottom w:val="nil"/>
              <w:right w:val="nil"/>
            </w:tcBorders>
          </w:tcPr>
          <w:p w14:paraId="264F58DC" w14:textId="77777777" w:rsidR="000B3C5C" w:rsidRDefault="00ED192D">
            <w:pPr>
              <w:spacing w:after="0" w:line="259" w:lineRule="auto"/>
              <w:ind w:left="0" w:right="109" w:firstLine="0"/>
              <w:jc w:val="center"/>
            </w:pPr>
            <w:r>
              <w:rPr>
                <w:rFonts w:ascii="Arial" w:eastAsia="Arial" w:hAnsi="Arial" w:cs="Arial"/>
                <w:sz w:val="20"/>
              </w:rPr>
              <w:t xml:space="preserve">A3 </w:t>
            </w:r>
          </w:p>
        </w:tc>
        <w:tc>
          <w:tcPr>
            <w:tcW w:w="869" w:type="dxa"/>
            <w:gridSpan w:val="2"/>
            <w:tcBorders>
              <w:top w:val="nil"/>
              <w:left w:val="nil"/>
              <w:bottom w:val="nil"/>
              <w:right w:val="nil"/>
            </w:tcBorders>
          </w:tcPr>
          <w:p w14:paraId="4D10BE85" w14:textId="77777777" w:rsidR="000B3C5C" w:rsidRDefault="00ED192D">
            <w:pPr>
              <w:spacing w:after="0" w:line="259" w:lineRule="auto"/>
              <w:ind w:left="149" w:firstLine="0"/>
            </w:pPr>
            <w:r>
              <w:rPr>
                <w:rFonts w:ascii="Arial" w:eastAsia="Arial" w:hAnsi="Arial" w:cs="Arial"/>
                <w:sz w:val="20"/>
              </w:rPr>
              <w:t xml:space="preserve">0 </w:t>
            </w:r>
          </w:p>
        </w:tc>
        <w:tc>
          <w:tcPr>
            <w:tcW w:w="1903" w:type="dxa"/>
            <w:tcBorders>
              <w:top w:val="nil"/>
              <w:left w:val="nil"/>
              <w:bottom w:val="nil"/>
              <w:right w:val="nil"/>
            </w:tcBorders>
          </w:tcPr>
          <w:p w14:paraId="1669E2EA" w14:textId="77777777" w:rsidR="000B3C5C" w:rsidRDefault="00ED192D">
            <w:pPr>
              <w:spacing w:after="0" w:line="259" w:lineRule="auto"/>
              <w:ind w:left="511" w:firstLine="0"/>
            </w:pPr>
            <w:r>
              <w:rPr>
                <w:rFonts w:ascii="Arial" w:eastAsia="Arial" w:hAnsi="Arial" w:cs="Arial"/>
                <w:sz w:val="20"/>
              </w:rPr>
              <w:t xml:space="preserve">Single </w:t>
            </w:r>
          </w:p>
        </w:tc>
        <w:tc>
          <w:tcPr>
            <w:tcW w:w="1253" w:type="dxa"/>
            <w:tcBorders>
              <w:top w:val="nil"/>
              <w:left w:val="nil"/>
              <w:bottom w:val="nil"/>
              <w:right w:val="nil"/>
            </w:tcBorders>
          </w:tcPr>
          <w:p w14:paraId="7732E260" w14:textId="77777777" w:rsidR="000B3C5C" w:rsidRDefault="00ED192D">
            <w:pPr>
              <w:spacing w:after="0" w:line="259" w:lineRule="auto"/>
              <w:ind w:left="502" w:firstLine="0"/>
            </w:pPr>
            <w:r>
              <w:rPr>
                <w:rFonts w:ascii="Arial" w:eastAsia="Arial" w:hAnsi="Arial" w:cs="Arial"/>
                <w:sz w:val="20"/>
              </w:rPr>
              <w:t xml:space="preserve">I </w:t>
            </w:r>
          </w:p>
        </w:tc>
        <w:tc>
          <w:tcPr>
            <w:tcW w:w="2645" w:type="dxa"/>
            <w:gridSpan w:val="2"/>
            <w:tcBorders>
              <w:top w:val="nil"/>
              <w:left w:val="nil"/>
              <w:bottom w:val="nil"/>
              <w:right w:val="nil"/>
            </w:tcBorders>
          </w:tcPr>
          <w:p w14:paraId="762385FE" w14:textId="77777777" w:rsidR="000B3C5C" w:rsidRDefault="00ED192D">
            <w:pPr>
              <w:spacing w:after="0" w:line="259" w:lineRule="auto"/>
              <w:ind w:left="994" w:hanging="948"/>
            </w:pPr>
            <w:r>
              <w:rPr>
                <w:rFonts w:ascii="Arial" w:eastAsia="Arial" w:hAnsi="Arial" w:cs="Arial"/>
                <w:sz w:val="20"/>
              </w:rPr>
              <w:t xml:space="preserve">Portal hypertension and abnormal bilirubin </w:t>
            </w:r>
          </w:p>
        </w:tc>
      </w:tr>
      <w:tr w:rsidR="000B3C5C" w14:paraId="5768AAB1" w14:textId="77777777">
        <w:trPr>
          <w:trHeight w:val="350"/>
        </w:trPr>
        <w:tc>
          <w:tcPr>
            <w:tcW w:w="3015" w:type="dxa"/>
            <w:tcBorders>
              <w:top w:val="nil"/>
              <w:left w:val="nil"/>
              <w:bottom w:val="nil"/>
              <w:right w:val="nil"/>
            </w:tcBorders>
          </w:tcPr>
          <w:p w14:paraId="43B0BEA4" w14:textId="77777777" w:rsidR="000B3C5C" w:rsidRDefault="00ED192D">
            <w:pPr>
              <w:spacing w:after="0" w:line="259" w:lineRule="auto"/>
              <w:ind w:left="0" w:right="109" w:firstLine="0"/>
              <w:jc w:val="center"/>
            </w:pPr>
            <w:r>
              <w:rPr>
                <w:rFonts w:ascii="Arial" w:eastAsia="Arial" w:hAnsi="Arial" w:cs="Arial"/>
                <w:sz w:val="20"/>
              </w:rPr>
              <w:t xml:space="preserve">A4 </w:t>
            </w:r>
          </w:p>
        </w:tc>
        <w:tc>
          <w:tcPr>
            <w:tcW w:w="869" w:type="dxa"/>
            <w:gridSpan w:val="2"/>
            <w:tcBorders>
              <w:top w:val="nil"/>
              <w:left w:val="nil"/>
              <w:bottom w:val="nil"/>
              <w:right w:val="nil"/>
            </w:tcBorders>
          </w:tcPr>
          <w:p w14:paraId="6E8E74FD" w14:textId="77777777" w:rsidR="000B3C5C" w:rsidRDefault="00ED192D">
            <w:pPr>
              <w:spacing w:after="0" w:line="259" w:lineRule="auto"/>
              <w:ind w:left="149" w:firstLine="0"/>
            </w:pPr>
            <w:r>
              <w:rPr>
                <w:rFonts w:ascii="Arial" w:eastAsia="Arial" w:hAnsi="Arial" w:cs="Arial"/>
                <w:sz w:val="20"/>
              </w:rPr>
              <w:t xml:space="preserve">0 </w:t>
            </w:r>
          </w:p>
        </w:tc>
        <w:tc>
          <w:tcPr>
            <w:tcW w:w="1903" w:type="dxa"/>
            <w:tcBorders>
              <w:top w:val="nil"/>
              <w:left w:val="nil"/>
              <w:bottom w:val="nil"/>
              <w:right w:val="nil"/>
            </w:tcBorders>
          </w:tcPr>
          <w:p w14:paraId="6A2AFED3" w14:textId="77777777" w:rsidR="000B3C5C" w:rsidRDefault="00ED192D">
            <w:pPr>
              <w:spacing w:after="0" w:line="259" w:lineRule="auto"/>
              <w:ind w:left="170" w:firstLine="0"/>
            </w:pPr>
            <w:r>
              <w:rPr>
                <w:rFonts w:ascii="Arial" w:eastAsia="Arial" w:hAnsi="Arial" w:cs="Arial"/>
                <w:sz w:val="20"/>
              </w:rPr>
              <w:t xml:space="preserve">3 tumors &lt;3 cm </w:t>
            </w:r>
          </w:p>
        </w:tc>
        <w:tc>
          <w:tcPr>
            <w:tcW w:w="1253" w:type="dxa"/>
            <w:tcBorders>
              <w:top w:val="nil"/>
              <w:left w:val="nil"/>
              <w:bottom w:val="nil"/>
              <w:right w:val="nil"/>
            </w:tcBorders>
          </w:tcPr>
          <w:p w14:paraId="0E7EDAAB" w14:textId="77777777" w:rsidR="000B3C5C" w:rsidRDefault="00ED192D">
            <w:pPr>
              <w:spacing w:after="0" w:line="259" w:lineRule="auto"/>
              <w:ind w:left="430" w:firstLine="0"/>
            </w:pPr>
            <w:r>
              <w:rPr>
                <w:rFonts w:ascii="Arial" w:eastAsia="Arial" w:hAnsi="Arial" w:cs="Arial"/>
                <w:sz w:val="20"/>
              </w:rPr>
              <w:t xml:space="preserve">I-II </w:t>
            </w:r>
          </w:p>
        </w:tc>
        <w:tc>
          <w:tcPr>
            <w:tcW w:w="2645" w:type="dxa"/>
            <w:gridSpan w:val="2"/>
            <w:tcBorders>
              <w:top w:val="nil"/>
              <w:left w:val="nil"/>
              <w:bottom w:val="nil"/>
              <w:right w:val="nil"/>
            </w:tcBorders>
          </w:tcPr>
          <w:p w14:paraId="339788D2" w14:textId="77777777" w:rsidR="000B3C5C" w:rsidRDefault="00ED192D">
            <w:pPr>
              <w:spacing w:after="0" w:line="259" w:lineRule="auto"/>
              <w:ind w:left="0" w:right="28" w:firstLine="0"/>
              <w:jc w:val="center"/>
            </w:pPr>
            <w:r>
              <w:rPr>
                <w:rFonts w:ascii="Arial" w:eastAsia="Arial" w:hAnsi="Arial" w:cs="Arial"/>
                <w:sz w:val="20"/>
              </w:rPr>
              <w:t xml:space="preserve">Child-Pugh A-B </w:t>
            </w:r>
          </w:p>
        </w:tc>
      </w:tr>
      <w:tr w:rsidR="000B3C5C" w14:paraId="40BA65A6" w14:textId="77777777">
        <w:trPr>
          <w:trHeight w:val="349"/>
        </w:trPr>
        <w:tc>
          <w:tcPr>
            <w:tcW w:w="3015" w:type="dxa"/>
            <w:tcBorders>
              <w:top w:val="nil"/>
              <w:left w:val="nil"/>
              <w:bottom w:val="nil"/>
              <w:right w:val="nil"/>
            </w:tcBorders>
          </w:tcPr>
          <w:p w14:paraId="6569304D" w14:textId="77777777" w:rsidR="000B3C5C" w:rsidRDefault="00ED192D">
            <w:pPr>
              <w:spacing w:after="0" w:line="259" w:lineRule="auto"/>
              <w:ind w:left="410" w:firstLine="0"/>
            </w:pPr>
            <w:r>
              <w:rPr>
                <w:rFonts w:ascii="Arial" w:eastAsia="Arial" w:hAnsi="Arial" w:cs="Arial"/>
                <w:sz w:val="20"/>
              </w:rPr>
              <w:t xml:space="preserve">Stage B:  intermediate HCC </w:t>
            </w:r>
          </w:p>
        </w:tc>
        <w:tc>
          <w:tcPr>
            <w:tcW w:w="869" w:type="dxa"/>
            <w:gridSpan w:val="2"/>
            <w:tcBorders>
              <w:top w:val="nil"/>
              <w:left w:val="nil"/>
              <w:bottom w:val="nil"/>
              <w:right w:val="nil"/>
            </w:tcBorders>
          </w:tcPr>
          <w:p w14:paraId="0F6ED850" w14:textId="77777777" w:rsidR="000B3C5C" w:rsidRDefault="00ED192D">
            <w:pPr>
              <w:spacing w:after="0" w:line="259" w:lineRule="auto"/>
              <w:ind w:left="149" w:firstLine="0"/>
            </w:pPr>
            <w:r>
              <w:rPr>
                <w:rFonts w:ascii="Arial" w:eastAsia="Arial" w:hAnsi="Arial" w:cs="Arial"/>
                <w:sz w:val="20"/>
              </w:rPr>
              <w:t xml:space="preserve">0 </w:t>
            </w:r>
          </w:p>
        </w:tc>
        <w:tc>
          <w:tcPr>
            <w:tcW w:w="1903" w:type="dxa"/>
            <w:tcBorders>
              <w:top w:val="nil"/>
              <w:left w:val="nil"/>
              <w:bottom w:val="nil"/>
              <w:right w:val="nil"/>
            </w:tcBorders>
          </w:tcPr>
          <w:p w14:paraId="2A6D1C7A" w14:textId="77777777" w:rsidR="000B3C5C" w:rsidRDefault="00ED192D">
            <w:pPr>
              <w:spacing w:after="0" w:line="259" w:lineRule="auto"/>
              <w:ind w:left="60" w:firstLine="0"/>
            </w:pPr>
            <w:r>
              <w:rPr>
                <w:rFonts w:ascii="Arial" w:eastAsia="Arial" w:hAnsi="Arial" w:cs="Arial"/>
                <w:sz w:val="20"/>
              </w:rPr>
              <w:t xml:space="preserve">Large multinodular </w:t>
            </w:r>
          </w:p>
        </w:tc>
        <w:tc>
          <w:tcPr>
            <w:tcW w:w="1253" w:type="dxa"/>
            <w:tcBorders>
              <w:top w:val="nil"/>
              <w:left w:val="nil"/>
              <w:bottom w:val="nil"/>
              <w:right w:val="nil"/>
            </w:tcBorders>
          </w:tcPr>
          <w:p w14:paraId="36EA3CA1" w14:textId="77777777" w:rsidR="000B3C5C" w:rsidRDefault="00ED192D">
            <w:pPr>
              <w:spacing w:after="0" w:line="259" w:lineRule="auto"/>
              <w:ind w:left="430" w:firstLine="0"/>
            </w:pPr>
            <w:r>
              <w:rPr>
                <w:rFonts w:ascii="Arial" w:eastAsia="Arial" w:hAnsi="Arial" w:cs="Arial"/>
                <w:sz w:val="20"/>
              </w:rPr>
              <w:t xml:space="preserve">I-II </w:t>
            </w:r>
          </w:p>
        </w:tc>
        <w:tc>
          <w:tcPr>
            <w:tcW w:w="2645" w:type="dxa"/>
            <w:gridSpan w:val="2"/>
            <w:tcBorders>
              <w:top w:val="nil"/>
              <w:left w:val="nil"/>
              <w:bottom w:val="nil"/>
              <w:right w:val="nil"/>
            </w:tcBorders>
          </w:tcPr>
          <w:p w14:paraId="5324AAD4" w14:textId="77777777" w:rsidR="000B3C5C" w:rsidRDefault="00ED192D">
            <w:pPr>
              <w:spacing w:after="0" w:line="259" w:lineRule="auto"/>
              <w:ind w:left="0" w:right="28" w:firstLine="0"/>
              <w:jc w:val="center"/>
            </w:pPr>
            <w:r>
              <w:rPr>
                <w:rFonts w:ascii="Arial" w:eastAsia="Arial" w:hAnsi="Arial" w:cs="Arial"/>
                <w:sz w:val="20"/>
              </w:rPr>
              <w:t xml:space="preserve">Child-Pugh A-B </w:t>
            </w:r>
          </w:p>
        </w:tc>
      </w:tr>
      <w:tr w:rsidR="000B3C5C" w14:paraId="07AF7785" w14:textId="77777777">
        <w:trPr>
          <w:trHeight w:val="580"/>
        </w:trPr>
        <w:tc>
          <w:tcPr>
            <w:tcW w:w="3015" w:type="dxa"/>
            <w:tcBorders>
              <w:top w:val="nil"/>
              <w:left w:val="nil"/>
              <w:bottom w:val="nil"/>
              <w:right w:val="nil"/>
            </w:tcBorders>
          </w:tcPr>
          <w:p w14:paraId="49DA7AF4" w14:textId="77777777" w:rsidR="000B3C5C" w:rsidRDefault="00ED192D">
            <w:pPr>
              <w:spacing w:after="0" w:line="259" w:lineRule="auto"/>
              <w:ind w:left="0" w:right="107" w:firstLine="0"/>
              <w:jc w:val="center"/>
            </w:pPr>
            <w:r>
              <w:rPr>
                <w:rFonts w:ascii="Arial" w:eastAsia="Arial" w:hAnsi="Arial" w:cs="Arial"/>
                <w:sz w:val="20"/>
              </w:rPr>
              <w:t xml:space="preserve">Stage C:  advanced HCC </w:t>
            </w:r>
          </w:p>
        </w:tc>
        <w:tc>
          <w:tcPr>
            <w:tcW w:w="869" w:type="dxa"/>
            <w:gridSpan w:val="2"/>
            <w:tcBorders>
              <w:top w:val="nil"/>
              <w:left w:val="nil"/>
              <w:bottom w:val="nil"/>
              <w:right w:val="nil"/>
            </w:tcBorders>
          </w:tcPr>
          <w:p w14:paraId="5DABC0D3" w14:textId="77777777" w:rsidR="000B3C5C" w:rsidRDefault="00ED192D">
            <w:pPr>
              <w:spacing w:after="0" w:line="259" w:lineRule="auto"/>
              <w:ind w:left="43" w:firstLine="0"/>
            </w:pPr>
            <w:r>
              <w:rPr>
                <w:rFonts w:ascii="Arial" w:eastAsia="Arial" w:hAnsi="Arial" w:cs="Arial"/>
                <w:sz w:val="20"/>
              </w:rPr>
              <w:t xml:space="preserve">1-2* </w:t>
            </w:r>
          </w:p>
        </w:tc>
        <w:tc>
          <w:tcPr>
            <w:tcW w:w="1903" w:type="dxa"/>
            <w:tcBorders>
              <w:top w:val="nil"/>
              <w:left w:val="nil"/>
              <w:bottom w:val="nil"/>
              <w:right w:val="nil"/>
            </w:tcBorders>
          </w:tcPr>
          <w:p w14:paraId="211144DB" w14:textId="77777777" w:rsidR="000B3C5C" w:rsidRDefault="00ED192D">
            <w:pPr>
              <w:spacing w:after="0" w:line="259" w:lineRule="auto"/>
              <w:ind w:left="19" w:hanging="19"/>
            </w:pPr>
            <w:r>
              <w:rPr>
                <w:rFonts w:ascii="Arial" w:eastAsia="Arial" w:hAnsi="Arial" w:cs="Arial"/>
                <w:sz w:val="20"/>
              </w:rPr>
              <w:t xml:space="preserve">Vascular invasion or extrahepatic spread </w:t>
            </w:r>
          </w:p>
        </w:tc>
        <w:tc>
          <w:tcPr>
            <w:tcW w:w="1253" w:type="dxa"/>
            <w:tcBorders>
              <w:top w:val="nil"/>
              <w:left w:val="nil"/>
              <w:bottom w:val="nil"/>
              <w:right w:val="nil"/>
            </w:tcBorders>
          </w:tcPr>
          <w:p w14:paraId="2E8B561C" w14:textId="77777777" w:rsidR="000B3C5C" w:rsidRDefault="00ED192D">
            <w:pPr>
              <w:spacing w:after="0" w:line="259" w:lineRule="auto"/>
              <w:ind w:left="430" w:firstLine="0"/>
            </w:pPr>
            <w:r>
              <w:rPr>
                <w:rFonts w:ascii="Arial" w:eastAsia="Arial" w:hAnsi="Arial" w:cs="Arial"/>
                <w:sz w:val="20"/>
              </w:rPr>
              <w:t xml:space="preserve">I-II </w:t>
            </w:r>
          </w:p>
        </w:tc>
        <w:tc>
          <w:tcPr>
            <w:tcW w:w="2645" w:type="dxa"/>
            <w:gridSpan w:val="2"/>
            <w:tcBorders>
              <w:top w:val="nil"/>
              <w:left w:val="nil"/>
              <w:bottom w:val="nil"/>
              <w:right w:val="nil"/>
            </w:tcBorders>
          </w:tcPr>
          <w:p w14:paraId="32732DC4" w14:textId="77777777" w:rsidR="000B3C5C" w:rsidRDefault="00ED192D">
            <w:pPr>
              <w:spacing w:after="0" w:line="259" w:lineRule="auto"/>
              <w:ind w:left="0" w:right="28" w:firstLine="0"/>
              <w:jc w:val="center"/>
            </w:pPr>
            <w:r>
              <w:rPr>
                <w:rFonts w:ascii="Arial" w:eastAsia="Arial" w:hAnsi="Arial" w:cs="Arial"/>
                <w:sz w:val="20"/>
              </w:rPr>
              <w:t xml:space="preserve">Child-Pugh A-B </w:t>
            </w:r>
          </w:p>
        </w:tc>
      </w:tr>
      <w:tr w:rsidR="000B3C5C" w14:paraId="2CDC45E6" w14:textId="77777777">
        <w:trPr>
          <w:trHeight w:val="342"/>
        </w:trPr>
        <w:tc>
          <w:tcPr>
            <w:tcW w:w="3015" w:type="dxa"/>
            <w:tcBorders>
              <w:top w:val="nil"/>
              <w:left w:val="nil"/>
              <w:bottom w:val="single" w:sz="12" w:space="0" w:color="000000"/>
              <w:right w:val="nil"/>
            </w:tcBorders>
          </w:tcPr>
          <w:p w14:paraId="7188EF72" w14:textId="77777777" w:rsidR="000B3C5C" w:rsidRDefault="00ED192D">
            <w:pPr>
              <w:spacing w:after="0" w:line="259" w:lineRule="auto"/>
              <w:ind w:left="0" w:right="106" w:firstLine="0"/>
              <w:jc w:val="center"/>
            </w:pPr>
            <w:r>
              <w:rPr>
                <w:rFonts w:ascii="Arial" w:eastAsia="Arial" w:hAnsi="Arial" w:cs="Arial"/>
                <w:sz w:val="20"/>
              </w:rPr>
              <w:t xml:space="preserve">Stage D:  end-stage HCC </w:t>
            </w:r>
          </w:p>
        </w:tc>
        <w:tc>
          <w:tcPr>
            <w:tcW w:w="869" w:type="dxa"/>
            <w:gridSpan w:val="2"/>
            <w:tcBorders>
              <w:top w:val="nil"/>
              <w:left w:val="nil"/>
              <w:bottom w:val="single" w:sz="12" w:space="0" w:color="000000"/>
              <w:right w:val="nil"/>
            </w:tcBorders>
          </w:tcPr>
          <w:p w14:paraId="2D56E938" w14:textId="77777777" w:rsidR="000B3C5C" w:rsidRDefault="00ED192D">
            <w:pPr>
              <w:spacing w:after="0" w:line="259" w:lineRule="auto"/>
              <w:ind w:left="29" w:firstLine="0"/>
            </w:pPr>
            <w:r>
              <w:rPr>
                <w:rFonts w:ascii="Arial" w:eastAsia="Arial" w:hAnsi="Arial" w:cs="Arial"/>
                <w:sz w:val="20"/>
              </w:rPr>
              <w:t xml:space="preserve">3-4† </w:t>
            </w:r>
          </w:p>
        </w:tc>
        <w:tc>
          <w:tcPr>
            <w:tcW w:w="1903" w:type="dxa"/>
            <w:tcBorders>
              <w:top w:val="nil"/>
              <w:left w:val="nil"/>
              <w:bottom w:val="single" w:sz="12" w:space="0" w:color="000000"/>
              <w:right w:val="nil"/>
            </w:tcBorders>
          </w:tcPr>
          <w:p w14:paraId="7A3DC61B" w14:textId="77777777" w:rsidR="000B3C5C" w:rsidRDefault="00ED192D">
            <w:pPr>
              <w:spacing w:after="0" w:line="259" w:lineRule="auto"/>
              <w:ind w:left="598" w:firstLine="0"/>
            </w:pPr>
            <w:r>
              <w:rPr>
                <w:rFonts w:ascii="Arial" w:eastAsia="Arial" w:hAnsi="Arial" w:cs="Arial"/>
                <w:sz w:val="20"/>
              </w:rPr>
              <w:t xml:space="preserve">Any </w:t>
            </w:r>
          </w:p>
        </w:tc>
        <w:tc>
          <w:tcPr>
            <w:tcW w:w="1253" w:type="dxa"/>
            <w:tcBorders>
              <w:top w:val="nil"/>
              <w:left w:val="nil"/>
              <w:bottom w:val="single" w:sz="12" w:space="0" w:color="000000"/>
              <w:right w:val="nil"/>
            </w:tcBorders>
          </w:tcPr>
          <w:p w14:paraId="2EE605ED" w14:textId="77777777" w:rsidR="000B3C5C" w:rsidRDefault="00ED192D">
            <w:pPr>
              <w:spacing w:after="0" w:line="259" w:lineRule="auto"/>
              <w:ind w:left="457" w:firstLine="0"/>
            </w:pPr>
            <w:r>
              <w:rPr>
                <w:rFonts w:ascii="Arial" w:eastAsia="Arial" w:hAnsi="Arial" w:cs="Arial"/>
                <w:sz w:val="20"/>
              </w:rPr>
              <w:t xml:space="preserve">III </w:t>
            </w:r>
          </w:p>
        </w:tc>
        <w:tc>
          <w:tcPr>
            <w:tcW w:w="790" w:type="dxa"/>
            <w:tcBorders>
              <w:top w:val="nil"/>
              <w:left w:val="nil"/>
              <w:bottom w:val="single" w:sz="12" w:space="0" w:color="000000"/>
              <w:right w:val="nil"/>
            </w:tcBorders>
          </w:tcPr>
          <w:p w14:paraId="497E2233" w14:textId="77777777" w:rsidR="000B3C5C" w:rsidRDefault="000B3C5C">
            <w:pPr>
              <w:spacing w:after="160" w:line="259" w:lineRule="auto"/>
              <w:ind w:left="0" w:firstLine="0"/>
            </w:pPr>
          </w:p>
        </w:tc>
        <w:tc>
          <w:tcPr>
            <w:tcW w:w="1856" w:type="dxa"/>
            <w:tcBorders>
              <w:top w:val="nil"/>
              <w:left w:val="nil"/>
              <w:bottom w:val="single" w:sz="12" w:space="0" w:color="000000"/>
              <w:right w:val="nil"/>
            </w:tcBorders>
          </w:tcPr>
          <w:p w14:paraId="06F2D4D9" w14:textId="77777777" w:rsidR="000B3C5C" w:rsidRDefault="00ED192D">
            <w:pPr>
              <w:spacing w:after="0" w:line="259" w:lineRule="auto"/>
              <w:ind w:left="0" w:firstLine="0"/>
            </w:pPr>
            <w:r>
              <w:rPr>
                <w:rFonts w:ascii="Arial" w:eastAsia="Arial" w:hAnsi="Arial" w:cs="Arial"/>
                <w:sz w:val="20"/>
              </w:rPr>
              <w:t xml:space="preserve">Child-Pugh C </w:t>
            </w:r>
          </w:p>
        </w:tc>
      </w:tr>
      <w:tr w:rsidR="000B3C5C" w14:paraId="3101EC1B" w14:textId="77777777">
        <w:trPr>
          <w:trHeight w:val="1920"/>
        </w:trPr>
        <w:tc>
          <w:tcPr>
            <w:tcW w:w="5787" w:type="dxa"/>
            <w:gridSpan w:val="4"/>
            <w:tcBorders>
              <w:top w:val="single" w:sz="12" w:space="0" w:color="000000"/>
              <w:left w:val="nil"/>
              <w:bottom w:val="single" w:sz="4" w:space="0" w:color="000000"/>
              <w:right w:val="nil"/>
            </w:tcBorders>
          </w:tcPr>
          <w:p w14:paraId="197263D2" w14:textId="77777777" w:rsidR="000B3C5C" w:rsidRDefault="00ED192D">
            <w:pPr>
              <w:spacing w:after="0" w:line="259" w:lineRule="auto"/>
              <w:ind w:left="108" w:firstLine="0"/>
            </w:pPr>
            <w:r>
              <w:rPr>
                <w:rFonts w:ascii="Arial" w:eastAsia="Arial" w:hAnsi="Arial" w:cs="Arial"/>
                <w:sz w:val="18"/>
              </w:rPr>
              <w:t xml:space="preserve">PST, Performance Status Test </w:t>
            </w:r>
          </w:p>
          <w:p w14:paraId="546C2BE8" w14:textId="77777777" w:rsidR="000B3C5C" w:rsidRDefault="00ED192D">
            <w:pPr>
              <w:spacing w:after="4" w:line="259" w:lineRule="auto"/>
              <w:ind w:left="108" w:firstLine="0"/>
            </w:pPr>
            <w:r>
              <w:rPr>
                <w:rFonts w:ascii="Arial" w:eastAsia="Arial" w:hAnsi="Arial" w:cs="Arial"/>
                <w:sz w:val="18"/>
              </w:rPr>
              <w:t xml:space="preserve">Stage A and B, All criteria should be fulfilled </w:t>
            </w:r>
          </w:p>
          <w:p w14:paraId="54DD3B19" w14:textId="77777777" w:rsidR="000B3C5C" w:rsidRDefault="00ED192D">
            <w:pPr>
              <w:spacing w:after="2" w:line="259" w:lineRule="auto"/>
              <w:ind w:left="108" w:firstLine="0"/>
            </w:pPr>
            <w:r>
              <w:rPr>
                <w:rFonts w:ascii="Arial" w:eastAsia="Arial" w:hAnsi="Arial" w:cs="Arial"/>
                <w:sz w:val="18"/>
              </w:rPr>
              <w:t xml:space="preserve">* Stage C, at least one criteria:  PST 1-2 or vascular invasion/extrahepatic spread </w:t>
            </w:r>
          </w:p>
          <w:p w14:paraId="4631036D" w14:textId="77777777" w:rsidR="000B3C5C" w:rsidRDefault="00ED192D">
            <w:pPr>
              <w:spacing w:after="523" w:line="259" w:lineRule="auto"/>
              <w:ind w:left="108" w:firstLine="0"/>
            </w:pPr>
            <w:r>
              <w:rPr>
                <w:rFonts w:ascii="Arial" w:eastAsia="Arial" w:hAnsi="Arial" w:cs="Arial"/>
                <w:sz w:val="18"/>
              </w:rPr>
              <w:t xml:space="preserve">†Stage D, at least one criteria:  PST 3-4 or Okuda Stage III/Child-Pugh C </w:t>
            </w:r>
          </w:p>
          <w:p w14:paraId="615D422A" w14:textId="77777777" w:rsidR="000B3C5C" w:rsidRDefault="00ED192D">
            <w:pPr>
              <w:spacing w:after="0" w:line="259" w:lineRule="auto"/>
              <w:ind w:left="108" w:firstLine="0"/>
            </w:pPr>
            <w:r>
              <w:rPr>
                <w:rFonts w:ascii="Arial" w:eastAsia="Arial" w:hAnsi="Arial" w:cs="Arial"/>
                <w:b/>
                <w:sz w:val="22"/>
              </w:rPr>
              <w:t xml:space="preserve">10.13 APPENDIX 13: CHILD PUGH SCORE  </w:t>
            </w:r>
          </w:p>
        </w:tc>
        <w:tc>
          <w:tcPr>
            <w:tcW w:w="1253" w:type="dxa"/>
            <w:tcBorders>
              <w:top w:val="single" w:sz="12" w:space="0" w:color="000000"/>
              <w:left w:val="nil"/>
              <w:bottom w:val="single" w:sz="4" w:space="0" w:color="000000"/>
              <w:right w:val="nil"/>
            </w:tcBorders>
          </w:tcPr>
          <w:p w14:paraId="51C02FBB" w14:textId="77777777" w:rsidR="000B3C5C" w:rsidRDefault="000B3C5C">
            <w:pPr>
              <w:spacing w:after="160" w:line="259" w:lineRule="auto"/>
              <w:ind w:left="0" w:firstLine="0"/>
            </w:pPr>
          </w:p>
        </w:tc>
        <w:tc>
          <w:tcPr>
            <w:tcW w:w="790" w:type="dxa"/>
            <w:tcBorders>
              <w:top w:val="single" w:sz="12" w:space="0" w:color="000000"/>
              <w:left w:val="nil"/>
              <w:bottom w:val="single" w:sz="4" w:space="0" w:color="000000"/>
              <w:right w:val="nil"/>
            </w:tcBorders>
          </w:tcPr>
          <w:p w14:paraId="54F3F70B" w14:textId="77777777" w:rsidR="000B3C5C" w:rsidRDefault="000B3C5C">
            <w:pPr>
              <w:spacing w:after="160" w:line="259" w:lineRule="auto"/>
              <w:ind w:left="0" w:firstLine="0"/>
            </w:pPr>
          </w:p>
        </w:tc>
        <w:tc>
          <w:tcPr>
            <w:tcW w:w="1856" w:type="dxa"/>
            <w:tcBorders>
              <w:top w:val="single" w:sz="12" w:space="0" w:color="000000"/>
              <w:left w:val="nil"/>
              <w:bottom w:val="single" w:sz="4" w:space="0" w:color="000000"/>
              <w:right w:val="nil"/>
            </w:tcBorders>
          </w:tcPr>
          <w:p w14:paraId="2E59403B" w14:textId="77777777" w:rsidR="000B3C5C" w:rsidRDefault="000B3C5C">
            <w:pPr>
              <w:spacing w:after="160" w:line="259" w:lineRule="auto"/>
              <w:ind w:left="0" w:firstLine="0"/>
            </w:pPr>
          </w:p>
        </w:tc>
      </w:tr>
      <w:tr w:rsidR="000B3C5C" w14:paraId="7DD2AD7F" w14:textId="77777777">
        <w:trPr>
          <w:trHeight w:val="360"/>
        </w:trPr>
        <w:tc>
          <w:tcPr>
            <w:tcW w:w="3447" w:type="dxa"/>
            <w:gridSpan w:val="2"/>
            <w:tcBorders>
              <w:top w:val="single" w:sz="4" w:space="0" w:color="000000"/>
              <w:left w:val="nil"/>
              <w:bottom w:val="single" w:sz="4" w:space="0" w:color="000000"/>
              <w:right w:val="nil"/>
            </w:tcBorders>
          </w:tcPr>
          <w:p w14:paraId="31CB8507" w14:textId="77777777" w:rsidR="000B3C5C" w:rsidRDefault="00ED192D">
            <w:pPr>
              <w:spacing w:after="0" w:line="259" w:lineRule="auto"/>
              <w:ind w:left="2223" w:firstLine="0"/>
            </w:pPr>
            <w:r>
              <w:rPr>
                <w:rFonts w:ascii="Arial" w:eastAsia="Arial" w:hAnsi="Arial" w:cs="Arial"/>
                <w:b/>
                <w:sz w:val="20"/>
              </w:rPr>
              <w:t xml:space="preserve">Score </w:t>
            </w:r>
          </w:p>
        </w:tc>
        <w:tc>
          <w:tcPr>
            <w:tcW w:w="2340" w:type="dxa"/>
            <w:gridSpan w:val="2"/>
            <w:tcBorders>
              <w:top w:val="single" w:sz="4" w:space="0" w:color="000000"/>
              <w:left w:val="nil"/>
              <w:bottom w:val="single" w:sz="4" w:space="0" w:color="000000"/>
              <w:right w:val="nil"/>
            </w:tcBorders>
          </w:tcPr>
          <w:p w14:paraId="67BB2060" w14:textId="77777777" w:rsidR="000B3C5C" w:rsidRDefault="000B3C5C">
            <w:pPr>
              <w:spacing w:after="160" w:line="259" w:lineRule="auto"/>
              <w:ind w:left="0" w:firstLine="0"/>
            </w:pPr>
          </w:p>
        </w:tc>
        <w:tc>
          <w:tcPr>
            <w:tcW w:w="1253" w:type="dxa"/>
            <w:tcBorders>
              <w:top w:val="single" w:sz="4" w:space="0" w:color="000000"/>
              <w:left w:val="nil"/>
              <w:bottom w:val="single" w:sz="4" w:space="0" w:color="000000"/>
              <w:right w:val="nil"/>
            </w:tcBorders>
          </w:tcPr>
          <w:p w14:paraId="10D603FB" w14:textId="77777777" w:rsidR="000B3C5C" w:rsidRDefault="000B3C5C">
            <w:pPr>
              <w:spacing w:after="160" w:line="259" w:lineRule="auto"/>
              <w:ind w:left="0" w:firstLine="0"/>
            </w:pPr>
          </w:p>
        </w:tc>
        <w:tc>
          <w:tcPr>
            <w:tcW w:w="790" w:type="dxa"/>
            <w:tcBorders>
              <w:top w:val="single" w:sz="4" w:space="0" w:color="000000"/>
              <w:left w:val="nil"/>
              <w:bottom w:val="single" w:sz="4" w:space="0" w:color="000000"/>
              <w:right w:val="nil"/>
            </w:tcBorders>
          </w:tcPr>
          <w:p w14:paraId="7D636662" w14:textId="77777777" w:rsidR="000B3C5C" w:rsidRDefault="00ED192D">
            <w:pPr>
              <w:spacing w:after="0" w:line="259" w:lineRule="auto"/>
              <w:ind w:left="0" w:firstLine="0"/>
            </w:pPr>
            <w:r>
              <w:rPr>
                <w:rFonts w:ascii="Arial" w:eastAsia="Arial" w:hAnsi="Arial" w:cs="Arial"/>
                <w:b/>
                <w:sz w:val="20"/>
              </w:rPr>
              <w:t xml:space="preserve">Points </w:t>
            </w:r>
          </w:p>
        </w:tc>
        <w:tc>
          <w:tcPr>
            <w:tcW w:w="1856" w:type="dxa"/>
            <w:tcBorders>
              <w:top w:val="single" w:sz="4" w:space="0" w:color="000000"/>
              <w:left w:val="nil"/>
              <w:bottom w:val="single" w:sz="4" w:space="0" w:color="000000"/>
              <w:right w:val="nil"/>
            </w:tcBorders>
          </w:tcPr>
          <w:p w14:paraId="695BB243" w14:textId="77777777" w:rsidR="000B3C5C" w:rsidRDefault="000B3C5C">
            <w:pPr>
              <w:spacing w:after="160" w:line="259" w:lineRule="auto"/>
              <w:ind w:left="0" w:firstLine="0"/>
            </w:pPr>
          </w:p>
        </w:tc>
      </w:tr>
      <w:tr w:rsidR="000B3C5C" w14:paraId="06B00B4E" w14:textId="77777777">
        <w:trPr>
          <w:trHeight w:val="376"/>
        </w:trPr>
        <w:tc>
          <w:tcPr>
            <w:tcW w:w="3447" w:type="dxa"/>
            <w:gridSpan w:val="2"/>
            <w:tcBorders>
              <w:top w:val="single" w:sz="4" w:space="0" w:color="000000"/>
              <w:left w:val="nil"/>
              <w:bottom w:val="nil"/>
              <w:right w:val="nil"/>
            </w:tcBorders>
          </w:tcPr>
          <w:p w14:paraId="1656D654" w14:textId="77777777" w:rsidR="000B3C5C" w:rsidRDefault="00ED192D">
            <w:pPr>
              <w:spacing w:after="0" w:line="259" w:lineRule="auto"/>
              <w:ind w:left="2019" w:firstLine="0"/>
            </w:pPr>
            <w:r>
              <w:rPr>
                <w:rFonts w:ascii="Arial" w:eastAsia="Arial" w:hAnsi="Arial" w:cs="Arial"/>
                <w:sz w:val="20"/>
              </w:rPr>
              <w:t xml:space="preserve">Child-Pugh A </w:t>
            </w:r>
          </w:p>
        </w:tc>
        <w:tc>
          <w:tcPr>
            <w:tcW w:w="2340" w:type="dxa"/>
            <w:gridSpan w:val="2"/>
            <w:tcBorders>
              <w:top w:val="single" w:sz="4" w:space="0" w:color="000000"/>
              <w:left w:val="nil"/>
              <w:bottom w:val="nil"/>
              <w:right w:val="nil"/>
            </w:tcBorders>
          </w:tcPr>
          <w:p w14:paraId="1C690B4A" w14:textId="77777777" w:rsidR="000B3C5C" w:rsidRDefault="000B3C5C">
            <w:pPr>
              <w:spacing w:after="160" w:line="259" w:lineRule="auto"/>
              <w:ind w:left="0" w:firstLine="0"/>
            </w:pPr>
          </w:p>
        </w:tc>
        <w:tc>
          <w:tcPr>
            <w:tcW w:w="1253" w:type="dxa"/>
            <w:tcBorders>
              <w:top w:val="single" w:sz="4" w:space="0" w:color="000000"/>
              <w:left w:val="nil"/>
              <w:bottom w:val="nil"/>
              <w:right w:val="nil"/>
            </w:tcBorders>
          </w:tcPr>
          <w:p w14:paraId="04E2E742" w14:textId="77777777" w:rsidR="000B3C5C" w:rsidRDefault="000B3C5C">
            <w:pPr>
              <w:spacing w:after="160" w:line="259" w:lineRule="auto"/>
              <w:ind w:left="0" w:firstLine="0"/>
            </w:pPr>
          </w:p>
        </w:tc>
        <w:tc>
          <w:tcPr>
            <w:tcW w:w="790" w:type="dxa"/>
            <w:tcBorders>
              <w:top w:val="single" w:sz="4" w:space="0" w:color="000000"/>
              <w:left w:val="nil"/>
              <w:bottom w:val="nil"/>
              <w:right w:val="nil"/>
            </w:tcBorders>
          </w:tcPr>
          <w:p w14:paraId="0FCE8C7F" w14:textId="77777777" w:rsidR="000B3C5C" w:rsidRDefault="00ED192D">
            <w:pPr>
              <w:spacing w:after="0" w:line="259" w:lineRule="auto"/>
              <w:ind w:left="187" w:firstLine="0"/>
            </w:pPr>
            <w:r>
              <w:rPr>
                <w:rFonts w:ascii="Arial" w:eastAsia="Arial" w:hAnsi="Arial" w:cs="Arial"/>
                <w:sz w:val="20"/>
              </w:rPr>
              <w:t xml:space="preserve">5-6 </w:t>
            </w:r>
          </w:p>
        </w:tc>
        <w:tc>
          <w:tcPr>
            <w:tcW w:w="1856" w:type="dxa"/>
            <w:tcBorders>
              <w:top w:val="single" w:sz="4" w:space="0" w:color="000000"/>
              <w:left w:val="nil"/>
              <w:bottom w:val="nil"/>
              <w:right w:val="nil"/>
            </w:tcBorders>
          </w:tcPr>
          <w:p w14:paraId="01F09C7D" w14:textId="77777777" w:rsidR="000B3C5C" w:rsidRDefault="000B3C5C">
            <w:pPr>
              <w:spacing w:after="160" w:line="259" w:lineRule="auto"/>
              <w:ind w:left="0" w:firstLine="0"/>
            </w:pPr>
          </w:p>
        </w:tc>
      </w:tr>
      <w:tr w:rsidR="000B3C5C" w14:paraId="5D8BE29E" w14:textId="77777777">
        <w:trPr>
          <w:trHeight w:val="349"/>
        </w:trPr>
        <w:tc>
          <w:tcPr>
            <w:tcW w:w="3447" w:type="dxa"/>
            <w:gridSpan w:val="2"/>
            <w:tcBorders>
              <w:top w:val="nil"/>
              <w:left w:val="nil"/>
              <w:bottom w:val="nil"/>
              <w:right w:val="nil"/>
            </w:tcBorders>
          </w:tcPr>
          <w:p w14:paraId="2AAE630A" w14:textId="77777777" w:rsidR="000B3C5C" w:rsidRDefault="00ED192D">
            <w:pPr>
              <w:spacing w:after="0" w:line="259" w:lineRule="auto"/>
              <w:ind w:left="2019" w:firstLine="0"/>
            </w:pPr>
            <w:r>
              <w:rPr>
                <w:rFonts w:ascii="Arial" w:eastAsia="Arial" w:hAnsi="Arial" w:cs="Arial"/>
                <w:sz w:val="20"/>
              </w:rPr>
              <w:t xml:space="preserve">Child-Pugh B </w:t>
            </w:r>
          </w:p>
        </w:tc>
        <w:tc>
          <w:tcPr>
            <w:tcW w:w="2340" w:type="dxa"/>
            <w:gridSpan w:val="2"/>
            <w:tcBorders>
              <w:top w:val="nil"/>
              <w:left w:val="nil"/>
              <w:bottom w:val="nil"/>
              <w:right w:val="nil"/>
            </w:tcBorders>
          </w:tcPr>
          <w:p w14:paraId="7F1A4DD6" w14:textId="77777777" w:rsidR="000B3C5C" w:rsidRDefault="000B3C5C">
            <w:pPr>
              <w:spacing w:after="160" w:line="259" w:lineRule="auto"/>
              <w:ind w:left="0" w:firstLine="0"/>
            </w:pPr>
          </w:p>
        </w:tc>
        <w:tc>
          <w:tcPr>
            <w:tcW w:w="1253" w:type="dxa"/>
            <w:tcBorders>
              <w:top w:val="nil"/>
              <w:left w:val="nil"/>
              <w:bottom w:val="nil"/>
              <w:right w:val="nil"/>
            </w:tcBorders>
          </w:tcPr>
          <w:p w14:paraId="2F290C2F" w14:textId="77777777" w:rsidR="000B3C5C" w:rsidRDefault="000B3C5C">
            <w:pPr>
              <w:spacing w:after="160" w:line="259" w:lineRule="auto"/>
              <w:ind w:left="0" w:firstLine="0"/>
            </w:pPr>
          </w:p>
        </w:tc>
        <w:tc>
          <w:tcPr>
            <w:tcW w:w="790" w:type="dxa"/>
            <w:tcBorders>
              <w:top w:val="nil"/>
              <w:left w:val="nil"/>
              <w:bottom w:val="nil"/>
              <w:right w:val="nil"/>
            </w:tcBorders>
          </w:tcPr>
          <w:p w14:paraId="54C5257D" w14:textId="77777777" w:rsidR="000B3C5C" w:rsidRDefault="00ED192D">
            <w:pPr>
              <w:spacing w:after="0" w:line="259" w:lineRule="auto"/>
              <w:ind w:left="187" w:firstLine="0"/>
            </w:pPr>
            <w:r>
              <w:rPr>
                <w:rFonts w:ascii="Arial" w:eastAsia="Arial" w:hAnsi="Arial" w:cs="Arial"/>
                <w:sz w:val="20"/>
              </w:rPr>
              <w:t xml:space="preserve">7-9 </w:t>
            </w:r>
          </w:p>
        </w:tc>
        <w:tc>
          <w:tcPr>
            <w:tcW w:w="1856" w:type="dxa"/>
            <w:tcBorders>
              <w:top w:val="nil"/>
              <w:left w:val="nil"/>
              <w:bottom w:val="nil"/>
              <w:right w:val="nil"/>
            </w:tcBorders>
          </w:tcPr>
          <w:p w14:paraId="2A3C1204" w14:textId="77777777" w:rsidR="000B3C5C" w:rsidRDefault="000B3C5C">
            <w:pPr>
              <w:spacing w:after="160" w:line="259" w:lineRule="auto"/>
              <w:ind w:left="0" w:firstLine="0"/>
            </w:pPr>
          </w:p>
        </w:tc>
      </w:tr>
      <w:tr w:rsidR="000B3C5C" w14:paraId="3F677D95" w14:textId="77777777">
        <w:trPr>
          <w:trHeight w:val="343"/>
        </w:trPr>
        <w:tc>
          <w:tcPr>
            <w:tcW w:w="3447" w:type="dxa"/>
            <w:gridSpan w:val="2"/>
            <w:tcBorders>
              <w:top w:val="nil"/>
              <w:left w:val="nil"/>
              <w:bottom w:val="single" w:sz="12" w:space="0" w:color="000000"/>
              <w:right w:val="nil"/>
            </w:tcBorders>
          </w:tcPr>
          <w:p w14:paraId="5A81A5F5" w14:textId="77777777" w:rsidR="000B3C5C" w:rsidRDefault="00ED192D">
            <w:pPr>
              <w:spacing w:after="0" w:line="259" w:lineRule="auto"/>
              <w:ind w:left="2014" w:firstLine="0"/>
            </w:pPr>
            <w:r>
              <w:rPr>
                <w:rFonts w:ascii="Arial" w:eastAsia="Arial" w:hAnsi="Arial" w:cs="Arial"/>
                <w:sz w:val="20"/>
              </w:rPr>
              <w:t xml:space="preserve">Child-Pugh C </w:t>
            </w:r>
          </w:p>
        </w:tc>
        <w:tc>
          <w:tcPr>
            <w:tcW w:w="2340" w:type="dxa"/>
            <w:gridSpan w:val="2"/>
            <w:tcBorders>
              <w:top w:val="nil"/>
              <w:left w:val="nil"/>
              <w:bottom w:val="single" w:sz="12" w:space="0" w:color="000000"/>
              <w:right w:val="nil"/>
            </w:tcBorders>
          </w:tcPr>
          <w:p w14:paraId="3AC88AAF" w14:textId="77777777" w:rsidR="000B3C5C" w:rsidRDefault="000B3C5C">
            <w:pPr>
              <w:spacing w:after="160" w:line="259" w:lineRule="auto"/>
              <w:ind w:left="0" w:firstLine="0"/>
            </w:pPr>
          </w:p>
        </w:tc>
        <w:tc>
          <w:tcPr>
            <w:tcW w:w="1253" w:type="dxa"/>
            <w:tcBorders>
              <w:top w:val="nil"/>
              <w:left w:val="nil"/>
              <w:bottom w:val="single" w:sz="12" w:space="0" w:color="000000"/>
              <w:right w:val="nil"/>
            </w:tcBorders>
          </w:tcPr>
          <w:p w14:paraId="3A7D3DE1" w14:textId="77777777" w:rsidR="000B3C5C" w:rsidRDefault="000B3C5C">
            <w:pPr>
              <w:spacing w:after="160" w:line="259" w:lineRule="auto"/>
              <w:ind w:left="0" w:firstLine="0"/>
            </w:pPr>
          </w:p>
        </w:tc>
        <w:tc>
          <w:tcPr>
            <w:tcW w:w="790" w:type="dxa"/>
            <w:tcBorders>
              <w:top w:val="nil"/>
              <w:left w:val="nil"/>
              <w:bottom w:val="single" w:sz="12" w:space="0" w:color="000000"/>
              <w:right w:val="nil"/>
            </w:tcBorders>
          </w:tcPr>
          <w:p w14:paraId="71BBC690" w14:textId="77777777" w:rsidR="000B3C5C" w:rsidRDefault="00ED192D">
            <w:pPr>
              <w:spacing w:after="0" w:line="259" w:lineRule="auto"/>
              <w:ind w:left="211" w:firstLine="0"/>
            </w:pPr>
            <w:r>
              <w:rPr>
                <w:rFonts w:ascii="Arial" w:eastAsia="Arial" w:hAnsi="Arial" w:cs="Arial"/>
                <w:sz w:val="20"/>
              </w:rPr>
              <w:t xml:space="preserve">&gt;9 </w:t>
            </w:r>
          </w:p>
        </w:tc>
        <w:tc>
          <w:tcPr>
            <w:tcW w:w="1856" w:type="dxa"/>
            <w:tcBorders>
              <w:top w:val="nil"/>
              <w:left w:val="nil"/>
              <w:bottom w:val="single" w:sz="12" w:space="0" w:color="000000"/>
              <w:right w:val="nil"/>
            </w:tcBorders>
          </w:tcPr>
          <w:p w14:paraId="4BBD7CBF" w14:textId="77777777" w:rsidR="000B3C5C" w:rsidRDefault="000B3C5C">
            <w:pPr>
              <w:spacing w:after="160" w:line="259" w:lineRule="auto"/>
              <w:ind w:left="0" w:firstLine="0"/>
            </w:pPr>
          </w:p>
        </w:tc>
      </w:tr>
      <w:tr w:rsidR="000B3C5C" w14:paraId="778841EF" w14:textId="77777777">
        <w:trPr>
          <w:trHeight w:val="782"/>
        </w:trPr>
        <w:tc>
          <w:tcPr>
            <w:tcW w:w="3447" w:type="dxa"/>
            <w:gridSpan w:val="2"/>
            <w:tcBorders>
              <w:top w:val="single" w:sz="12" w:space="0" w:color="000000"/>
              <w:left w:val="nil"/>
              <w:bottom w:val="single" w:sz="4" w:space="0" w:color="000000"/>
              <w:right w:val="nil"/>
            </w:tcBorders>
          </w:tcPr>
          <w:p w14:paraId="0049A0F0" w14:textId="77777777" w:rsidR="000B3C5C" w:rsidRDefault="00ED192D">
            <w:pPr>
              <w:spacing w:after="295" w:line="259" w:lineRule="auto"/>
              <w:ind w:left="108" w:firstLine="0"/>
            </w:pPr>
            <w:r>
              <w:rPr>
                <w:rFonts w:ascii="Arial" w:eastAsia="Arial" w:hAnsi="Arial" w:cs="Arial"/>
                <w:sz w:val="18"/>
              </w:rPr>
              <w:t xml:space="preserve"> </w:t>
            </w:r>
          </w:p>
          <w:p w14:paraId="23AFC891" w14:textId="77777777" w:rsidR="000B3C5C" w:rsidRDefault="00ED192D">
            <w:pPr>
              <w:spacing w:after="0" w:line="259" w:lineRule="auto"/>
              <w:ind w:left="108" w:firstLine="0"/>
            </w:pPr>
            <w:r>
              <w:rPr>
                <w:b/>
                <w:u w:val="single" w:color="000000"/>
              </w:rPr>
              <w:t>Scoring</w:t>
            </w:r>
            <w:r>
              <w:rPr>
                <w:b/>
              </w:rPr>
              <w:t xml:space="preserve"> </w:t>
            </w:r>
          </w:p>
        </w:tc>
        <w:tc>
          <w:tcPr>
            <w:tcW w:w="2340" w:type="dxa"/>
            <w:gridSpan w:val="2"/>
            <w:tcBorders>
              <w:top w:val="single" w:sz="12" w:space="0" w:color="000000"/>
              <w:left w:val="nil"/>
              <w:bottom w:val="single" w:sz="4" w:space="0" w:color="000000"/>
              <w:right w:val="nil"/>
            </w:tcBorders>
          </w:tcPr>
          <w:p w14:paraId="29AE310E" w14:textId="77777777" w:rsidR="000B3C5C" w:rsidRDefault="000B3C5C">
            <w:pPr>
              <w:spacing w:after="160" w:line="259" w:lineRule="auto"/>
              <w:ind w:left="0" w:firstLine="0"/>
            </w:pPr>
          </w:p>
        </w:tc>
        <w:tc>
          <w:tcPr>
            <w:tcW w:w="1253" w:type="dxa"/>
            <w:tcBorders>
              <w:top w:val="single" w:sz="12" w:space="0" w:color="000000"/>
              <w:left w:val="nil"/>
              <w:bottom w:val="single" w:sz="4" w:space="0" w:color="000000"/>
              <w:right w:val="nil"/>
            </w:tcBorders>
          </w:tcPr>
          <w:p w14:paraId="1A9CA7CD" w14:textId="77777777" w:rsidR="000B3C5C" w:rsidRDefault="000B3C5C">
            <w:pPr>
              <w:spacing w:after="160" w:line="259" w:lineRule="auto"/>
              <w:ind w:left="0" w:firstLine="0"/>
            </w:pPr>
          </w:p>
        </w:tc>
        <w:tc>
          <w:tcPr>
            <w:tcW w:w="790" w:type="dxa"/>
            <w:tcBorders>
              <w:top w:val="single" w:sz="12" w:space="0" w:color="000000"/>
              <w:left w:val="nil"/>
              <w:bottom w:val="single" w:sz="4" w:space="0" w:color="000000"/>
              <w:right w:val="nil"/>
            </w:tcBorders>
          </w:tcPr>
          <w:p w14:paraId="06DE226B" w14:textId="77777777" w:rsidR="000B3C5C" w:rsidRDefault="000B3C5C">
            <w:pPr>
              <w:spacing w:after="160" w:line="259" w:lineRule="auto"/>
              <w:ind w:left="0" w:firstLine="0"/>
            </w:pPr>
          </w:p>
        </w:tc>
        <w:tc>
          <w:tcPr>
            <w:tcW w:w="1856" w:type="dxa"/>
            <w:tcBorders>
              <w:top w:val="single" w:sz="12" w:space="0" w:color="000000"/>
              <w:left w:val="nil"/>
              <w:bottom w:val="single" w:sz="4" w:space="0" w:color="000000"/>
              <w:right w:val="nil"/>
            </w:tcBorders>
          </w:tcPr>
          <w:p w14:paraId="12DB062A" w14:textId="77777777" w:rsidR="000B3C5C" w:rsidRDefault="000B3C5C">
            <w:pPr>
              <w:spacing w:after="160" w:line="259" w:lineRule="auto"/>
              <w:ind w:left="0" w:firstLine="0"/>
            </w:pPr>
          </w:p>
        </w:tc>
      </w:tr>
      <w:tr w:rsidR="000B3C5C" w14:paraId="20B569B0" w14:textId="77777777">
        <w:trPr>
          <w:trHeight w:val="360"/>
        </w:trPr>
        <w:tc>
          <w:tcPr>
            <w:tcW w:w="3447" w:type="dxa"/>
            <w:gridSpan w:val="2"/>
            <w:tcBorders>
              <w:top w:val="single" w:sz="4" w:space="0" w:color="000000"/>
              <w:left w:val="nil"/>
              <w:bottom w:val="single" w:sz="4" w:space="0" w:color="000000"/>
              <w:right w:val="nil"/>
            </w:tcBorders>
          </w:tcPr>
          <w:p w14:paraId="4156755F" w14:textId="77777777" w:rsidR="000B3C5C" w:rsidRDefault="00ED192D">
            <w:pPr>
              <w:spacing w:after="0" w:line="259" w:lineRule="auto"/>
              <w:ind w:left="1234" w:firstLine="0"/>
            </w:pPr>
            <w:r>
              <w:rPr>
                <w:rFonts w:ascii="Arial" w:eastAsia="Arial" w:hAnsi="Arial" w:cs="Arial"/>
                <w:b/>
                <w:sz w:val="20"/>
              </w:rPr>
              <w:t xml:space="preserve"> </w:t>
            </w:r>
          </w:p>
        </w:tc>
        <w:tc>
          <w:tcPr>
            <w:tcW w:w="2340" w:type="dxa"/>
            <w:gridSpan w:val="2"/>
            <w:tcBorders>
              <w:top w:val="single" w:sz="4" w:space="0" w:color="000000"/>
              <w:left w:val="nil"/>
              <w:bottom w:val="single" w:sz="4" w:space="0" w:color="000000"/>
              <w:right w:val="nil"/>
            </w:tcBorders>
          </w:tcPr>
          <w:p w14:paraId="2CE1879E" w14:textId="77777777" w:rsidR="000B3C5C" w:rsidRDefault="000B3C5C">
            <w:pPr>
              <w:spacing w:after="160" w:line="259" w:lineRule="auto"/>
              <w:ind w:left="0" w:firstLine="0"/>
            </w:pPr>
          </w:p>
        </w:tc>
        <w:tc>
          <w:tcPr>
            <w:tcW w:w="1253" w:type="dxa"/>
            <w:tcBorders>
              <w:top w:val="single" w:sz="4" w:space="0" w:color="000000"/>
              <w:left w:val="nil"/>
              <w:bottom w:val="single" w:sz="4" w:space="0" w:color="000000"/>
              <w:right w:val="nil"/>
            </w:tcBorders>
          </w:tcPr>
          <w:p w14:paraId="631C8486" w14:textId="77777777" w:rsidR="000B3C5C" w:rsidRDefault="00ED192D">
            <w:pPr>
              <w:spacing w:after="0" w:line="259" w:lineRule="auto"/>
              <w:ind w:firstLine="0"/>
            </w:pPr>
            <w:r>
              <w:rPr>
                <w:rFonts w:ascii="Arial" w:eastAsia="Arial" w:hAnsi="Arial" w:cs="Arial"/>
                <w:b/>
                <w:sz w:val="20"/>
              </w:rPr>
              <w:t xml:space="preserve">Score </w:t>
            </w:r>
          </w:p>
        </w:tc>
        <w:tc>
          <w:tcPr>
            <w:tcW w:w="790" w:type="dxa"/>
            <w:tcBorders>
              <w:top w:val="single" w:sz="4" w:space="0" w:color="000000"/>
              <w:left w:val="nil"/>
              <w:bottom w:val="single" w:sz="4" w:space="0" w:color="000000"/>
              <w:right w:val="nil"/>
            </w:tcBorders>
          </w:tcPr>
          <w:p w14:paraId="5814F77F" w14:textId="77777777" w:rsidR="000B3C5C" w:rsidRDefault="000B3C5C">
            <w:pPr>
              <w:spacing w:after="160" w:line="259" w:lineRule="auto"/>
              <w:ind w:left="0" w:firstLine="0"/>
            </w:pPr>
          </w:p>
        </w:tc>
        <w:tc>
          <w:tcPr>
            <w:tcW w:w="1856" w:type="dxa"/>
            <w:tcBorders>
              <w:top w:val="single" w:sz="4" w:space="0" w:color="000000"/>
              <w:left w:val="nil"/>
              <w:bottom w:val="single" w:sz="4" w:space="0" w:color="000000"/>
              <w:right w:val="nil"/>
            </w:tcBorders>
          </w:tcPr>
          <w:p w14:paraId="3767B5C7" w14:textId="77777777" w:rsidR="000B3C5C" w:rsidRDefault="000B3C5C">
            <w:pPr>
              <w:spacing w:after="160" w:line="259" w:lineRule="auto"/>
              <w:ind w:left="0" w:firstLine="0"/>
            </w:pPr>
          </w:p>
        </w:tc>
      </w:tr>
      <w:tr w:rsidR="000B3C5C" w14:paraId="7325C975" w14:textId="77777777">
        <w:trPr>
          <w:trHeight w:val="376"/>
        </w:trPr>
        <w:tc>
          <w:tcPr>
            <w:tcW w:w="3447" w:type="dxa"/>
            <w:gridSpan w:val="2"/>
            <w:tcBorders>
              <w:top w:val="single" w:sz="4" w:space="0" w:color="000000"/>
              <w:left w:val="nil"/>
              <w:bottom w:val="nil"/>
              <w:right w:val="nil"/>
            </w:tcBorders>
          </w:tcPr>
          <w:p w14:paraId="6AA448F8" w14:textId="77777777" w:rsidR="000B3C5C" w:rsidRDefault="00ED192D">
            <w:pPr>
              <w:spacing w:after="0" w:line="259" w:lineRule="auto"/>
              <w:ind w:left="914" w:firstLine="0"/>
            </w:pPr>
            <w:r>
              <w:rPr>
                <w:rFonts w:ascii="Arial" w:eastAsia="Arial" w:hAnsi="Arial" w:cs="Arial"/>
                <w:sz w:val="20"/>
              </w:rPr>
              <w:t xml:space="preserve">Measure </w:t>
            </w:r>
          </w:p>
        </w:tc>
        <w:tc>
          <w:tcPr>
            <w:tcW w:w="2340" w:type="dxa"/>
            <w:gridSpan w:val="2"/>
            <w:tcBorders>
              <w:top w:val="single" w:sz="4" w:space="0" w:color="000000"/>
              <w:left w:val="nil"/>
              <w:bottom w:val="nil"/>
              <w:right w:val="nil"/>
            </w:tcBorders>
          </w:tcPr>
          <w:p w14:paraId="3B904F99" w14:textId="77777777" w:rsidR="000B3C5C" w:rsidRDefault="00ED192D">
            <w:pPr>
              <w:spacing w:after="0" w:line="259" w:lineRule="auto"/>
              <w:ind w:left="0" w:firstLine="0"/>
            </w:pPr>
            <w:r>
              <w:rPr>
                <w:rFonts w:ascii="Arial" w:eastAsia="Arial" w:hAnsi="Arial" w:cs="Arial"/>
                <w:sz w:val="20"/>
              </w:rPr>
              <w:t xml:space="preserve">1 Point </w:t>
            </w:r>
          </w:p>
        </w:tc>
        <w:tc>
          <w:tcPr>
            <w:tcW w:w="1253" w:type="dxa"/>
            <w:tcBorders>
              <w:top w:val="single" w:sz="4" w:space="0" w:color="000000"/>
              <w:left w:val="nil"/>
              <w:bottom w:val="nil"/>
              <w:right w:val="nil"/>
            </w:tcBorders>
          </w:tcPr>
          <w:p w14:paraId="2A4A83F0" w14:textId="77777777" w:rsidR="000B3C5C" w:rsidRDefault="00ED192D">
            <w:pPr>
              <w:spacing w:after="0" w:line="259" w:lineRule="auto"/>
              <w:ind w:left="89" w:firstLine="0"/>
            </w:pPr>
            <w:r>
              <w:rPr>
                <w:rFonts w:ascii="Arial" w:eastAsia="Arial" w:hAnsi="Arial" w:cs="Arial"/>
                <w:sz w:val="20"/>
              </w:rPr>
              <w:t xml:space="preserve">2 Points </w:t>
            </w:r>
          </w:p>
        </w:tc>
        <w:tc>
          <w:tcPr>
            <w:tcW w:w="790" w:type="dxa"/>
            <w:tcBorders>
              <w:top w:val="single" w:sz="4" w:space="0" w:color="000000"/>
              <w:left w:val="nil"/>
              <w:bottom w:val="nil"/>
              <w:right w:val="nil"/>
            </w:tcBorders>
          </w:tcPr>
          <w:p w14:paraId="07B4627C" w14:textId="77777777" w:rsidR="000B3C5C" w:rsidRDefault="000B3C5C">
            <w:pPr>
              <w:spacing w:after="160" w:line="259" w:lineRule="auto"/>
              <w:ind w:left="0" w:firstLine="0"/>
            </w:pPr>
          </w:p>
        </w:tc>
        <w:tc>
          <w:tcPr>
            <w:tcW w:w="1856" w:type="dxa"/>
            <w:tcBorders>
              <w:top w:val="single" w:sz="4" w:space="0" w:color="000000"/>
              <w:left w:val="nil"/>
              <w:bottom w:val="nil"/>
              <w:right w:val="nil"/>
            </w:tcBorders>
          </w:tcPr>
          <w:p w14:paraId="2E32EFC9" w14:textId="77777777" w:rsidR="000B3C5C" w:rsidRDefault="00ED192D">
            <w:pPr>
              <w:spacing w:after="0" w:line="259" w:lineRule="auto"/>
              <w:ind w:left="420" w:firstLine="0"/>
            </w:pPr>
            <w:r>
              <w:rPr>
                <w:rFonts w:ascii="Arial" w:eastAsia="Arial" w:hAnsi="Arial" w:cs="Arial"/>
                <w:sz w:val="20"/>
              </w:rPr>
              <w:t xml:space="preserve">3 Points </w:t>
            </w:r>
          </w:p>
        </w:tc>
      </w:tr>
      <w:tr w:rsidR="000B3C5C" w14:paraId="76DAABC9" w14:textId="77777777">
        <w:trPr>
          <w:trHeight w:val="351"/>
        </w:trPr>
        <w:tc>
          <w:tcPr>
            <w:tcW w:w="3447" w:type="dxa"/>
            <w:gridSpan w:val="2"/>
            <w:tcBorders>
              <w:top w:val="nil"/>
              <w:left w:val="nil"/>
              <w:bottom w:val="nil"/>
              <w:right w:val="nil"/>
            </w:tcBorders>
          </w:tcPr>
          <w:p w14:paraId="0BAE8CBC" w14:textId="77777777" w:rsidR="000B3C5C" w:rsidRDefault="00ED192D">
            <w:pPr>
              <w:spacing w:after="0" w:line="259" w:lineRule="auto"/>
              <w:ind w:left="970" w:firstLine="0"/>
            </w:pPr>
            <w:r>
              <w:rPr>
                <w:rFonts w:ascii="Arial" w:eastAsia="Arial" w:hAnsi="Arial" w:cs="Arial"/>
                <w:sz w:val="20"/>
              </w:rPr>
              <w:t xml:space="preserve">Ascites </w:t>
            </w:r>
          </w:p>
        </w:tc>
        <w:tc>
          <w:tcPr>
            <w:tcW w:w="2340" w:type="dxa"/>
            <w:gridSpan w:val="2"/>
            <w:tcBorders>
              <w:top w:val="nil"/>
              <w:left w:val="nil"/>
              <w:bottom w:val="nil"/>
              <w:right w:val="nil"/>
            </w:tcBorders>
          </w:tcPr>
          <w:p w14:paraId="4259CC1B" w14:textId="77777777" w:rsidR="000B3C5C" w:rsidRDefault="00ED192D">
            <w:pPr>
              <w:spacing w:after="0" w:line="259" w:lineRule="auto"/>
              <w:ind w:left="0" w:firstLine="0"/>
            </w:pPr>
            <w:r>
              <w:rPr>
                <w:rFonts w:ascii="Arial" w:eastAsia="Arial" w:hAnsi="Arial" w:cs="Arial"/>
                <w:sz w:val="20"/>
              </w:rPr>
              <w:t xml:space="preserve">Absent </w:t>
            </w:r>
          </w:p>
        </w:tc>
        <w:tc>
          <w:tcPr>
            <w:tcW w:w="1253" w:type="dxa"/>
            <w:tcBorders>
              <w:top w:val="nil"/>
              <w:left w:val="nil"/>
              <w:bottom w:val="nil"/>
              <w:right w:val="nil"/>
            </w:tcBorders>
          </w:tcPr>
          <w:p w14:paraId="09F8106A" w14:textId="77777777" w:rsidR="000B3C5C" w:rsidRDefault="00ED192D">
            <w:pPr>
              <w:spacing w:after="0" w:line="259" w:lineRule="auto"/>
              <w:ind w:left="181" w:firstLine="0"/>
            </w:pPr>
            <w:r>
              <w:rPr>
                <w:rFonts w:ascii="Arial" w:eastAsia="Arial" w:hAnsi="Arial" w:cs="Arial"/>
                <w:sz w:val="20"/>
              </w:rPr>
              <w:t xml:space="preserve">Slight </w:t>
            </w:r>
          </w:p>
        </w:tc>
        <w:tc>
          <w:tcPr>
            <w:tcW w:w="790" w:type="dxa"/>
            <w:tcBorders>
              <w:top w:val="nil"/>
              <w:left w:val="nil"/>
              <w:bottom w:val="nil"/>
              <w:right w:val="nil"/>
            </w:tcBorders>
          </w:tcPr>
          <w:p w14:paraId="0C9A5581" w14:textId="77777777" w:rsidR="000B3C5C" w:rsidRDefault="000B3C5C">
            <w:pPr>
              <w:spacing w:after="160" w:line="259" w:lineRule="auto"/>
              <w:ind w:left="0" w:firstLine="0"/>
            </w:pPr>
          </w:p>
        </w:tc>
        <w:tc>
          <w:tcPr>
            <w:tcW w:w="1856" w:type="dxa"/>
            <w:tcBorders>
              <w:top w:val="nil"/>
              <w:left w:val="nil"/>
              <w:bottom w:val="nil"/>
              <w:right w:val="nil"/>
            </w:tcBorders>
          </w:tcPr>
          <w:p w14:paraId="17CEE2AC" w14:textId="77777777" w:rsidR="000B3C5C" w:rsidRDefault="00ED192D">
            <w:pPr>
              <w:spacing w:after="0" w:line="259" w:lineRule="auto"/>
              <w:ind w:left="370" w:firstLine="0"/>
            </w:pPr>
            <w:r>
              <w:rPr>
                <w:rFonts w:ascii="Arial" w:eastAsia="Arial" w:hAnsi="Arial" w:cs="Arial"/>
                <w:sz w:val="20"/>
              </w:rPr>
              <w:t xml:space="preserve">Moderate </w:t>
            </w:r>
          </w:p>
        </w:tc>
      </w:tr>
      <w:tr w:rsidR="000B3C5C" w14:paraId="29F817DA" w14:textId="77777777">
        <w:trPr>
          <w:trHeight w:val="349"/>
        </w:trPr>
        <w:tc>
          <w:tcPr>
            <w:tcW w:w="3447" w:type="dxa"/>
            <w:gridSpan w:val="2"/>
            <w:tcBorders>
              <w:top w:val="nil"/>
              <w:left w:val="nil"/>
              <w:bottom w:val="nil"/>
              <w:right w:val="nil"/>
            </w:tcBorders>
          </w:tcPr>
          <w:p w14:paraId="3DFD2CEA" w14:textId="77777777" w:rsidR="000B3C5C" w:rsidRDefault="00ED192D">
            <w:pPr>
              <w:spacing w:after="0" w:line="259" w:lineRule="auto"/>
              <w:ind w:left="382" w:firstLine="0"/>
            </w:pPr>
            <w:r>
              <w:rPr>
                <w:rFonts w:ascii="Arial" w:eastAsia="Arial" w:hAnsi="Arial" w:cs="Arial"/>
                <w:sz w:val="20"/>
              </w:rPr>
              <w:t xml:space="preserve">Serum bilirubin (mg/dL) </w:t>
            </w:r>
          </w:p>
        </w:tc>
        <w:tc>
          <w:tcPr>
            <w:tcW w:w="2340" w:type="dxa"/>
            <w:gridSpan w:val="2"/>
            <w:tcBorders>
              <w:top w:val="nil"/>
              <w:left w:val="nil"/>
              <w:bottom w:val="nil"/>
              <w:right w:val="nil"/>
            </w:tcBorders>
          </w:tcPr>
          <w:p w14:paraId="34B0E041" w14:textId="77777777" w:rsidR="000B3C5C" w:rsidRDefault="00ED192D">
            <w:pPr>
              <w:spacing w:after="0" w:line="259" w:lineRule="auto"/>
              <w:ind w:left="94" w:firstLine="0"/>
            </w:pPr>
            <w:r>
              <w:rPr>
                <w:rFonts w:ascii="Arial" w:eastAsia="Arial" w:hAnsi="Arial" w:cs="Arial"/>
                <w:sz w:val="20"/>
              </w:rPr>
              <w:t xml:space="preserve">&lt;2.0 </w:t>
            </w:r>
          </w:p>
        </w:tc>
        <w:tc>
          <w:tcPr>
            <w:tcW w:w="1253" w:type="dxa"/>
            <w:tcBorders>
              <w:top w:val="nil"/>
              <w:left w:val="nil"/>
              <w:bottom w:val="nil"/>
              <w:right w:val="nil"/>
            </w:tcBorders>
          </w:tcPr>
          <w:p w14:paraId="0097EFE4" w14:textId="77777777" w:rsidR="000B3C5C" w:rsidRDefault="00ED192D">
            <w:pPr>
              <w:spacing w:after="0" w:line="259" w:lineRule="auto"/>
              <w:ind w:left="65" w:firstLine="0"/>
            </w:pPr>
            <w:r>
              <w:rPr>
                <w:rFonts w:ascii="Arial" w:eastAsia="Arial" w:hAnsi="Arial" w:cs="Arial"/>
                <w:sz w:val="20"/>
              </w:rPr>
              <w:t xml:space="preserve">2.0 – 3.0 </w:t>
            </w:r>
          </w:p>
        </w:tc>
        <w:tc>
          <w:tcPr>
            <w:tcW w:w="790" w:type="dxa"/>
            <w:tcBorders>
              <w:top w:val="nil"/>
              <w:left w:val="nil"/>
              <w:bottom w:val="nil"/>
              <w:right w:val="nil"/>
            </w:tcBorders>
          </w:tcPr>
          <w:p w14:paraId="5FDA9BDF" w14:textId="77777777" w:rsidR="000B3C5C" w:rsidRDefault="000B3C5C">
            <w:pPr>
              <w:spacing w:after="160" w:line="259" w:lineRule="auto"/>
              <w:ind w:left="0" w:firstLine="0"/>
            </w:pPr>
          </w:p>
        </w:tc>
        <w:tc>
          <w:tcPr>
            <w:tcW w:w="1856" w:type="dxa"/>
            <w:tcBorders>
              <w:top w:val="nil"/>
              <w:left w:val="nil"/>
              <w:bottom w:val="nil"/>
              <w:right w:val="nil"/>
            </w:tcBorders>
          </w:tcPr>
          <w:p w14:paraId="609AB3FF" w14:textId="77777777" w:rsidR="000B3C5C" w:rsidRDefault="00ED192D">
            <w:pPr>
              <w:spacing w:after="0" w:line="259" w:lineRule="auto"/>
              <w:ind w:left="555" w:firstLine="0"/>
            </w:pPr>
            <w:r>
              <w:rPr>
                <w:rFonts w:ascii="Arial" w:eastAsia="Arial" w:hAnsi="Arial" w:cs="Arial"/>
                <w:sz w:val="20"/>
              </w:rPr>
              <w:t xml:space="preserve">&gt;3.0 </w:t>
            </w:r>
          </w:p>
        </w:tc>
      </w:tr>
      <w:tr w:rsidR="000B3C5C" w14:paraId="2C121B2E" w14:textId="77777777">
        <w:trPr>
          <w:trHeight w:val="349"/>
        </w:trPr>
        <w:tc>
          <w:tcPr>
            <w:tcW w:w="3447" w:type="dxa"/>
            <w:gridSpan w:val="2"/>
            <w:tcBorders>
              <w:top w:val="nil"/>
              <w:left w:val="nil"/>
              <w:bottom w:val="nil"/>
              <w:right w:val="nil"/>
            </w:tcBorders>
          </w:tcPr>
          <w:p w14:paraId="2DB7D459" w14:textId="77777777" w:rsidR="000B3C5C" w:rsidRDefault="00ED192D">
            <w:pPr>
              <w:spacing w:after="0" w:line="259" w:lineRule="auto"/>
              <w:ind w:left="444" w:firstLine="0"/>
            </w:pPr>
            <w:r>
              <w:rPr>
                <w:rFonts w:ascii="Arial" w:eastAsia="Arial" w:hAnsi="Arial" w:cs="Arial"/>
                <w:sz w:val="20"/>
              </w:rPr>
              <w:t xml:space="preserve">Serum albumin (g/dL) </w:t>
            </w:r>
          </w:p>
        </w:tc>
        <w:tc>
          <w:tcPr>
            <w:tcW w:w="2340" w:type="dxa"/>
            <w:gridSpan w:val="2"/>
            <w:tcBorders>
              <w:top w:val="nil"/>
              <w:left w:val="nil"/>
              <w:bottom w:val="nil"/>
              <w:right w:val="nil"/>
            </w:tcBorders>
          </w:tcPr>
          <w:p w14:paraId="005A1F1F" w14:textId="77777777" w:rsidR="000B3C5C" w:rsidRDefault="00ED192D">
            <w:pPr>
              <w:spacing w:after="0" w:line="259" w:lineRule="auto"/>
              <w:ind w:left="94" w:firstLine="0"/>
            </w:pPr>
            <w:r>
              <w:rPr>
                <w:rFonts w:ascii="Arial" w:eastAsia="Arial" w:hAnsi="Arial" w:cs="Arial"/>
                <w:sz w:val="20"/>
              </w:rPr>
              <w:t xml:space="preserve">&gt;3.5 </w:t>
            </w:r>
          </w:p>
        </w:tc>
        <w:tc>
          <w:tcPr>
            <w:tcW w:w="1253" w:type="dxa"/>
            <w:tcBorders>
              <w:top w:val="nil"/>
              <w:left w:val="nil"/>
              <w:bottom w:val="nil"/>
              <w:right w:val="nil"/>
            </w:tcBorders>
          </w:tcPr>
          <w:p w14:paraId="1C689200" w14:textId="77777777" w:rsidR="000B3C5C" w:rsidRDefault="00ED192D">
            <w:pPr>
              <w:spacing w:after="0" w:line="259" w:lineRule="auto"/>
              <w:ind w:left="65" w:firstLine="0"/>
            </w:pPr>
            <w:r>
              <w:rPr>
                <w:rFonts w:ascii="Arial" w:eastAsia="Arial" w:hAnsi="Arial" w:cs="Arial"/>
                <w:sz w:val="20"/>
              </w:rPr>
              <w:t xml:space="preserve">2.8 – 3.5 </w:t>
            </w:r>
          </w:p>
        </w:tc>
        <w:tc>
          <w:tcPr>
            <w:tcW w:w="790" w:type="dxa"/>
            <w:tcBorders>
              <w:top w:val="nil"/>
              <w:left w:val="nil"/>
              <w:bottom w:val="nil"/>
              <w:right w:val="nil"/>
            </w:tcBorders>
          </w:tcPr>
          <w:p w14:paraId="72B5C425" w14:textId="77777777" w:rsidR="000B3C5C" w:rsidRDefault="000B3C5C">
            <w:pPr>
              <w:spacing w:after="160" w:line="259" w:lineRule="auto"/>
              <w:ind w:left="0" w:firstLine="0"/>
            </w:pPr>
          </w:p>
        </w:tc>
        <w:tc>
          <w:tcPr>
            <w:tcW w:w="1856" w:type="dxa"/>
            <w:tcBorders>
              <w:top w:val="nil"/>
              <w:left w:val="nil"/>
              <w:bottom w:val="nil"/>
              <w:right w:val="nil"/>
            </w:tcBorders>
          </w:tcPr>
          <w:p w14:paraId="4232A5DE" w14:textId="77777777" w:rsidR="000B3C5C" w:rsidRDefault="00ED192D">
            <w:pPr>
              <w:spacing w:after="0" w:line="259" w:lineRule="auto"/>
              <w:ind w:left="555" w:firstLine="0"/>
            </w:pPr>
            <w:r>
              <w:rPr>
                <w:rFonts w:ascii="Arial" w:eastAsia="Arial" w:hAnsi="Arial" w:cs="Arial"/>
                <w:sz w:val="20"/>
              </w:rPr>
              <w:t xml:space="preserve">&lt;2.8 </w:t>
            </w:r>
          </w:p>
        </w:tc>
      </w:tr>
      <w:tr w:rsidR="000B3C5C" w14:paraId="69D28E3E" w14:textId="77777777">
        <w:trPr>
          <w:trHeight w:val="640"/>
        </w:trPr>
        <w:tc>
          <w:tcPr>
            <w:tcW w:w="3447" w:type="dxa"/>
            <w:gridSpan w:val="2"/>
            <w:tcBorders>
              <w:top w:val="nil"/>
              <w:left w:val="nil"/>
              <w:bottom w:val="nil"/>
              <w:right w:val="nil"/>
            </w:tcBorders>
          </w:tcPr>
          <w:p w14:paraId="4DA96BE8" w14:textId="77777777" w:rsidR="000B3C5C" w:rsidRDefault="00ED192D">
            <w:pPr>
              <w:spacing w:after="0" w:line="259" w:lineRule="auto"/>
              <w:ind w:left="996" w:right="1376" w:hanging="343"/>
            </w:pPr>
            <w:r>
              <w:rPr>
                <w:rFonts w:ascii="Arial" w:eastAsia="Arial" w:hAnsi="Arial" w:cs="Arial"/>
                <w:sz w:val="20"/>
              </w:rPr>
              <w:t xml:space="preserve">PT prolongation or INR </w:t>
            </w:r>
          </w:p>
        </w:tc>
        <w:tc>
          <w:tcPr>
            <w:tcW w:w="2340" w:type="dxa"/>
            <w:gridSpan w:val="2"/>
            <w:tcBorders>
              <w:top w:val="nil"/>
              <w:left w:val="nil"/>
              <w:bottom w:val="nil"/>
              <w:right w:val="nil"/>
            </w:tcBorders>
          </w:tcPr>
          <w:p w14:paraId="779D85F5" w14:textId="77777777" w:rsidR="000B3C5C" w:rsidRDefault="00ED192D">
            <w:pPr>
              <w:spacing w:after="43" w:line="259" w:lineRule="auto"/>
              <w:ind w:firstLine="0"/>
            </w:pPr>
            <w:r>
              <w:rPr>
                <w:rFonts w:ascii="Arial" w:eastAsia="Arial" w:hAnsi="Arial" w:cs="Arial"/>
                <w:sz w:val="20"/>
              </w:rPr>
              <w:t xml:space="preserve">&lt;4 sec </w:t>
            </w:r>
          </w:p>
          <w:p w14:paraId="712910AC" w14:textId="77777777" w:rsidR="000B3C5C" w:rsidRDefault="00ED192D">
            <w:pPr>
              <w:spacing w:after="0" w:line="259" w:lineRule="auto"/>
              <w:ind w:left="94" w:firstLine="0"/>
            </w:pPr>
            <w:r>
              <w:rPr>
                <w:rFonts w:ascii="Arial" w:eastAsia="Arial" w:hAnsi="Arial" w:cs="Arial"/>
                <w:sz w:val="20"/>
              </w:rPr>
              <w:t xml:space="preserve">&lt;1.7 </w:t>
            </w:r>
          </w:p>
        </w:tc>
        <w:tc>
          <w:tcPr>
            <w:tcW w:w="1253" w:type="dxa"/>
            <w:tcBorders>
              <w:top w:val="nil"/>
              <w:left w:val="nil"/>
              <w:bottom w:val="nil"/>
              <w:right w:val="nil"/>
            </w:tcBorders>
          </w:tcPr>
          <w:p w14:paraId="4F717C50" w14:textId="77777777" w:rsidR="000B3C5C" w:rsidRDefault="00ED192D">
            <w:pPr>
              <w:spacing w:after="43" w:line="259" w:lineRule="auto"/>
              <w:ind w:left="53" w:firstLine="0"/>
            </w:pPr>
            <w:r>
              <w:rPr>
                <w:rFonts w:ascii="Arial" w:eastAsia="Arial" w:hAnsi="Arial" w:cs="Arial"/>
                <w:sz w:val="20"/>
              </w:rPr>
              <w:t xml:space="preserve">4 – 6 sec </w:t>
            </w:r>
          </w:p>
          <w:p w14:paraId="4FBADD35" w14:textId="77777777" w:rsidR="000B3C5C" w:rsidRDefault="00ED192D">
            <w:pPr>
              <w:spacing w:after="0" w:line="259" w:lineRule="auto"/>
              <w:ind w:left="65" w:firstLine="0"/>
            </w:pPr>
            <w:r>
              <w:rPr>
                <w:rFonts w:ascii="Arial" w:eastAsia="Arial" w:hAnsi="Arial" w:cs="Arial"/>
                <w:sz w:val="20"/>
              </w:rPr>
              <w:t xml:space="preserve">1.7 – 2.3 </w:t>
            </w:r>
          </w:p>
        </w:tc>
        <w:tc>
          <w:tcPr>
            <w:tcW w:w="790" w:type="dxa"/>
            <w:tcBorders>
              <w:top w:val="nil"/>
              <w:left w:val="nil"/>
              <w:bottom w:val="nil"/>
              <w:right w:val="nil"/>
            </w:tcBorders>
          </w:tcPr>
          <w:p w14:paraId="4EC5136B" w14:textId="77777777" w:rsidR="000B3C5C" w:rsidRDefault="000B3C5C">
            <w:pPr>
              <w:spacing w:after="160" w:line="259" w:lineRule="auto"/>
              <w:ind w:left="0" w:firstLine="0"/>
            </w:pPr>
          </w:p>
        </w:tc>
        <w:tc>
          <w:tcPr>
            <w:tcW w:w="1856" w:type="dxa"/>
            <w:tcBorders>
              <w:top w:val="nil"/>
              <w:left w:val="nil"/>
              <w:bottom w:val="nil"/>
              <w:right w:val="nil"/>
            </w:tcBorders>
          </w:tcPr>
          <w:p w14:paraId="7986CF8D" w14:textId="77777777" w:rsidR="000B3C5C" w:rsidRDefault="00ED192D">
            <w:pPr>
              <w:spacing w:after="43" w:line="259" w:lineRule="auto"/>
              <w:ind w:left="473" w:firstLine="0"/>
            </w:pPr>
            <w:r>
              <w:rPr>
                <w:rFonts w:ascii="Arial" w:eastAsia="Arial" w:hAnsi="Arial" w:cs="Arial"/>
                <w:sz w:val="20"/>
              </w:rPr>
              <w:t xml:space="preserve">&gt;6 sec </w:t>
            </w:r>
          </w:p>
          <w:p w14:paraId="43D552B4" w14:textId="77777777" w:rsidR="000B3C5C" w:rsidRDefault="00ED192D">
            <w:pPr>
              <w:spacing w:after="0" w:line="259" w:lineRule="auto"/>
              <w:ind w:left="555" w:firstLine="0"/>
            </w:pPr>
            <w:r>
              <w:rPr>
                <w:rFonts w:ascii="Arial" w:eastAsia="Arial" w:hAnsi="Arial" w:cs="Arial"/>
                <w:sz w:val="20"/>
              </w:rPr>
              <w:t xml:space="preserve">&gt;2.3 </w:t>
            </w:r>
          </w:p>
        </w:tc>
      </w:tr>
      <w:tr w:rsidR="000B3C5C" w14:paraId="2C95341E" w14:textId="77777777">
        <w:trPr>
          <w:trHeight w:val="343"/>
        </w:trPr>
        <w:tc>
          <w:tcPr>
            <w:tcW w:w="3447" w:type="dxa"/>
            <w:gridSpan w:val="2"/>
            <w:tcBorders>
              <w:top w:val="nil"/>
              <w:left w:val="nil"/>
              <w:bottom w:val="single" w:sz="12" w:space="0" w:color="000000"/>
              <w:right w:val="nil"/>
            </w:tcBorders>
          </w:tcPr>
          <w:p w14:paraId="4DA7CBF8" w14:textId="77777777" w:rsidR="000B3C5C" w:rsidRDefault="00ED192D">
            <w:pPr>
              <w:spacing w:after="0" w:line="259" w:lineRule="auto"/>
              <w:ind w:left="413" w:firstLine="0"/>
            </w:pPr>
            <w:r>
              <w:rPr>
                <w:rFonts w:ascii="Arial" w:eastAsia="Arial" w:hAnsi="Arial" w:cs="Arial"/>
                <w:sz w:val="20"/>
              </w:rPr>
              <w:t xml:space="preserve">Encephalopathy grade </w:t>
            </w:r>
          </w:p>
        </w:tc>
        <w:tc>
          <w:tcPr>
            <w:tcW w:w="2340" w:type="dxa"/>
            <w:gridSpan w:val="2"/>
            <w:tcBorders>
              <w:top w:val="nil"/>
              <w:left w:val="nil"/>
              <w:bottom w:val="single" w:sz="12" w:space="0" w:color="000000"/>
              <w:right w:val="nil"/>
            </w:tcBorders>
          </w:tcPr>
          <w:p w14:paraId="3948D511" w14:textId="77777777" w:rsidR="000B3C5C" w:rsidRDefault="00ED192D">
            <w:pPr>
              <w:spacing w:after="0" w:line="259" w:lineRule="auto"/>
              <w:ind w:left="60" w:firstLine="0"/>
            </w:pPr>
            <w:r>
              <w:rPr>
                <w:rFonts w:ascii="Arial" w:eastAsia="Arial" w:hAnsi="Arial" w:cs="Arial"/>
                <w:sz w:val="20"/>
              </w:rPr>
              <w:t xml:space="preserve">None </w:t>
            </w:r>
          </w:p>
        </w:tc>
        <w:tc>
          <w:tcPr>
            <w:tcW w:w="1253" w:type="dxa"/>
            <w:tcBorders>
              <w:top w:val="nil"/>
              <w:left w:val="nil"/>
              <w:bottom w:val="single" w:sz="12" w:space="0" w:color="000000"/>
              <w:right w:val="nil"/>
            </w:tcBorders>
          </w:tcPr>
          <w:p w14:paraId="3A22BD33" w14:textId="77777777" w:rsidR="000B3C5C" w:rsidRDefault="00ED192D">
            <w:pPr>
              <w:spacing w:after="0" w:line="259" w:lineRule="auto"/>
              <w:ind w:left="202" w:firstLine="0"/>
            </w:pPr>
            <w:r>
              <w:rPr>
                <w:rFonts w:ascii="Arial" w:eastAsia="Arial" w:hAnsi="Arial" w:cs="Arial"/>
                <w:sz w:val="20"/>
              </w:rPr>
              <w:t xml:space="preserve">1 – 2 </w:t>
            </w:r>
          </w:p>
        </w:tc>
        <w:tc>
          <w:tcPr>
            <w:tcW w:w="790" w:type="dxa"/>
            <w:tcBorders>
              <w:top w:val="nil"/>
              <w:left w:val="nil"/>
              <w:bottom w:val="single" w:sz="12" w:space="0" w:color="000000"/>
              <w:right w:val="nil"/>
            </w:tcBorders>
          </w:tcPr>
          <w:p w14:paraId="61C12711" w14:textId="77777777" w:rsidR="000B3C5C" w:rsidRDefault="000B3C5C">
            <w:pPr>
              <w:spacing w:after="160" w:line="259" w:lineRule="auto"/>
              <w:ind w:left="0" w:firstLine="0"/>
            </w:pPr>
          </w:p>
        </w:tc>
        <w:tc>
          <w:tcPr>
            <w:tcW w:w="1856" w:type="dxa"/>
            <w:tcBorders>
              <w:top w:val="nil"/>
              <w:left w:val="nil"/>
              <w:bottom w:val="single" w:sz="12" w:space="0" w:color="000000"/>
              <w:right w:val="nil"/>
            </w:tcBorders>
          </w:tcPr>
          <w:p w14:paraId="4A049356" w14:textId="77777777" w:rsidR="000B3C5C" w:rsidRDefault="00ED192D">
            <w:pPr>
              <w:spacing w:after="0" w:line="259" w:lineRule="auto"/>
              <w:ind w:left="533" w:firstLine="0"/>
            </w:pPr>
            <w:r>
              <w:rPr>
                <w:rFonts w:ascii="Arial" w:eastAsia="Arial" w:hAnsi="Arial" w:cs="Arial"/>
                <w:sz w:val="20"/>
              </w:rPr>
              <w:t xml:space="preserve">3 – 4 </w:t>
            </w:r>
          </w:p>
        </w:tc>
      </w:tr>
    </w:tbl>
    <w:p w14:paraId="72FD2F9F" w14:textId="77777777" w:rsidR="000B3C5C" w:rsidRDefault="00ED192D">
      <w:pPr>
        <w:spacing w:after="0" w:line="259" w:lineRule="auto"/>
        <w:ind w:left="0" w:firstLine="0"/>
      </w:pPr>
      <w:r>
        <w:rPr>
          <w:rFonts w:ascii="Arial" w:eastAsia="Arial" w:hAnsi="Arial" w:cs="Arial"/>
          <w:sz w:val="18"/>
        </w:rPr>
        <w:t xml:space="preserve"> </w:t>
      </w:r>
    </w:p>
    <w:p w14:paraId="7618E6F6" w14:textId="77777777" w:rsidR="000B3C5C" w:rsidRDefault="00ED192D">
      <w:pPr>
        <w:pStyle w:val="Heading2"/>
        <w:spacing w:after="0" w:line="259" w:lineRule="auto"/>
        <w:ind w:left="-5"/>
      </w:pPr>
      <w:r>
        <w:rPr>
          <w:u w:val="single" w:color="000000"/>
        </w:rPr>
        <w:t>Encephalopathy Grading</w:t>
      </w:r>
      <w:r>
        <w:t xml:space="preserve"> </w:t>
      </w:r>
    </w:p>
    <w:tbl>
      <w:tblPr>
        <w:tblStyle w:val="TableGrid"/>
        <w:tblW w:w="9686" w:type="dxa"/>
        <w:tblInd w:w="-108" w:type="dxa"/>
        <w:tblCellMar>
          <w:top w:w="81" w:type="dxa"/>
          <w:left w:w="0" w:type="dxa"/>
          <w:bottom w:w="0" w:type="dxa"/>
          <w:right w:w="115" w:type="dxa"/>
        </w:tblCellMar>
        <w:tblLook w:val="04A0" w:firstRow="1" w:lastRow="0" w:firstColumn="1" w:lastColumn="0" w:noHBand="0" w:noVBand="1"/>
      </w:tblPr>
      <w:tblGrid>
        <w:gridCol w:w="3286"/>
        <w:gridCol w:w="6400"/>
      </w:tblGrid>
      <w:tr w:rsidR="000B3C5C" w14:paraId="78F9002F" w14:textId="77777777">
        <w:trPr>
          <w:trHeight w:val="360"/>
        </w:trPr>
        <w:tc>
          <w:tcPr>
            <w:tcW w:w="3286" w:type="dxa"/>
            <w:tcBorders>
              <w:top w:val="single" w:sz="4" w:space="0" w:color="000000"/>
              <w:left w:val="nil"/>
              <w:bottom w:val="single" w:sz="4" w:space="0" w:color="000000"/>
              <w:right w:val="nil"/>
            </w:tcBorders>
          </w:tcPr>
          <w:p w14:paraId="3461637A" w14:textId="77777777" w:rsidR="000B3C5C" w:rsidRDefault="00ED192D">
            <w:pPr>
              <w:spacing w:after="0" w:line="259" w:lineRule="auto"/>
              <w:ind w:left="144" w:firstLine="0"/>
            </w:pPr>
            <w:r>
              <w:rPr>
                <w:rFonts w:ascii="Arial" w:eastAsia="Arial" w:hAnsi="Arial" w:cs="Arial"/>
                <w:b/>
                <w:sz w:val="20"/>
              </w:rPr>
              <w:t xml:space="preserve">Encephalopathy Grade </w:t>
            </w:r>
          </w:p>
        </w:tc>
        <w:tc>
          <w:tcPr>
            <w:tcW w:w="6400" w:type="dxa"/>
            <w:tcBorders>
              <w:top w:val="single" w:sz="4" w:space="0" w:color="000000"/>
              <w:left w:val="nil"/>
              <w:bottom w:val="single" w:sz="4" w:space="0" w:color="000000"/>
              <w:right w:val="nil"/>
            </w:tcBorders>
          </w:tcPr>
          <w:p w14:paraId="17321FC1" w14:textId="77777777" w:rsidR="000B3C5C" w:rsidRDefault="00ED192D">
            <w:pPr>
              <w:spacing w:after="0" w:line="259" w:lineRule="auto"/>
              <w:ind w:left="1947" w:firstLine="0"/>
            </w:pPr>
            <w:r>
              <w:rPr>
                <w:rFonts w:ascii="Arial" w:eastAsia="Arial" w:hAnsi="Arial" w:cs="Arial"/>
                <w:b/>
                <w:sz w:val="20"/>
              </w:rPr>
              <w:t xml:space="preserve">Clinical Definition </w:t>
            </w:r>
          </w:p>
        </w:tc>
      </w:tr>
      <w:tr w:rsidR="000B3C5C" w14:paraId="11474084" w14:textId="77777777">
        <w:trPr>
          <w:trHeight w:val="376"/>
        </w:trPr>
        <w:tc>
          <w:tcPr>
            <w:tcW w:w="3286" w:type="dxa"/>
            <w:tcBorders>
              <w:top w:val="single" w:sz="4" w:space="0" w:color="000000"/>
              <w:left w:val="nil"/>
              <w:bottom w:val="nil"/>
              <w:right w:val="nil"/>
            </w:tcBorders>
          </w:tcPr>
          <w:p w14:paraId="0388F973" w14:textId="77777777" w:rsidR="000B3C5C" w:rsidRDefault="00ED192D">
            <w:pPr>
              <w:spacing w:after="0" w:line="259" w:lineRule="auto"/>
              <w:ind w:left="938" w:firstLine="0"/>
            </w:pPr>
            <w:r>
              <w:rPr>
                <w:rFonts w:ascii="Arial" w:eastAsia="Arial" w:hAnsi="Arial" w:cs="Arial"/>
                <w:sz w:val="20"/>
              </w:rPr>
              <w:t xml:space="preserve">Grade 0 </w:t>
            </w:r>
          </w:p>
        </w:tc>
        <w:tc>
          <w:tcPr>
            <w:tcW w:w="6400" w:type="dxa"/>
            <w:tcBorders>
              <w:top w:val="single" w:sz="4" w:space="0" w:color="000000"/>
              <w:left w:val="nil"/>
              <w:bottom w:val="nil"/>
              <w:right w:val="nil"/>
            </w:tcBorders>
          </w:tcPr>
          <w:p w14:paraId="38D65352" w14:textId="77777777" w:rsidR="000B3C5C" w:rsidRDefault="00ED192D">
            <w:pPr>
              <w:spacing w:after="0" w:line="259" w:lineRule="auto"/>
              <w:ind w:left="410" w:firstLine="0"/>
            </w:pPr>
            <w:r>
              <w:rPr>
                <w:rFonts w:ascii="Arial" w:eastAsia="Arial" w:hAnsi="Arial" w:cs="Arial"/>
                <w:sz w:val="20"/>
              </w:rPr>
              <w:t xml:space="preserve">Normal consciousness, personality, and neurological examination </w:t>
            </w:r>
          </w:p>
        </w:tc>
      </w:tr>
      <w:tr w:rsidR="000B3C5C" w14:paraId="30542D5F" w14:textId="77777777">
        <w:trPr>
          <w:trHeight w:val="349"/>
        </w:trPr>
        <w:tc>
          <w:tcPr>
            <w:tcW w:w="3286" w:type="dxa"/>
            <w:tcBorders>
              <w:top w:val="nil"/>
              <w:left w:val="nil"/>
              <w:bottom w:val="nil"/>
              <w:right w:val="nil"/>
            </w:tcBorders>
          </w:tcPr>
          <w:p w14:paraId="7582C59E" w14:textId="77777777" w:rsidR="000B3C5C" w:rsidRDefault="00ED192D">
            <w:pPr>
              <w:spacing w:after="0" w:line="259" w:lineRule="auto"/>
              <w:ind w:left="938" w:firstLine="0"/>
            </w:pPr>
            <w:r>
              <w:rPr>
                <w:rFonts w:ascii="Arial" w:eastAsia="Arial" w:hAnsi="Arial" w:cs="Arial"/>
                <w:sz w:val="20"/>
              </w:rPr>
              <w:t xml:space="preserve">Grade 1 </w:t>
            </w:r>
          </w:p>
        </w:tc>
        <w:tc>
          <w:tcPr>
            <w:tcW w:w="6400" w:type="dxa"/>
            <w:tcBorders>
              <w:top w:val="nil"/>
              <w:left w:val="nil"/>
              <w:bottom w:val="nil"/>
              <w:right w:val="nil"/>
            </w:tcBorders>
          </w:tcPr>
          <w:p w14:paraId="34E42B0C" w14:textId="77777777" w:rsidR="000B3C5C" w:rsidRDefault="00ED192D">
            <w:pPr>
              <w:spacing w:after="0" w:line="259" w:lineRule="auto"/>
              <w:ind w:left="0" w:firstLine="0"/>
            </w:pPr>
            <w:r>
              <w:rPr>
                <w:rFonts w:ascii="Arial" w:eastAsia="Arial" w:hAnsi="Arial" w:cs="Arial"/>
                <w:sz w:val="20"/>
              </w:rPr>
              <w:t xml:space="preserve">Restless, sleep disturbed, irritable/agitated, tremor, and impaired handwriting </w:t>
            </w:r>
          </w:p>
        </w:tc>
      </w:tr>
      <w:tr w:rsidR="000B3C5C" w14:paraId="721FCD1D" w14:textId="77777777">
        <w:trPr>
          <w:trHeight w:val="349"/>
        </w:trPr>
        <w:tc>
          <w:tcPr>
            <w:tcW w:w="3286" w:type="dxa"/>
            <w:tcBorders>
              <w:top w:val="nil"/>
              <w:left w:val="nil"/>
              <w:bottom w:val="nil"/>
              <w:right w:val="nil"/>
            </w:tcBorders>
          </w:tcPr>
          <w:p w14:paraId="285D7054" w14:textId="77777777" w:rsidR="000B3C5C" w:rsidRDefault="00ED192D">
            <w:pPr>
              <w:spacing w:after="0" w:line="259" w:lineRule="auto"/>
              <w:ind w:left="938" w:firstLine="0"/>
            </w:pPr>
            <w:r>
              <w:rPr>
                <w:rFonts w:ascii="Arial" w:eastAsia="Arial" w:hAnsi="Arial" w:cs="Arial"/>
                <w:sz w:val="20"/>
              </w:rPr>
              <w:t xml:space="preserve">Grade 2 </w:t>
            </w:r>
          </w:p>
        </w:tc>
        <w:tc>
          <w:tcPr>
            <w:tcW w:w="6400" w:type="dxa"/>
            <w:tcBorders>
              <w:top w:val="nil"/>
              <w:left w:val="nil"/>
              <w:bottom w:val="nil"/>
              <w:right w:val="nil"/>
            </w:tcBorders>
          </w:tcPr>
          <w:p w14:paraId="23AAFFB0" w14:textId="77777777" w:rsidR="000B3C5C" w:rsidRDefault="00ED192D">
            <w:pPr>
              <w:spacing w:after="0" w:line="259" w:lineRule="auto"/>
              <w:ind w:left="528" w:firstLine="0"/>
            </w:pPr>
            <w:r>
              <w:rPr>
                <w:rFonts w:ascii="Arial" w:eastAsia="Arial" w:hAnsi="Arial" w:cs="Arial"/>
                <w:sz w:val="20"/>
              </w:rPr>
              <w:t>Lethargic, time-</w:t>
            </w:r>
            <w:r>
              <w:rPr>
                <w:rFonts w:ascii="Arial" w:eastAsia="Arial" w:hAnsi="Arial" w:cs="Arial"/>
                <w:sz w:val="20"/>
              </w:rPr>
              <w:t xml:space="preserve">disoriented, inappropriate, asterixis, and ataxia </w:t>
            </w:r>
          </w:p>
        </w:tc>
      </w:tr>
      <w:tr w:rsidR="000B3C5C" w14:paraId="100268FC" w14:textId="77777777">
        <w:trPr>
          <w:trHeight w:val="350"/>
        </w:trPr>
        <w:tc>
          <w:tcPr>
            <w:tcW w:w="3286" w:type="dxa"/>
            <w:tcBorders>
              <w:top w:val="nil"/>
              <w:left w:val="nil"/>
              <w:bottom w:val="nil"/>
              <w:right w:val="nil"/>
            </w:tcBorders>
          </w:tcPr>
          <w:p w14:paraId="490CCAFE" w14:textId="77777777" w:rsidR="000B3C5C" w:rsidRDefault="00ED192D">
            <w:pPr>
              <w:spacing w:after="0" w:line="259" w:lineRule="auto"/>
              <w:ind w:left="938" w:firstLine="0"/>
            </w:pPr>
            <w:r>
              <w:rPr>
                <w:rFonts w:ascii="Arial" w:eastAsia="Arial" w:hAnsi="Arial" w:cs="Arial"/>
                <w:sz w:val="20"/>
              </w:rPr>
              <w:t xml:space="preserve">Grade 3 </w:t>
            </w:r>
          </w:p>
        </w:tc>
        <w:tc>
          <w:tcPr>
            <w:tcW w:w="6400" w:type="dxa"/>
            <w:tcBorders>
              <w:top w:val="nil"/>
              <w:left w:val="nil"/>
              <w:bottom w:val="nil"/>
              <w:right w:val="nil"/>
            </w:tcBorders>
          </w:tcPr>
          <w:p w14:paraId="0AD45D0D" w14:textId="77777777" w:rsidR="000B3C5C" w:rsidRDefault="00ED192D">
            <w:pPr>
              <w:spacing w:after="0" w:line="259" w:lineRule="auto"/>
              <w:ind w:left="106" w:firstLine="0"/>
            </w:pPr>
            <w:r>
              <w:rPr>
                <w:rFonts w:ascii="Arial" w:eastAsia="Arial" w:hAnsi="Arial" w:cs="Arial"/>
                <w:sz w:val="20"/>
              </w:rPr>
              <w:t xml:space="preserve">Somnolent, stuporous, place-disoriented, hyperactive reflexes, and rigidity </w:t>
            </w:r>
          </w:p>
        </w:tc>
      </w:tr>
      <w:tr w:rsidR="000B3C5C" w14:paraId="06643EC5" w14:textId="77777777">
        <w:trPr>
          <w:trHeight w:val="342"/>
        </w:trPr>
        <w:tc>
          <w:tcPr>
            <w:tcW w:w="3286" w:type="dxa"/>
            <w:tcBorders>
              <w:top w:val="nil"/>
              <w:left w:val="nil"/>
              <w:bottom w:val="single" w:sz="12" w:space="0" w:color="000000"/>
              <w:right w:val="nil"/>
            </w:tcBorders>
          </w:tcPr>
          <w:p w14:paraId="478233EF" w14:textId="77777777" w:rsidR="000B3C5C" w:rsidRDefault="00ED192D">
            <w:pPr>
              <w:spacing w:after="0" w:line="259" w:lineRule="auto"/>
              <w:ind w:left="938" w:firstLine="0"/>
            </w:pPr>
            <w:r>
              <w:rPr>
                <w:rFonts w:ascii="Arial" w:eastAsia="Arial" w:hAnsi="Arial" w:cs="Arial"/>
                <w:sz w:val="20"/>
              </w:rPr>
              <w:t xml:space="preserve">Grade 4 </w:t>
            </w:r>
          </w:p>
        </w:tc>
        <w:tc>
          <w:tcPr>
            <w:tcW w:w="6400" w:type="dxa"/>
            <w:tcBorders>
              <w:top w:val="nil"/>
              <w:left w:val="nil"/>
              <w:bottom w:val="single" w:sz="12" w:space="0" w:color="000000"/>
              <w:right w:val="nil"/>
            </w:tcBorders>
          </w:tcPr>
          <w:p w14:paraId="690F2DFD" w14:textId="77777777" w:rsidR="000B3C5C" w:rsidRDefault="00ED192D">
            <w:pPr>
              <w:spacing w:after="0" w:line="259" w:lineRule="auto"/>
              <w:ind w:left="771" w:firstLine="0"/>
            </w:pPr>
            <w:r>
              <w:rPr>
                <w:rFonts w:ascii="Arial" w:eastAsia="Arial" w:hAnsi="Arial" w:cs="Arial"/>
                <w:sz w:val="20"/>
              </w:rPr>
              <w:t xml:space="preserve">Unrousable coma, no personality/behavior, decerebrate </w:t>
            </w:r>
          </w:p>
        </w:tc>
      </w:tr>
    </w:tbl>
    <w:p w14:paraId="4EC8C8B5" w14:textId="77777777" w:rsidR="000B3C5C" w:rsidRDefault="00ED192D">
      <w:pPr>
        <w:spacing w:after="519" w:line="259" w:lineRule="auto"/>
        <w:ind w:left="0" w:firstLine="0"/>
      </w:pPr>
      <w:r>
        <w:rPr>
          <w:rFonts w:ascii="Arial" w:eastAsia="Arial" w:hAnsi="Arial" w:cs="Arial"/>
          <w:sz w:val="18"/>
        </w:rPr>
        <w:t xml:space="preserve"> </w:t>
      </w:r>
    </w:p>
    <w:p w14:paraId="07C8A9FD" w14:textId="77777777" w:rsidR="000B3C5C" w:rsidRDefault="00ED192D">
      <w:pPr>
        <w:pStyle w:val="Heading3"/>
        <w:spacing w:after="10"/>
        <w:ind w:left="-5"/>
      </w:pPr>
      <w:r>
        <w:t xml:space="preserve">10.14 </w:t>
      </w:r>
      <w:r>
        <w:t xml:space="preserve">APPENDIX 14: PERFORMANCE STATUS  </w:t>
      </w:r>
    </w:p>
    <w:p w14:paraId="382E0768" w14:textId="77777777" w:rsidR="000B3C5C" w:rsidRDefault="00ED192D">
      <w:pPr>
        <w:spacing w:after="102" w:line="259" w:lineRule="auto"/>
        <w:ind w:left="-108" w:right="-112" w:firstLine="0"/>
      </w:pPr>
      <w:r>
        <w:rPr>
          <w:rFonts w:ascii="Calibri" w:eastAsia="Calibri" w:hAnsi="Calibri" w:cs="Calibri"/>
          <w:noProof/>
          <w:sz w:val="22"/>
        </w:rPr>
        <mc:AlternateContent>
          <mc:Choice Requires="wpg">
            <w:drawing>
              <wp:inline distT="0" distB="0" distL="0" distR="0" wp14:anchorId="6D2CFC21" wp14:editId="71D16A42">
                <wp:extent cx="6150559" cy="6096"/>
                <wp:effectExtent l="0" t="0" r="0" b="0"/>
                <wp:docPr id="289048" name="Group 289048"/>
                <wp:cNvGraphicFramePr/>
                <a:graphic xmlns:a="http://schemas.openxmlformats.org/drawingml/2006/main">
                  <a:graphicData uri="http://schemas.microsoft.com/office/word/2010/wordprocessingGroup">
                    <wpg:wgp>
                      <wpg:cNvGrpSpPr/>
                      <wpg:grpSpPr>
                        <a:xfrm>
                          <a:off x="0" y="0"/>
                          <a:ext cx="6150559" cy="6096"/>
                          <a:chOff x="0" y="0"/>
                          <a:chExt cx="6150559" cy="6096"/>
                        </a:xfrm>
                      </wpg:grpSpPr>
                      <wps:wsp>
                        <wps:cNvPr id="315882" name="Shape 315882"/>
                        <wps:cNvSpPr/>
                        <wps:spPr>
                          <a:xfrm>
                            <a:off x="0" y="0"/>
                            <a:ext cx="3115691" cy="9144"/>
                          </a:xfrm>
                          <a:custGeom>
                            <a:avLst/>
                            <a:gdLst/>
                            <a:ahLst/>
                            <a:cxnLst/>
                            <a:rect l="0" t="0" r="0" b="0"/>
                            <a:pathLst>
                              <a:path w="3115691" h="9144">
                                <a:moveTo>
                                  <a:pt x="0" y="0"/>
                                </a:moveTo>
                                <a:lnTo>
                                  <a:pt x="3115691" y="0"/>
                                </a:lnTo>
                                <a:lnTo>
                                  <a:pt x="3115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83" name="Shape 315883"/>
                        <wps:cNvSpPr/>
                        <wps:spPr>
                          <a:xfrm>
                            <a:off x="31156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84" name="Shape 315884"/>
                        <wps:cNvSpPr/>
                        <wps:spPr>
                          <a:xfrm>
                            <a:off x="3121736" y="0"/>
                            <a:ext cx="3028823" cy="9144"/>
                          </a:xfrm>
                          <a:custGeom>
                            <a:avLst/>
                            <a:gdLst/>
                            <a:ahLst/>
                            <a:cxnLst/>
                            <a:rect l="0" t="0" r="0" b="0"/>
                            <a:pathLst>
                              <a:path w="3028823" h="9144">
                                <a:moveTo>
                                  <a:pt x="0" y="0"/>
                                </a:moveTo>
                                <a:lnTo>
                                  <a:pt x="3028823" y="0"/>
                                </a:lnTo>
                                <a:lnTo>
                                  <a:pt x="30288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048" style="width:484.296pt;height:0.47998pt;mso-position-horizontal-relative:char;mso-position-vertical-relative:line" coordsize="61505,60">
                <v:shape id="Shape 315885" style="position:absolute;width:31156;height:91;left:0;top:0;" coordsize="3115691,9144" path="m0,0l3115691,0l3115691,9144l0,9144l0,0">
                  <v:stroke weight="0pt" endcap="flat" joinstyle="miter" miterlimit="10" on="false" color="#000000" opacity="0"/>
                  <v:fill on="true" color="#000000"/>
                </v:shape>
                <v:shape id="Shape 315886" style="position:absolute;width:91;height:91;left:31156;top:0;" coordsize="9144,9144" path="m0,0l9144,0l9144,9144l0,9144l0,0">
                  <v:stroke weight="0pt" endcap="flat" joinstyle="miter" miterlimit="10" on="false" color="#000000" opacity="0"/>
                  <v:fill on="true" color="#000000"/>
                </v:shape>
                <v:shape id="Shape 315887" style="position:absolute;width:30288;height:91;left:31217;top:0;" coordsize="3028823,9144" path="m0,0l3028823,0l3028823,9144l0,9144l0,0">
                  <v:stroke weight="0pt" endcap="flat" joinstyle="miter" miterlimit="10" on="false" color="#000000" opacity="0"/>
                  <v:fill on="true" color="#000000"/>
                </v:shape>
              </v:group>
            </w:pict>
          </mc:Fallback>
        </mc:AlternateContent>
      </w:r>
    </w:p>
    <w:p w14:paraId="58DEF8F8" w14:textId="77777777" w:rsidR="000B3C5C" w:rsidRDefault="00ED192D">
      <w:pPr>
        <w:pStyle w:val="Heading4"/>
        <w:spacing w:after="3" w:line="259" w:lineRule="auto"/>
        <w:ind w:left="564"/>
      </w:pPr>
      <w:r>
        <w:rPr>
          <w:sz w:val="20"/>
        </w:rPr>
        <w:t>Eastern Cooperative Oncology Group Performance Status Scale (</w:t>
      </w:r>
      <w:r>
        <w:rPr>
          <w:color w:val="0000FF"/>
          <w:sz w:val="20"/>
        </w:rPr>
        <w:t>61</w:t>
      </w:r>
      <w:r>
        <w:rPr>
          <w:sz w:val="20"/>
        </w:rPr>
        <w:t xml:space="preserve">) </w:t>
      </w:r>
    </w:p>
    <w:p w14:paraId="7D023A46" w14:textId="77777777" w:rsidR="000B3C5C" w:rsidRDefault="00ED192D">
      <w:pPr>
        <w:spacing w:after="0" w:line="259" w:lineRule="auto"/>
        <w:ind w:left="0" w:right="657" w:firstLine="0"/>
        <w:jc w:val="right"/>
      </w:pPr>
      <w:r>
        <w:rPr>
          <w:rFonts w:ascii="Arial" w:eastAsia="Arial" w:hAnsi="Arial" w:cs="Arial"/>
          <w:b/>
          <w:sz w:val="20"/>
        </w:rPr>
        <w:t>Karnofsky Performance Scale (</w:t>
      </w:r>
      <w:r>
        <w:rPr>
          <w:rFonts w:ascii="Arial" w:eastAsia="Arial" w:hAnsi="Arial" w:cs="Arial"/>
          <w:b/>
          <w:color w:val="0000FF"/>
          <w:sz w:val="20"/>
        </w:rPr>
        <w:t>62</w:t>
      </w:r>
      <w:r>
        <w:rPr>
          <w:rFonts w:ascii="Arial" w:eastAsia="Arial" w:hAnsi="Arial" w:cs="Arial"/>
          <w:b/>
          <w:sz w:val="20"/>
        </w:rPr>
        <w:t xml:space="preserve">) </w:t>
      </w:r>
    </w:p>
    <w:tbl>
      <w:tblPr>
        <w:tblStyle w:val="TableGrid"/>
        <w:tblW w:w="9700" w:type="dxa"/>
        <w:tblInd w:w="-122" w:type="dxa"/>
        <w:tblCellMar>
          <w:top w:w="81" w:type="dxa"/>
          <w:left w:w="0" w:type="dxa"/>
          <w:bottom w:w="0" w:type="dxa"/>
          <w:right w:w="58" w:type="dxa"/>
        </w:tblCellMar>
        <w:tblLook w:val="04A0" w:firstRow="1" w:lastRow="0" w:firstColumn="1" w:lastColumn="0" w:noHBand="0" w:noVBand="1"/>
      </w:tblPr>
      <w:tblGrid>
        <w:gridCol w:w="962"/>
        <w:gridCol w:w="4193"/>
        <w:gridCol w:w="1225"/>
        <w:gridCol w:w="3320"/>
      </w:tblGrid>
      <w:tr w:rsidR="000B3C5C" w14:paraId="5D599594" w14:textId="77777777">
        <w:trPr>
          <w:trHeight w:val="374"/>
        </w:trPr>
        <w:tc>
          <w:tcPr>
            <w:tcW w:w="962" w:type="dxa"/>
            <w:tcBorders>
              <w:top w:val="single" w:sz="4" w:space="0" w:color="000000"/>
              <w:left w:val="nil"/>
              <w:bottom w:val="nil"/>
              <w:right w:val="nil"/>
            </w:tcBorders>
          </w:tcPr>
          <w:p w14:paraId="59829D1E" w14:textId="77777777" w:rsidR="000B3C5C" w:rsidRDefault="00ED192D">
            <w:pPr>
              <w:spacing w:after="0" w:line="259" w:lineRule="auto"/>
              <w:ind w:left="0" w:right="36" w:firstLine="0"/>
              <w:jc w:val="center"/>
            </w:pPr>
            <w:r>
              <w:rPr>
                <w:rFonts w:ascii="Arial" w:eastAsia="Arial" w:hAnsi="Arial" w:cs="Arial"/>
                <w:sz w:val="20"/>
              </w:rPr>
              <w:t xml:space="preserve">Grade </w:t>
            </w:r>
          </w:p>
        </w:tc>
        <w:tc>
          <w:tcPr>
            <w:tcW w:w="4194" w:type="dxa"/>
            <w:tcBorders>
              <w:top w:val="single" w:sz="4" w:space="0" w:color="000000"/>
              <w:left w:val="nil"/>
              <w:bottom w:val="nil"/>
              <w:right w:val="nil"/>
            </w:tcBorders>
          </w:tcPr>
          <w:p w14:paraId="02D27453" w14:textId="77777777" w:rsidR="000B3C5C" w:rsidRDefault="00ED192D">
            <w:pPr>
              <w:spacing w:after="0" w:line="259" w:lineRule="auto"/>
              <w:ind w:left="0" w:right="287" w:firstLine="0"/>
              <w:jc w:val="center"/>
            </w:pPr>
            <w:r>
              <w:rPr>
                <w:rFonts w:ascii="Arial" w:eastAsia="Arial" w:hAnsi="Arial" w:cs="Arial"/>
                <w:sz w:val="20"/>
              </w:rPr>
              <w:t xml:space="preserve">Descriptions </w:t>
            </w:r>
          </w:p>
        </w:tc>
        <w:tc>
          <w:tcPr>
            <w:tcW w:w="1225" w:type="dxa"/>
            <w:tcBorders>
              <w:top w:val="single" w:sz="4" w:space="0" w:color="000000"/>
              <w:left w:val="nil"/>
              <w:bottom w:val="nil"/>
              <w:right w:val="nil"/>
            </w:tcBorders>
          </w:tcPr>
          <w:p w14:paraId="5EC54142" w14:textId="77777777" w:rsidR="000B3C5C" w:rsidRDefault="00ED192D">
            <w:pPr>
              <w:spacing w:after="0" w:line="259" w:lineRule="auto"/>
              <w:ind w:left="0" w:firstLine="0"/>
            </w:pPr>
            <w:r>
              <w:rPr>
                <w:rFonts w:ascii="Arial" w:eastAsia="Arial" w:hAnsi="Arial" w:cs="Arial"/>
                <w:sz w:val="20"/>
              </w:rPr>
              <w:t xml:space="preserve">Percentage </w:t>
            </w:r>
          </w:p>
        </w:tc>
        <w:tc>
          <w:tcPr>
            <w:tcW w:w="3320" w:type="dxa"/>
            <w:tcBorders>
              <w:top w:val="single" w:sz="4" w:space="0" w:color="000000"/>
              <w:left w:val="nil"/>
              <w:bottom w:val="nil"/>
              <w:right w:val="nil"/>
            </w:tcBorders>
          </w:tcPr>
          <w:p w14:paraId="50656828" w14:textId="77777777" w:rsidR="000B3C5C" w:rsidRDefault="00ED192D">
            <w:pPr>
              <w:spacing w:after="0" w:line="259" w:lineRule="auto"/>
              <w:ind w:left="0" w:right="92" w:firstLine="0"/>
              <w:jc w:val="center"/>
            </w:pPr>
            <w:r>
              <w:rPr>
                <w:rFonts w:ascii="Arial" w:eastAsia="Arial" w:hAnsi="Arial" w:cs="Arial"/>
                <w:sz w:val="20"/>
              </w:rPr>
              <w:t xml:space="preserve">Description </w:t>
            </w:r>
          </w:p>
        </w:tc>
      </w:tr>
      <w:tr w:rsidR="000B3C5C" w14:paraId="01278E81" w14:textId="77777777">
        <w:trPr>
          <w:trHeight w:val="578"/>
        </w:trPr>
        <w:tc>
          <w:tcPr>
            <w:tcW w:w="962" w:type="dxa"/>
            <w:tcBorders>
              <w:top w:val="nil"/>
              <w:left w:val="nil"/>
              <w:bottom w:val="nil"/>
              <w:right w:val="nil"/>
            </w:tcBorders>
          </w:tcPr>
          <w:p w14:paraId="50CC40CE" w14:textId="77777777" w:rsidR="000B3C5C" w:rsidRDefault="00ED192D">
            <w:pPr>
              <w:spacing w:after="0" w:line="259" w:lineRule="auto"/>
              <w:ind w:left="0" w:right="36" w:firstLine="0"/>
              <w:jc w:val="center"/>
            </w:pPr>
            <w:r>
              <w:rPr>
                <w:rFonts w:ascii="Arial" w:eastAsia="Arial" w:hAnsi="Arial" w:cs="Arial"/>
                <w:sz w:val="20"/>
              </w:rPr>
              <w:t xml:space="preserve">0 </w:t>
            </w:r>
          </w:p>
        </w:tc>
        <w:tc>
          <w:tcPr>
            <w:tcW w:w="4194" w:type="dxa"/>
            <w:tcBorders>
              <w:top w:val="nil"/>
              <w:left w:val="nil"/>
              <w:bottom w:val="nil"/>
              <w:right w:val="nil"/>
            </w:tcBorders>
          </w:tcPr>
          <w:p w14:paraId="46DF0A35" w14:textId="77777777" w:rsidR="000B3C5C" w:rsidRDefault="00ED192D">
            <w:pPr>
              <w:spacing w:after="0" w:line="259" w:lineRule="auto"/>
              <w:ind w:left="781" w:hanging="433"/>
            </w:pPr>
            <w:r>
              <w:rPr>
                <w:rFonts w:ascii="Arial" w:eastAsia="Arial" w:hAnsi="Arial" w:cs="Arial"/>
                <w:sz w:val="20"/>
              </w:rPr>
              <w:t xml:space="preserve">Fully active, able to carry on all pre-disease performance without restriction. </w:t>
            </w:r>
          </w:p>
        </w:tc>
        <w:tc>
          <w:tcPr>
            <w:tcW w:w="1225" w:type="dxa"/>
            <w:tcBorders>
              <w:top w:val="nil"/>
              <w:left w:val="nil"/>
              <w:bottom w:val="nil"/>
              <w:right w:val="nil"/>
            </w:tcBorders>
          </w:tcPr>
          <w:p w14:paraId="75977841" w14:textId="77777777" w:rsidR="000B3C5C" w:rsidRDefault="00ED192D">
            <w:pPr>
              <w:spacing w:after="0" w:line="259" w:lineRule="auto"/>
              <w:ind w:left="283" w:firstLine="0"/>
            </w:pPr>
            <w:r>
              <w:rPr>
                <w:rFonts w:ascii="Arial" w:eastAsia="Arial" w:hAnsi="Arial" w:cs="Arial"/>
                <w:sz w:val="20"/>
              </w:rPr>
              <w:t xml:space="preserve">100 </w:t>
            </w:r>
          </w:p>
        </w:tc>
        <w:tc>
          <w:tcPr>
            <w:tcW w:w="3320" w:type="dxa"/>
            <w:tcBorders>
              <w:top w:val="nil"/>
              <w:left w:val="nil"/>
              <w:bottom w:val="nil"/>
              <w:right w:val="nil"/>
            </w:tcBorders>
          </w:tcPr>
          <w:p w14:paraId="4EED501F" w14:textId="77777777" w:rsidR="000B3C5C" w:rsidRDefault="00ED192D">
            <w:pPr>
              <w:spacing w:after="0" w:line="259" w:lineRule="auto"/>
              <w:ind w:left="1282" w:hanging="1090"/>
            </w:pPr>
            <w:r>
              <w:rPr>
                <w:rFonts w:ascii="Arial" w:eastAsia="Arial" w:hAnsi="Arial" w:cs="Arial"/>
                <w:sz w:val="20"/>
              </w:rPr>
              <w:t xml:space="preserve">Normal, no complaints, no evidence of disease. </w:t>
            </w:r>
          </w:p>
        </w:tc>
      </w:tr>
      <w:tr w:rsidR="000B3C5C" w14:paraId="7EA1BA17" w14:textId="77777777">
        <w:trPr>
          <w:trHeight w:val="580"/>
        </w:trPr>
        <w:tc>
          <w:tcPr>
            <w:tcW w:w="962" w:type="dxa"/>
            <w:tcBorders>
              <w:top w:val="nil"/>
              <w:left w:val="nil"/>
              <w:bottom w:val="nil"/>
              <w:right w:val="nil"/>
            </w:tcBorders>
          </w:tcPr>
          <w:p w14:paraId="6592AB26" w14:textId="77777777" w:rsidR="000B3C5C" w:rsidRDefault="000B3C5C">
            <w:pPr>
              <w:spacing w:after="160" w:line="259" w:lineRule="auto"/>
              <w:ind w:left="0" w:firstLine="0"/>
            </w:pPr>
          </w:p>
        </w:tc>
        <w:tc>
          <w:tcPr>
            <w:tcW w:w="4194" w:type="dxa"/>
            <w:tcBorders>
              <w:top w:val="nil"/>
              <w:left w:val="nil"/>
              <w:bottom w:val="nil"/>
              <w:right w:val="nil"/>
            </w:tcBorders>
          </w:tcPr>
          <w:p w14:paraId="46BCCB2A" w14:textId="77777777" w:rsidR="000B3C5C" w:rsidRDefault="000B3C5C">
            <w:pPr>
              <w:spacing w:after="160" w:line="259" w:lineRule="auto"/>
              <w:ind w:left="0" w:firstLine="0"/>
            </w:pPr>
          </w:p>
        </w:tc>
        <w:tc>
          <w:tcPr>
            <w:tcW w:w="1225" w:type="dxa"/>
            <w:tcBorders>
              <w:top w:val="nil"/>
              <w:left w:val="nil"/>
              <w:bottom w:val="nil"/>
              <w:right w:val="nil"/>
            </w:tcBorders>
          </w:tcPr>
          <w:p w14:paraId="53CAE0F3" w14:textId="77777777" w:rsidR="000B3C5C" w:rsidRDefault="00ED192D">
            <w:pPr>
              <w:spacing w:after="0" w:line="259" w:lineRule="auto"/>
              <w:ind w:left="329" w:firstLine="0"/>
            </w:pPr>
            <w:r>
              <w:rPr>
                <w:rFonts w:ascii="Arial" w:eastAsia="Arial" w:hAnsi="Arial" w:cs="Arial"/>
                <w:sz w:val="20"/>
              </w:rPr>
              <w:t xml:space="preserve">90 </w:t>
            </w:r>
          </w:p>
        </w:tc>
        <w:tc>
          <w:tcPr>
            <w:tcW w:w="3320" w:type="dxa"/>
            <w:tcBorders>
              <w:top w:val="nil"/>
              <w:left w:val="nil"/>
              <w:bottom w:val="nil"/>
              <w:right w:val="nil"/>
            </w:tcBorders>
          </w:tcPr>
          <w:p w14:paraId="2924AA30" w14:textId="77777777" w:rsidR="000B3C5C" w:rsidRDefault="00ED192D">
            <w:pPr>
              <w:spacing w:after="0" w:line="259" w:lineRule="auto"/>
              <w:ind w:left="698" w:hanging="696"/>
            </w:pPr>
            <w:r>
              <w:rPr>
                <w:rFonts w:ascii="Arial" w:eastAsia="Arial" w:hAnsi="Arial" w:cs="Arial"/>
                <w:sz w:val="20"/>
              </w:rPr>
              <w:t xml:space="preserve">Able to carry on normal activity; minor signs or symptoms of disease. </w:t>
            </w:r>
          </w:p>
        </w:tc>
      </w:tr>
      <w:tr w:rsidR="000B3C5C" w14:paraId="0CAB4AAE" w14:textId="77777777">
        <w:trPr>
          <w:trHeight w:val="1158"/>
        </w:trPr>
        <w:tc>
          <w:tcPr>
            <w:tcW w:w="962" w:type="dxa"/>
            <w:tcBorders>
              <w:top w:val="nil"/>
              <w:left w:val="nil"/>
              <w:bottom w:val="nil"/>
              <w:right w:val="nil"/>
            </w:tcBorders>
          </w:tcPr>
          <w:p w14:paraId="1D6D0F93" w14:textId="77777777" w:rsidR="000B3C5C" w:rsidRDefault="00ED192D">
            <w:pPr>
              <w:spacing w:after="0" w:line="259" w:lineRule="auto"/>
              <w:ind w:left="0" w:right="36" w:firstLine="0"/>
              <w:jc w:val="center"/>
            </w:pPr>
            <w:r>
              <w:rPr>
                <w:rFonts w:ascii="Arial" w:eastAsia="Arial" w:hAnsi="Arial" w:cs="Arial"/>
                <w:sz w:val="20"/>
              </w:rPr>
              <w:t xml:space="preserve">1 </w:t>
            </w:r>
          </w:p>
        </w:tc>
        <w:tc>
          <w:tcPr>
            <w:tcW w:w="4194" w:type="dxa"/>
            <w:tcBorders>
              <w:top w:val="nil"/>
              <w:left w:val="nil"/>
              <w:bottom w:val="nil"/>
              <w:right w:val="nil"/>
            </w:tcBorders>
          </w:tcPr>
          <w:p w14:paraId="7BFB409B" w14:textId="77777777" w:rsidR="000B3C5C" w:rsidRDefault="00ED192D">
            <w:pPr>
              <w:spacing w:after="0" w:line="259" w:lineRule="auto"/>
              <w:ind w:left="0" w:firstLine="0"/>
            </w:pPr>
            <w:r>
              <w:rPr>
                <w:rFonts w:ascii="Arial" w:eastAsia="Arial" w:hAnsi="Arial" w:cs="Arial"/>
                <w:sz w:val="20"/>
              </w:rPr>
              <w:t xml:space="preserve">Restricted in physically strenuous activity, but ambulatory and able to carry out work of a light or sedentary nature (eg, light housework, office work). </w:t>
            </w:r>
          </w:p>
        </w:tc>
        <w:tc>
          <w:tcPr>
            <w:tcW w:w="1225" w:type="dxa"/>
            <w:tcBorders>
              <w:top w:val="nil"/>
              <w:left w:val="nil"/>
              <w:bottom w:val="nil"/>
              <w:right w:val="nil"/>
            </w:tcBorders>
          </w:tcPr>
          <w:p w14:paraId="70EA8213" w14:textId="77777777" w:rsidR="000B3C5C" w:rsidRDefault="00ED192D">
            <w:pPr>
              <w:spacing w:after="331" w:line="259" w:lineRule="auto"/>
              <w:ind w:left="329" w:firstLine="0"/>
            </w:pPr>
            <w:r>
              <w:rPr>
                <w:rFonts w:ascii="Arial" w:eastAsia="Arial" w:hAnsi="Arial" w:cs="Arial"/>
                <w:sz w:val="20"/>
              </w:rPr>
              <w:t xml:space="preserve">80 </w:t>
            </w:r>
          </w:p>
          <w:p w14:paraId="6F8D1832" w14:textId="77777777" w:rsidR="000B3C5C" w:rsidRDefault="00ED192D">
            <w:pPr>
              <w:spacing w:after="0" w:line="259" w:lineRule="auto"/>
              <w:ind w:left="329" w:firstLine="0"/>
            </w:pPr>
            <w:r>
              <w:rPr>
                <w:rFonts w:ascii="Arial" w:eastAsia="Arial" w:hAnsi="Arial" w:cs="Arial"/>
                <w:sz w:val="20"/>
              </w:rPr>
              <w:t xml:space="preserve">70 </w:t>
            </w:r>
          </w:p>
        </w:tc>
        <w:tc>
          <w:tcPr>
            <w:tcW w:w="3320" w:type="dxa"/>
            <w:tcBorders>
              <w:top w:val="nil"/>
              <w:left w:val="nil"/>
              <w:bottom w:val="nil"/>
              <w:right w:val="nil"/>
            </w:tcBorders>
          </w:tcPr>
          <w:p w14:paraId="12E63BC4" w14:textId="77777777" w:rsidR="000B3C5C" w:rsidRDefault="00ED192D">
            <w:pPr>
              <w:spacing w:after="118" w:line="241" w:lineRule="auto"/>
              <w:ind w:left="794" w:hanging="679"/>
            </w:pPr>
            <w:r>
              <w:rPr>
                <w:rFonts w:ascii="Arial" w:eastAsia="Arial" w:hAnsi="Arial" w:cs="Arial"/>
                <w:sz w:val="20"/>
              </w:rPr>
              <w:t xml:space="preserve">Normal activity with effort; some signs or symptoms of disease. </w:t>
            </w:r>
          </w:p>
          <w:p w14:paraId="258F7C96" w14:textId="77777777" w:rsidR="000B3C5C" w:rsidRDefault="00ED192D">
            <w:pPr>
              <w:spacing w:after="0" w:line="259" w:lineRule="auto"/>
              <w:ind w:left="578" w:hanging="456"/>
            </w:pPr>
            <w:r>
              <w:rPr>
                <w:rFonts w:ascii="Arial" w:eastAsia="Arial" w:hAnsi="Arial" w:cs="Arial"/>
                <w:sz w:val="20"/>
              </w:rPr>
              <w:t xml:space="preserve">Cares for self, unable to carry on normal activity or to do active work. </w:t>
            </w:r>
          </w:p>
        </w:tc>
      </w:tr>
      <w:tr w:rsidR="000B3C5C" w14:paraId="5187189A" w14:textId="77777777">
        <w:trPr>
          <w:trHeight w:val="1158"/>
        </w:trPr>
        <w:tc>
          <w:tcPr>
            <w:tcW w:w="962" w:type="dxa"/>
            <w:tcBorders>
              <w:top w:val="nil"/>
              <w:left w:val="nil"/>
              <w:bottom w:val="nil"/>
              <w:right w:val="nil"/>
            </w:tcBorders>
          </w:tcPr>
          <w:p w14:paraId="225CB3EE" w14:textId="77777777" w:rsidR="000B3C5C" w:rsidRDefault="00ED192D">
            <w:pPr>
              <w:spacing w:after="0" w:line="259" w:lineRule="auto"/>
              <w:ind w:left="0" w:right="36" w:firstLine="0"/>
              <w:jc w:val="center"/>
            </w:pPr>
            <w:r>
              <w:rPr>
                <w:rFonts w:ascii="Arial" w:eastAsia="Arial" w:hAnsi="Arial" w:cs="Arial"/>
                <w:sz w:val="20"/>
              </w:rPr>
              <w:t xml:space="preserve">2 </w:t>
            </w:r>
          </w:p>
        </w:tc>
        <w:tc>
          <w:tcPr>
            <w:tcW w:w="4194" w:type="dxa"/>
            <w:tcBorders>
              <w:top w:val="nil"/>
              <w:left w:val="nil"/>
              <w:bottom w:val="nil"/>
              <w:right w:val="nil"/>
            </w:tcBorders>
          </w:tcPr>
          <w:p w14:paraId="596F6636" w14:textId="77777777" w:rsidR="000B3C5C" w:rsidRDefault="00ED192D">
            <w:pPr>
              <w:spacing w:after="0" w:line="259" w:lineRule="auto"/>
              <w:ind w:left="55" w:right="184" w:firstLine="22"/>
            </w:pPr>
            <w:r>
              <w:rPr>
                <w:rFonts w:ascii="Arial" w:eastAsia="Arial" w:hAnsi="Arial" w:cs="Arial"/>
                <w:sz w:val="20"/>
              </w:rPr>
              <w:t xml:space="preserve">Ambulatory and capable of all self-care, but unable to carry out any work activities.  Up and about more than 50% of waking hours. </w:t>
            </w:r>
          </w:p>
        </w:tc>
        <w:tc>
          <w:tcPr>
            <w:tcW w:w="1225" w:type="dxa"/>
            <w:tcBorders>
              <w:top w:val="nil"/>
              <w:left w:val="nil"/>
              <w:bottom w:val="nil"/>
              <w:right w:val="nil"/>
            </w:tcBorders>
          </w:tcPr>
          <w:p w14:paraId="21B0FAAA" w14:textId="77777777" w:rsidR="000B3C5C" w:rsidRDefault="00ED192D">
            <w:pPr>
              <w:spacing w:after="333" w:line="259" w:lineRule="auto"/>
              <w:ind w:left="329" w:firstLine="0"/>
            </w:pPr>
            <w:r>
              <w:rPr>
                <w:rFonts w:ascii="Arial" w:eastAsia="Arial" w:hAnsi="Arial" w:cs="Arial"/>
                <w:sz w:val="20"/>
              </w:rPr>
              <w:t xml:space="preserve">60 </w:t>
            </w:r>
          </w:p>
          <w:p w14:paraId="1D8D0574" w14:textId="77777777" w:rsidR="000B3C5C" w:rsidRDefault="00ED192D">
            <w:pPr>
              <w:spacing w:after="0" w:line="259" w:lineRule="auto"/>
              <w:ind w:left="329" w:firstLine="0"/>
            </w:pPr>
            <w:r>
              <w:rPr>
                <w:rFonts w:ascii="Arial" w:eastAsia="Arial" w:hAnsi="Arial" w:cs="Arial"/>
                <w:sz w:val="20"/>
              </w:rPr>
              <w:t xml:space="preserve">50 </w:t>
            </w:r>
          </w:p>
        </w:tc>
        <w:tc>
          <w:tcPr>
            <w:tcW w:w="3320" w:type="dxa"/>
            <w:tcBorders>
              <w:top w:val="nil"/>
              <w:left w:val="nil"/>
              <w:bottom w:val="nil"/>
              <w:right w:val="nil"/>
            </w:tcBorders>
          </w:tcPr>
          <w:p w14:paraId="461707BC" w14:textId="77777777" w:rsidR="000B3C5C" w:rsidRDefault="00ED192D">
            <w:pPr>
              <w:spacing w:after="118" w:line="241" w:lineRule="auto"/>
              <w:ind w:left="389" w:hanging="370"/>
            </w:pPr>
            <w:r>
              <w:rPr>
                <w:rFonts w:ascii="Arial" w:eastAsia="Arial" w:hAnsi="Arial" w:cs="Arial"/>
                <w:sz w:val="20"/>
              </w:rPr>
              <w:t xml:space="preserve">Requires occasional assistance, but is able to care for most of his/her needs. </w:t>
            </w:r>
          </w:p>
          <w:p w14:paraId="7C9093E8" w14:textId="77777777" w:rsidR="000B3C5C" w:rsidRDefault="00ED192D">
            <w:pPr>
              <w:spacing w:after="0" w:line="259" w:lineRule="auto"/>
              <w:ind w:left="776" w:hanging="574"/>
            </w:pPr>
            <w:r>
              <w:rPr>
                <w:rFonts w:ascii="Arial" w:eastAsia="Arial" w:hAnsi="Arial" w:cs="Arial"/>
                <w:sz w:val="20"/>
              </w:rPr>
              <w:t xml:space="preserve">Requires considerable assistance and frequent medical care. </w:t>
            </w:r>
          </w:p>
        </w:tc>
      </w:tr>
      <w:tr w:rsidR="000B3C5C" w14:paraId="67B0219E" w14:textId="77777777">
        <w:trPr>
          <w:trHeight w:val="580"/>
        </w:trPr>
        <w:tc>
          <w:tcPr>
            <w:tcW w:w="962" w:type="dxa"/>
            <w:tcBorders>
              <w:top w:val="nil"/>
              <w:left w:val="nil"/>
              <w:bottom w:val="nil"/>
              <w:right w:val="nil"/>
            </w:tcBorders>
          </w:tcPr>
          <w:p w14:paraId="46C7A662" w14:textId="77777777" w:rsidR="000B3C5C" w:rsidRDefault="00ED192D">
            <w:pPr>
              <w:spacing w:after="0" w:line="259" w:lineRule="auto"/>
              <w:ind w:left="0" w:right="36" w:firstLine="0"/>
              <w:jc w:val="center"/>
            </w:pPr>
            <w:r>
              <w:rPr>
                <w:rFonts w:ascii="Arial" w:eastAsia="Arial" w:hAnsi="Arial" w:cs="Arial"/>
                <w:sz w:val="20"/>
              </w:rPr>
              <w:t xml:space="preserve">3 </w:t>
            </w:r>
          </w:p>
        </w:tc>
        <w:tc>
          <w:tcPr>
            <w:tcW w:w="4194" w:type="dxa"/>
            <w:tcBorders>
              <w:top w:val="nil"/>
              <w:left w:val="nil"/>
              <w:bottom w:val="nil"/>
              <w:right w:val="nil"/>
            </w:tcBorders>
          </w:tcPr>
          <w:p w14:paraId="7446E0A7" w14:textId="77777777" w:rsidR="000B3C5C" w:rsidRDefault="00ED192D">
            <w:pPr>
              <w:spacing w:after="0" w:line="259" w:lineRule="auto"/>
              <w:ind w:left="547" w:hanging="492"/>
            </w:pPr>
            <w:r>
              <w:rPr>
                <w:rFonts w:ascii="Arial" w:eastAsia="Arial" w:hAnsi="Arial" w:cs="Arial"/>
                <w:sz w:val="20"/>
              </w:rPr>
              <w:t>Capable of only limited self-</w:t>
            </w:r>
            <w:r>
              <w:rPr>
                <w:rFonts w:ascii="Arial" w:eastAsia="Arial" w:hAnsi="Arial" w:cs="Arial"/>
                <w:sz w:val="20"/>
              </w:rPr>
              <w:t xml:space="preserve">care, confined to bed or chair more than 50% of waking hours. </w:t>
            </w:r>
          </w:p>
        </w:tc>
        <w:tc>
          <w:tcPr>
            <w:tcW w:w="1225" w:type="dxa"/>
            <w:tcBorders>
              <w:top w:val="nil"/>
              <w:left w:val="nil"/>
              <w:bottom w:val="nil"/>
              <w:right w:val="nil"/>
            </w:tcBorders>
          </w:tcPr>
          <w:p w14:paraId="5E256BD0" w14:textId="77777777" w:rsidR="000B3C5C" w:rsidRDefault="00ED192D">
            <w:pPr>
              <w:spacing w:after="0" w:line="259" w:lineRule="auto"/>
              <w:ind w:left="329" w:firstLine="0"/>
            </w:pPr>
            <w:r>
              <w:rPr>
                <w:rFonts w:ascii="Arial" w:eastAsia="Arial" w:hAnsi="Arial" w:cs="Arial"/>
                <w:sz w:val="20"/>
              </w:rPr>
              <w:t xml:space="preserve">40 </w:t>
            </w:r>
          </w:p>
        </w:tc>
        <w:tc>
          <w:tcPr>
            <w:tcW w:w="3320" w:type="dxa"/>
            <w:tcBorders>
              <w:top w:val="nil"/>
              <w:left w:val="nil"/>
              <w:bottom w:val="nil"/>
              <w:right w:val="nil"/>
            </w:tcBorders>
          </w:tcPr>
          <w:p w14:paraId="5CA60239" w14:textId="77777777" w:rsidR="000B3C5C" w:rsidRDefault="00ED192D">
            <w:pPr>
              <w:spacing w:after="0" w:line="259" w:lineRule="auto"/>
              <w:ind w:left="1176" w:hanging="869"/>
            </w:pPr>
            <w:r>
              <w:rPr>
                <w:rFonts w:ascii="Arial" w:eastAsia="Arial" w:hAnsi="Arial" w:cs="Arial"/>
                <w:sz w:val="20"/>
              </w:rPr>
              <w:t xml:space="preserve">Disabled, requires special care and assistance. </w:t>
            </w:r>
          </w:p>
        </w:tc>
      </w:tr>
      <w:tr w:rsidR="000B3C5C" w14:paraId="1962A3A7" w14:textId="77777777">
        <w:trPr>
          <w:trHeight w:val="578"/>
        </w:trPr>
        <w:tc>
          <w:tcPr>
            <w:tcW w:w="962" w:type="dxa"/>
            <w:tcBorders>
              <w:top w:val="nil"/>
              <w:left w:val="nil"/>
              <w:bottom w:val="nil"/>
              <w:right w:val="nil"/>
            </w:tcBorders>
          </w:tcPr>
          <w:p w14:paraId="6B068D3A" w14:textId="77777777" w:rsidR="000B3C5C" w:rsidRDefault="000B3C5C">
            <w:pPr>
              <w:spacing w:after="160" w:line="259" w:lineRule="auto"/>
              <w:ind w:left="0" w:firstLine="0"/>
            </w:pPr>
          </w:p>
        </w:tc>
        <w:tc>
          <w:tcPr>
            <w:tcW w:w="4194" w:type="dxa"/>
            <w:tcBorders>
              <w:top w:val="nil"/>
              <w:left w:val="nil"/>
              <w:bottom w:val="nil"/>
              <w:right w:val="nil"/>
            </w:tcBorders>
          </w:tcPr>
          <w:p w14:paraId="7564DA4F" w14:textId="77777777" w:rsidR="000B3C5C" w:rsidRDefault="000B3C5C">
            <w:pPr>
              <w:spacing w:after="160" w:line="259" w:lineRule="auto"/>
              <w:ind w:left="0" w:firstLine="0"/>
            </w:pPr>
          </w:p>
        </w:tc>
        <w:tc>
          <w:tcPr>
            <w:tcW w:w="1225" w:type="dxa"/>
            <w:tcBorders>
              <w:top w:val="nil"/>
              <w:left w:val="nil"/>
              <w:bottom w:val="nil"/>
              <w:right w:val="nil"/>
            </w:tcBorders>
          </w:tcPr>
          <w:p w14:paraId="39180CA6" w14:textId="77777777" w:rsidR="000B3C5C" w:rsidRDefault="00ED192D">
            <w:pPr>
              <w:spacing w:after="0" w:line="259" w:lineRule="auto"/>
              <w:ind w:left="329" w:firstLine="0"/>
            </w:pPr>
            <w:r>
              <w:rPr>
                <w:rFonts w:ascii="Arial" w:eastAsia="Arial" w:hAnsi="Arial" w:cs="Arial"/>
                <w:sz w:val="20"/>
              </w:rPr>
              <w:t xml:space="preserve">30 </w:t>
            </w:r>
          </w:p>
        </w:tc>
        <w:tc>
          <w:tcPr>
            <w:tcW w:w="3320" w:type="dxa"/>
            <w:tcBorders>
              <w:top w:val="nil"/>
              <w:left w:val="nil"/>
              <w:bottom w:val="nil"/>
              <w:right w:val="nil"/>
            </w:tcBorders>
          </w:tcPr>
          <w:p w14:paraId="6AAA1132" w14:textId="77777777" w:rsidR="000B3C5C" w:rsidRDefault="00ED192D">
            <w:pPr>
              <w:spacing w:after="0" w:line="259" w:lineRule="auto"/>
              <w:ind w:left="876" w:hanging="876"/>
            </w:pPr>
            <w:r>
              <w:rPr>
                <w:rFonts w:ascii="Arial" w:eastAsia="Arial" w:hAnsi="Arial" w:cs="Arial"/>
                <w:sz w:val="20"/>
              </w:rPr>
              <w:t xml:space="preserve">Severely disabled, hospitalization indicated.  Death no imminent. </w:t>
            </w:r>
          </w:p>
        </w:tc>
      </w:tr>
      <w:tr w:rsidR="000B3C5C" w14:paraId="0A4F978A" w14:textId="77777777">
        <w:trPr>
          <w:trHeight w:val="578"/>
        </w:trPr>
        <w:tc>
          <w:tcPr>
            <w:tcW w:w="962" w:type="dxa"/>
            <w:tcBorders>
              <w:top w:val="nil"/>
              <w:left w:val="nil"/>
              <w:bottom w:val="nil"/>
              <w:right w:val="nil"/>
            </w:tcBorders>
          </w:tcPr>
          <w:p w14:paraId="782CF423" w14:textId="77777777" w:rsidR="000B3C5C" w:rsidRDefault="00ED192D">
            <w:pPr>
              <w:spacing w:after="0" w:line="259" w:lineRule="auto"/>
              <w:ind w:left="0" w:right="36" w:firstLine="0"/>
              <w:jc w:val="center"/>
            </w:pPr>
            <w:r>
              <w:rPr>
                <w:rFonts w:ascii="Arial" w:eastAsia="Arial" w:hAnsi="Arial" w:cs="Arial"/>
                <w:sz w:val="20"/>
              </w:rPr>
              <w:t xml:space="preserve">4 </w:t>
            </w:r>
          </w:p>
        </w:tc>
        <w:tc>
          <w:tcPr>
            <w:tcW w:w="4194" w:type="dxa"/>
            <w:tcBorders>
              <w:top w:val="nil"/>
              <w:left w:val="nil"/>
              <w:bottom w:val="nil"/>
              <w:right w:val="nil"/>
            </w:tcBorders>
          </w:tcPr>
          <w:p w14:paraId="6F9EE4F0" w14:textId="77777777" w:rsidR="000B3C5C" w:rsidRDefault="00ED192D">
            <w:pPr>
              <w:spacing w:after="0" w:line="259" w:lineRule="auto"/>
              <w:ind w:left="0" w:firstLine="0"/>
            </w:pPr>
            <w:r>
              <w:rPr>
                <w:rFonts w:ascii="Arial" w:eastAsia="Arial" w:hAnsi="Arial" w:cs="Arial"/>
                <w:sz w:val="20"/>
              </w:rPr>
              <w:t xml:space="preserve">Completely disabled. Cannot carry on any self-care.  Totally confined to bed or chair. </w:t>
            </w:r>
          </w:p>
        </w:tc>
        <w:tc>
          <w:tcPr>
            <w:tcW w:w="1225" w:type="dxa"/>
            <w:tcBorders>
              <w:top w:val="nil"/>
              <w:left w:val="nil"/>
              <w:bottom w:val="nil"/>
              <w:right w:val="nil"/>
            </w:tcBorders>
          </w:tcPr>
          <w:p w14:paraId="3DC1BF8D" w14:textId="77777777" w:rsidR="000B3C5C" w:rsidRDefault="00ED192D">
            <w:pPr>
              <w:spacing w:after="0" w:line="259" w:lineRule="auto"/>
              <w:ind w:left="329" w:firstLine="0"/>
            </w:pPr>
            <w:r>
              <w:rPr>
                <w:rFonts w:ascii="Arial" w:eastAsia="Arial" w:hAnsi="Arial" w:cs="Arial"/>
                <w:sz w:val="20"/>
              </w:rPr>
              <w:t xml:space="preserve">20 </w:t>
            </w:r>
          </w:p>
        </w:tc>
        <w:tc>
          <w:tcPr>
            <w:tcW w:w="3320" w:type="dxa"/>
            <w:tcBorders>
              <w:top w:val="nil"/>
              <w:left w:val="nil"/>
              <w:bottom w:val="nil"/>
              <w:right w:val="nil"/>
            </w:tcBorders>
          </w:tcPr>
          <w:p w14:paraId="4CDE6182" w14:textId="77777777" w:rsidR="000B3C5C" w:rsidRDefault="00ED192D">
            <w:pPr>
              <w:spacing w:after="0" w:line="259" w:lineRule="auto"/>
              <w:ind w:left="1094" w:hanging="1044"/>
              <w:jc w:val="both"/>
            </w:pPr>
            <w:r>
              <w:rPr>
                <w:rFonts w:ascii="Arial" w:eastAsia="Arial" w:hAnsi="Arial" w:cs="Arial"/>
                <w:sz w:val="20"/>
              </w:rPr>
              <w:t xml:space="preserve">Very sick, hospitalization indicated.  Death not imminent. </w:t>
            </w:r>
          </w:p>
        </w:tc>
      </w:tr>
      <w:tr w:rsidR="000B3C5C" w14:paraId="16049EC9" w14:textId="77777777">
        <w:trPr>
          <w:trHeight w:val="580"/>
        </w:trPr>
        <w:tc>
          <w:tcPr>
            <w:tcW w:w="962" w:type="dxa"/>
            <w:tcBorders>
              <w:top w:val="nil"/>
              <w:left w:val="nil"/>
              <w:bottom w:val="nil"/>
              <w:right w:val="nil"/>
            </w:tcBorders>
          </w:tcPr>
          <w:p w14:paraId="2A753E69" w14:textId="77777777" w:rsidR="000B3C5C" w:rsidRDefault="000B3C5C">
            <w:pPr>
              <w:spacing w:after="160" w:line="259" w:lineRule="auto"/>
              <w:ind w:left="0" w:firstLine="0"/>
            </w:pPr>
          </w:p>
        </w:tc>
        <w:tc>
          <w:tcPr>
            <w:tcW w:w="4194" w:type="dxa"/>
            <w:tcBorders>
              <w:top w:val="nil"/>
              <w:left w:val="nil"/>
              <w:bottom w:val="nil"/>
              <w:right w:val="nil"/>
            </w:tcBorders>
          </w:tcPr>
          <w:p w14:paraId="6EE7FB3D" w14:textId="77777777" w:rsidR="000B3C5C" w:rsidRDefault="000B3C5C">
            <w:pPr>
              <w:spacing w:after="160" w:line="259" w:lineRule="auto"/>
              <w:ind w:left="0" w:firstLine="0"/>
            </w:pPr>
          </w:p>
        </w:tc>
        <w:tc>
          <w:tcPr>
            <w:tcW w:w="1225" w:type="dxa"/>
            <w:tcBorders>
              <w:top w:val="nil"/>
              <w:left w:val="nil"/>
              <w:bottom w:val="nil"/>
              <w:right w:val="nil"/>
            </w:tcBorders>
          </w:tcPr>
          <w:p w14:paraId="549E3CBC" w14:textId="77777777" w:rsidR="000B3C5C" w:rsidRDefault="00ED192D">
            <w:pPr>
              <w:spacing w:after="0" w:line="259" w:lineRule="auto"/>
              <w:ind w:left="329" w:firstLine="0"/>
            </w:pPr>
            <w:r>
              <w:rPr>
                <w:rFonts w:ascii="Arial" w:eastAsia="Arial" w:hAnsi="Arial" w:cs="Arial"/>
                <w:sz w:val="20"/>
              </w:rPr>
              <w:t xml:space="preserve">10 </w:t>
            </w:r>
          </w:p>
        </w:tc>
        <w:tc>
          <w:tcPr>
            <w:tcW w:w="3320" w:type="dxa"/>
            <w:tcBorders>
              <w:top w:val="nil"/>
              <w:left w:val="nil"/>
              <w:bottom w:val="nil"/>
              <w:right w:val="nil"/>
            </w:tcBorders>
          </w:tcPr>
          <w:p w14:paraId="558CCF96" w14:textId="77777777" w:rsidR="000B3C5C" w:rsidRDefault="00ED192D">
            <w:pPr>
              <w:spacing w:after="0" w:line="259" w:lineRule="auto"/>
              <w:ind w:left="1323" w:hanging="1126"/>
            </w:pPr>
            <w:r>
              <w:rPr>
                <w:rFonts w:ascii="Arial" w:eastAsia="Arial" w:hAnsi="Arial" w:cs="Arial"/>
                <w:sz w:val="20"/>
              </w:rPr>
              <w:t xml:space="preserve">Moribund, fatal processes progressing rapidly. </w:t>
            </w:r>
          </w:p>
        </w:tc>
      </w:tr>
      <w:tr w:rsidR="000B3C5C" w14:paraId="28C05849" w14:textId="77777777">
        <w:trPr>
          <w:trHeight w:val="345"/>
        </w:trPr>
        <w:tc>
          <w:tcPr>
            <w:tcW w:w="962" w:type="dxa"/>
            <w:tcBorders>
              <w:top w:val="nil"/>
              <w:left w:val="nil"/>
              <w:bottom w:val="single" w:sz="12" w:space="0" w:color="000000"/>
              <w:right w:val="nil"/>
            </w:tcBorders>
          </w:tcPr>
          <w:p w14:paraId="4A4C5112" w14:textId="77777777" w:rsidR="000B3C5C" w:rsidRDefault="00ED192D">
            <w:pPr>
              <w:spacing w:after="0" w:line="259" w:lineRule="auto"/>
              <w:ind w:left="0" w:right="36" w:firstLine="0"/>
              <w:jc w:val="center"/>
            </w:pPr>
            <w:r>
              <w:rPr>
                <w:rFonts w:ascii="Arial" w:eastAsia="Arial" w:hAnsi="Arial" w:cs="Arial"/>
                <w:sz w:val="20"/>
              </w:rPr>
              <w:t xml:space="preserve">5 </w:t>
            </w:r>
          </w:p>
        </w:tc>
        <w:tc>
          <w:tcPr>
            <w:tcW w:w="4194" w:type="dxa"/>
            <w:tcBorders>
              <w:top w:val="nil"/>
              <w:left w:val="nil"/>
              <w:bottom w:val="single" w:sz="12" w:space="0" w:color="000000"/>
              <w:right w:val="nil"/>
            </w:tcBorders>
          </w:tcPr>
          <w:p w14:paraId="6CCF0763" w14:textId="77777777" w:rsidR="000B3C5C" w:rsidRDefault="00ED192D">
            <w:pPr>
              <w:spacing w:after="0" w:line="259" w:lineRule="auto"/>
              <w:ind w:left="0" w:right="285" w:firstLine="0"/>
              <w:jc w:val="center"/>
            </w:pPr>
            <w:r>
              <w:rPr>
                <w:rFonts w:ascii="Arial" w:eastAsia="Arial" w:hAnsi="Arial" w:cs="Arial"/>
                <w:sz w:val="20"/>
              </w:rPr>
              <w:t xml:space="preserve">Dead. </w:t>
            </w:r>
          </w:p>
        </w:tc>
        <w:tc>
          <w:tcPr>
            <w:tcW w:w="1225" w:type="dxa"/>
            <w:tcBorders>
              <w:top w:val="nil"/>
              <w:left w:val="nil"/>
              <w:bottom w:val="single" w:sz="12" w:space="0" w:color="000000"/>
              <w:right w:val="nil"/>
            </w:tcBorders>
          </w:tcPr>
          <w:p w14:paraId="5D5B57BA" w14:textId="77777777" w:rsidR="000B3C5C" w:rsidRDefault="00ED192D">
            <w:pPr>
              <w:spacing w:after="0" w:line="259" w:lineRule="auto"/>
              <w:ind w:left="374" w:firstLine="0"/>
            </w:pPr>
            <w:r>
              <w:rPr>
                <w:rFonts w:ascii="Arial" w:eastAsia="Arial" w:hAnsi="Arial" w:cs="Arial"/>
                <w:sz w:val="20"/>
              </w:rPr>
              <w:t xml:space="preserve">0 </w:t>
            </w:r>
          </w:p>
        </w:tc>
        <w:tc>
          <w:tcPr>
            <w:tcW w:w="3320" w:type="dxa"/>
            <w:tcBorders>
              <w:top w:val="nil"/>
              <w:left w:val="nil"/>
              <w:bottom w:val="single" w:sz="12" w:space="0" w:color="000000"/>
              <w:right w:val="nil"/>
            </w:tcBorders>
          </w:tcPr>
          <w:p w14:paraId="144150AA" w14:textId="77777777" w:rsidR="000B3C5C" w:rsidRDefault="00ED192D">
            <w:pPr>
              <w:spacing w:after="0" w:line="259" w:lineRule="auto"/>
              <w:ind w:left="0" w:right="89" w:firstLine="0"/>
              <w:jc w:val="center"/>
            </w:pPr>
            <w:r>
              <w:rPr>
                <w:rFonts w:ascii="Arial" w:eastAsia="Arial" w:hAnsi="Arial" w:cs="Arial"/>
                <w:sz w:val="20"/>
              </w:rPr>
              <w:t xml:space="preserve">Dead. </w:t>
            </w:r>
          </w:p>
        </w:tc>
      </w:tr>
    </w:tbl>
    <w:p w14:paraId="7607A9C7" w14:textId="77777777" w:rsidR="000B3C5C" w:rsidRDefault="00ED192D">
      <w:pPr>
        <w:pStyle w:val="Heading3"/>
        <w:ind w:left="664" w:hanging="679"/>
      </w:pPr>
      <w:r>
        <w:t xml:space="preserve">10.15 </w:t>
      </w:r>
      <w:r>
        <w:t xml:space="preserve">APPENDIX 15: RESPONSE ASSESSMENT IN NEURO-ONCOLOGY (RANO) CRITERIA  </w:t>
      </w:r>
    </w:p>
    <w:p w14:paraId="1F093F84" w14:textId="77777777" w:rsidR="000B3C5C" w:rsidRDefault="00ED192D">
      <w:pPr>
        <w:spacing w:after="11"/>
        <w:ind w:left="-3" w:right="14"/>
      </w:pPr>
      <w:r>
        <w:t>Details provided in bibliographic reference (</w:t>
      </w:r>
      <w:r>
        <w:rPr>
          <w:color w:val="0000FF"/>
        </w:rPr>
        <w:t>63</w:t>
      </w:r>
      <w:r>
        <w:t xml:space="preserve">). </w:t>
      </w:r>
    </w:p>
    <w:tbl>
      <w:tblPr>
        <w:tblStyle w:val="TableGrid"/>
        <w:tblW w:w="9686" w:type="dxa"/>
        <w:tblInd w:w="-108" w:type="dxa"/>
        <w:tblCellMar>
          <w:top w:w="81" w:type="dxa"/>
          <w:left w:w="0" w:type="dxa"/>
          <w:bottom w:w="0" w:type="dxa"/>
          <w:right w:w="108" w:type="dxa"/>
        </w:tblCellMar>
        <w:tblLook w:val="04A0" w:firstRow="1" w:lastRow="0" w:firstColumn="1" w:lastColumn="0" w:noHBand="0" w:noVBand="1"/>
      </w:tblPr>
      <w:tblGrid>
        <w:gridCol w:w="4180"/>
        <w:gridCol w:w="1274"/>
        <w:gridCol w:w="1405"/>
        <w:gridCol w:w="1980"/>
        <w:gridCol w:w="847"/>
      </w:tblGrid>
      <w:tr w:rsidR="000B3C5C" w14:paraId="19BE5E11" w14:textId="77777777">
        <w:trPr>
          <w:trHeight w:val="360"/>
        </w:trPr>
        <w:tc>
          <w:tcPr>
            <w:tcW w:w="4179" w:type="dxa"/>
            <w:tcBorders>
              <w:top w:val="single" w:sz="4" w:space="0" w:color="000000"/>
              <w:left w:val="nil"/>
              <w:bottom w:val="single" w:sz="4" w:space="0" w:color="000000"/>
              <w:right w:val="nil"/>
            </w:tcBorders>
          </w:tcPr>
          <w:p w14:paraId="40D666F9" w14:textId="77777777" w:rsidR="000B3C5C" w:rsidRDefault="00ED192D">
            <w:pPr>
              <w:spacing w:after="0" w:line="259" w:lineRule="auto"/>
              <w:ind w:left="0" w:right="137" w:firstLine="0"/>
              <w:jc w:val="center"/>
            </w:pPr>
            <w:r>
              <w:rPr>
                <w:rFonts w:ascii="Arial" w:eastAsia="Arial" w:hAnsi="Arial" w:cs="Arial"/>
                <w:b/>
                <w:sz w:val="20"/>
              </w:rPr>
              <w:t xml:space="preserve">Criterion </w:t>
            </w:r>
          </w:p>
        </w:tc>
        <w:tc>
          <w:tcPr>
            <w:tcW w:w="1274" w:type="dxa"/>
            <w:tcBorders>
              <w:top w:val="single" w:sz="4" w:space="0" w:color="000000"/>
              <w:left w:val="nil"/>
              <w:bottom w:val="single" w:sz="4" w:space="0" w:color="000000"/>
              <w:right w:val="nil"/>
            </w:tcBorders>
          </w:tcPr>
          <w:p w14:paraId="7C3924E3" w14:textId="77777777" w:rsidR="000B3C5C" w:rsidRDefault="00ED192D">
            <w:pPr>
              <w:spacing w:after="0" w:line="259" w:lineRule="auto"/>
              <w:ind w:left="257" w:firstLine="0"/>
            </w:pPr>
            <w:r>
              <w:rPr>
                <w:rFonts w:ascii="Arial" w:eastAsia="Arial" w:hAnsi="Arial" w:cs="Arial"/>
                <w:b/>
                <w:sz w:val="20"/>
              </w:rPr>
              <w:t xml:space="preserve">CR </w:t>
            </w:r>
          </w:p>
        </w:tc>
        <w:tc>
          <w:tcPr>
            <w:tcW w:w="1405" w:type="dxa"/>
            <w:tcBorders>
              <w:top w:val="single" w:sz="4" w:space="0" w:color="000000"/>
              <w:left w:val="nil"/>
              <w:bottom w:val="single" w:sz="4" w:space="0" w:color="000000"/>
              <w:right w:val="nil"/>
            </w:tcBorders>
          </w:tcPr>
          <w:p w14:paraId="37490EC7" w14:textId="77777777" w:rsidR="000B3C5C" w:rsidRDefault="00ED192D">
            <w:pPr>
              <w:spacing w:after="0" w:line="259" w:lineRule="auto"/>
              <w:ind w:left="262" w:firstLine="0"/>
            </w:pPr>
            <w:r>
              <w:rPr>
                <w:rFonts w:ascii="Arial" w:eastAsia="Arial" w:hAnsi="Arial" w:cs="Arial"/>
                <w:b/>
                <w:sz w:val="20"/>
              </w:rPr>
              <w:t xml:space="preserve">PR </w:t>
            </w:r>
          </w:p>
        </w:tc>
        <w:tc>
          <w:tcPr>
            <w:tcW w:w="1980" w:type="dxa"/>
            <w:tcBorders>
              <w:top w:val="single" w:sz="4" w:space="0" w:color="000000"/>
              <w:left w:val="nil"/>
              <w:bottom w:val="single" w:sz="4" w:space="0" w:color="000000"/>
              <w:right w:val="nil"/>
            </w:tcBorders>
          </w:tcPr>
          <w:p w14:paraId="08C8BAF1" w14:textId="77777777" w:rsidR="000B3C5C" w:rsidRDefault="00ED192D">
            <w:pPr>
              <w:spacing w:after="0" w:line="259" w:lineRule="auto"/>
              <w:ind w:left="590" w:firstLine="0"/>
            </w:pPr>
            <w:r>
              <w:rPr>
                <w:rFonts w:ascii="Arial" w:eastAsia="Arial" w:hAnsi="Arial" w:cs="Arial"/>
                <w:b/>
                <w:sz w:val="20"/>
              </w:rPr>
              <w:t xml:space="preserve">SD </w:t>
            </w:r>
          </w:p>
        </w:tc>
        <w:tc>
          <w:tcPr>
            <w:tcW w:w="847" w:type="dxa"/>
            <w:tcBorders>
              <w:top w:val="single" w:sz="4" w:space="0" w:color="000000"/>
              <w:left w:val="nil"/>
              <w:bottom w:val="single" w:sz="4" w:space="0" w:color="000000"/>
              <w:right w:val="nil"/>
            </w:tcBorders>
          </w:tcPr>
          <w:p w14:paraId="17B87071" w14:textId="77777777" w:rsidR="000B3C5C" w:rsidRDefault="00ED192D">
            <w:pPr>
              <w:spacing w:after="0" w:line="259" w:lineRule="auto"/>
              <w:ind w:left="209" w:firstLine="0"/>
            </w:pPr>
            <w:r>
              <w:rPr>
                <w:rFonts w:ascii="Arial" w:eastAsia="Arial" w:hAnsi="Arial" w:cs="Arial"/>
                <w:b/>
                <w:sz w:val="20"/>
              </w:rPr>
              <w:t xml:space="preserve">PD </w:t>
            </w:r>
          </w:p>
        </w:tc>
      </w:tr>
      <w:tr w:rsidR="000B3C5C" w14:paraId="51155F37" w14:textId="77777777">
        <w:trPr>
          <w:trHeight w:val="376"/>
        </w:trPr>
        <w:tc>
          <w:tcPr>
            <w:tcW w:w="4179" w:type="dxa"/>
            <w:tcBorders>
              <w:top w:val="single" w:sz="4" w:space="0" w:color="000000"/>
              <w:left w:val="nil"/>
              <w:bottom w:val="nil"/>
              <w:right w:val="nil"/>
            </w:tcBorders>
          </w:tcPr>
          <w:p w14:paraId="372B82CD" w14:textId="77777777" w:rsidR="000B3C5C" w:rsidRDefault="00ED192D">
            <w:pPr>
              <w:spacing w:after="0" w:line="259" w:lineRule="auto"/>
              <w:ind w:left="746" w:firstLine="0"/>
            </w:pPr>
            <w:r>
              <w:rPr>
                <w:rFonts w:ascii="Arial" w:eastAsia="Arial" w:hAnsi="Arial" w:cs="Arial"/>
                <w:sz w:val="20"/>
              </w:rPr>
              <w:t xml:space="preserve">T1 gadolinium enhancing disease </w:t>
            </w:r>
          </w:p>
        </w:tc>
        <w:tc>
          <w:tcPr>
            <w:tcW w:w="1274" w:type="dxa"/>
            <w:tcBorders>
              <w:top w:val="single" w:sz="4" w:space="0" w:color="000000"/>
              <w:left w:val="nil"/>
              <w:bottom w:val="nil"/>
              <w:right w:val="nil"/>
            </w:tcBorders>
          </w:tcPr>
          <w:p w14:paraId="1B45B709" w14:textId="77777777" w:rsidR="000B3C5C" w:rsidRDefault="00ED192D">
            <w:pPr>
              <w:spacing w:after="0" w:line="259" w:lineRule="auto"/>
              <w:ind w:left="204" w:firstLine="0"/>
            </w:pPr>
            <w:r>
              <w:rPr>
                <w:rFonts w:ascii="Arial" w:eastAsia="Arial" w:hAnsi="Arial" w:cs="Arial"/>
                <w:sz w:val="20"/>
              </w:rPr>
              <w:t xml:space="preserve">None </w:t>
            </w:r>
          </w:p>
        </w:tc>
        <w:tc>
          <w:tcPr>
            <w:tcW w:w="1405" w:type="dxa"/>
            <w:tcBorders>
              <w:top w:val="single" w:sz="4" w:space="0" w:color="000000"/>
              <w:left w:val="nil"/>
              <w:bottom w:val="nil"/>
              <w:right w:val="nil"/>
            </w:tcBorders>
          </w:tcPr>
          <w:p w14:paraId="5C8B8F76" w14:textId="77777777" w:rsidR="000B3C5C" w:rsidRDefault="00ED192D">
            <w:pPr>
              <w:spacing w:after="0" w:line="259" w:lineRule="auto"/>
              <w:ind w:left="108" w:firstLine="0"/>
            </w:pPr>
            <w:r>
              <w:rPr>
                <w:rFonts w:ascii="Arial" w:eastAsia="Arial" w:hAnsi="Arial" w:cs="Arial"/>
                <w:sz w:val="20"/>
              </w:rPr>
              <w:t xml:space="preserve">≥50% ↓ </w:t>
            </w:r>
          </w:p>
        </w:tc>
        <w:tc>
          <w:tcPr>
            <w:tcW w:w="1980" w:type="dxa"/>
            <w:tcBorders>
              <w:top w:val="single" w:sz="4" w:space="0" w:color="000000"/>
              <w:left w:val="nil"/>
              <w:bottom w:val="nil"/>
              <w:right w:val="nil"/>
            </w:tcBorders>
          </w:tcPr>
          <w:p w14:paraId="710B8EBC" w14:textId="77777777" w:rsidR="000B3C5C" w:rsidRDefault="00ED192D">
            <w:pPr>
              <w:spacing w:after="0" w:line="259" w:lineRule="auto"/>
              <w:ind w:left="0" w:firstLine="0"/>
            </w:pPr>
            <w:r>
              <w:rPr>
                <w:rFonts w:ascii="Arial" w:eastAsia="Arial" w:hAnsi="Arial" w:cs="Arial"/>
                <w:sz w:val="20"/>
              </w:rPr>
              <w:t xml:space="preserve">&lt;50% ↓ but &lt;25% ↑ </w:t>
            </w:r>
          </w:p>
        </w:tc>
        <w:tc>
          <w:tcPr>
            <w:tcW w:w="847" w:type="dxa"/>
            <w:tcBorders>
              <w:top w:val="single" w:sz="4" w:space="0" w:color="000000"/>
              <w:left w:val="nil"/>
              <w:bottom w:val="nil"/>
              <w:right w:val="nil"/>
            </w:tcBorders>
          </w:tcPr>
          <w:p w14:paraId="636FBF93" w14:textId="77777777" w:rsidR="000B3C5C" w:rsidRDefault="00ED192D">
            <w:pPr>
              <w:spacing w:after="0" w:line="259" w:lineRule="auto"/>
              <w:ind w:left="0" w:firstLine="0"/>
            </w:pPr>
            <w:r>
              <w:rPr>
                <w:rFonts w:ascii="Arial" w:eastAsia="Arial" w:hAnsi="Arial" w:cs="Arial"/>
                <w:sz w:val="20"/>
              </w:rPr>
              <w:t xml:space="preserve">≥25% ↑ * </w:t>
            </w:r>
          </w:p>
        </w:tc>
      </w:tr>
      <w:tr w:rsidR="000B3C5C" w14:paraId="4FBD49E7" w14:textId="77777777">
        <w:trPr>
          <w:trHeight w:val="349"/>
        </w:trPr>
        <w:tc>
          <w:tcPr>
            <w:tcW w:w="4179" w:type="dxa"/>
            <w:tcBorders>
              <w:top w:val="nil"/>
              <w:left w:val="nil"/>
              <w:bottom w:val="nil"/>
              <w:right w:val="nil"/>
            </w:tcBorders>
          </w:tcPr>
          <w:p w14:paraId="3BF2A1A3" w14:textId="77777777" w:rsidR="000B3C5C" w:rsidRDefault="00ED192D">
            <w:pPr>
              <w:spacing w:after="0" w:line="259" w:lineRule="auto"/>
              <w:ind w:left="0" w:right="136" w:firstLine="0"/>
              <w:jc w:val="center"/>
            </w:pPr>
            <w:r>
              <w:rPr>
                <w:rFonts w:ascii="Arial" w:eastAsia="Arial" w:hAnsi="Arial" w:cs="Arial"/>
                <w:sz w:val="20"/>
              </w:rPr>
              <w:t xml:space="preserve">T2/FLAIR </w:t>
            </w:r>
          </w:p>
        </w:tc>
        <w:tc>
          <w:tcPr>
            <w:tcW w:w="1274" w:type="dxa"/>
            <w:tcBorders>
              <w:top w:val="nil"/>
              <w:left w:val="nil"/>
              <w:bottom w:val="nil"/>
              <w:right w:val="nil"/>
            </w:tcBorders>
          </w:tcPr>
          <w:p w14:paraId="662FD031" w14:textId="77777777" w:rsidR="000B3C5C" w:rsidRDefault="00ED192D">
            <w:pPr>
              <w:spacing w:after="0" w:line="259" w:lineRule="auto"/>
              <w:ind w:left="0" w:firstLine="0"/>
            </w:pPr>
            <w:r>
              <w:rPr>
                <w:rFonts w:ascii="Arial" w:eastAsia="Arial" w:hAnsi="Arial" w:cs="Arial"/>
                <w:sz w:val="20"/>
              </w:rPr>
              <w:t xml:space="preserve">Stable or ↓ </w:t>
            </w:r>
          </w:p>
        </w:tc>
        <w:tc>
          <w:tcPr>
            <w:tcW w:w="1405" w:type="dxa"/>
            <w:tcBorders>
              <w:top w:val="nil"/>
              <w:left w:val="nil"/>
              <w:bottom w:val="nil"/>
              <w:right w:val="nil"/>
            </w:tcBorders>
          </w:tcPr>
          <w:p w14:paraId="5352C9CE" w14:textId="77777777" w:rsidR="000B3C5C" w:rsidRDefault="00ED192D">
            <w:pPr>
              <w:spacing w:after="0" w:line="259" w:lineRule="auto"/>
              <w:ind w:left="0" w:firstLine="0"/>
            </w:pPr>
            <w:r>
              <w:rPr>
                <w:rFonts w:ascii="Arial" w:eastAsia="Arial" w:hAnsi="Arial" w:cs="Arial"/>
                <w:sz w:val="20"/>
              </w:rPr>
              <w:t xml:space="preserve">Stable or ↓ </w:t>
            </w:r>
          </w:p>
        </w:tc>
        <w:tc>
          <w:tcPr>
            <w:tcW w:w="1980" w:type="dxa"/>
            <w:tcBorders>
              <w:top w:val="nil"/>
              <w:left w:val="nil"/>
              <w:bottom w:val="nil"/>
              <w:right w:val="nil"/>
            </w:tcBorders>
          </w:tcPr>
          <w:p w14:paraId="2A14D428" w14:textId="77777777" w:rsidR="000B3C5C" w:rsidRDefault="00ED192D">
            <w:pPr>
              <w:spacing w:after="0" w:line="259" w:lineRule="auto"/>
              <w:ind w:left="329" w:firstLine="0"/>
            </w:pPr>
            <w:r>
              <w:rPr>
                <w:rFonts w:ascii="Arial" w:eastAsia="Arial" w:hAnsi="Arial" w:cs="Arial"/>
                <w:sz w:val="20"/>
              </w:rPr>
              <w:t xml:space="preserve">Stable or ↓ </w:t>
            </w:r>
          </w:p>
        </w:tc>
        <w:tc>
          <w:tcPr>
            <w:tcW w:w="847" w:type="dxa"/>
            <w:tcBorders>
              <w:top w:val="nil"/>
              <w:left w:val="nil"/>
              <w:bottom w:val="nil"/>
              <w:right w:val="nil"/>
            </w:tcBorders>
          </w:tcPr>
          <w:p w14:paraId="7C1BC0B8" w14:textId="77777777" w:rsidR="000B3C5C" w:rsidRDefault="00ED192D">
            <w:pPr>
              <w:spacing w:after="0" w:line="259" w:lineRule="auto"/>
              <w:ind w:left="242" w:firstLine="0"/>
            </w:pPr>
            <w:r>
              <w:rPr>
                <w:rFonts w:ascii="Arial" w:eastAsia="Arial" w:hAnsi="Arial" w:cs="Arial"/>
                <w:sz w:val="20"/>
              </w:rPr>
              <w:t xml:space="preserve">↑ * </w:t>
            </w:r>
          </w:p>
        </w:tc>
      </w:tr>
      <w:tr w:rsidR="000B3C5C" w14:paraId="1E88947C" w14:textId="77777777">
        <w:trPr>
          <w:trHeight w:val="349"/>
        </w:trPr>
        <w:tc>
          <w:tcPr>
            <w:tcW w:w="4179" w:type="dxa"/>
            <w:tcBorders>
              <w:top w:val="nil"/>
              <w:left w:val="nil"/>
              <w:bottom w:val="nil"/>
              <w:right w:val="nil"/>
            </w:tcBorders>
          </w:tcPr>
          <w:p w14:paraId="2BC914E3" w14:textId="77777777" w:rsidR="000B3C5C" w:rsidRDefault="00ED192D">
            <w:pPr>
              <w:spacing w:after="0" w:line="259" w:lineRule="auto"/>
              <w:ind w:left="0" w:right="138" w:firstLine="0"/>
              <w:jc w:val="center"/>
            </w:pPr>
            <w:r>
              <w:rPr>
                <w:rFonts w:ascii="Arial" w:eastAsia="Arial" w:hAnsi="Arial" w:cs="Arial"/>
                <w:sz w:val="20"/>
              </w:rPr>
              <w:t xml:space="preserve">New lesion </w:t>
            </w:r>
          </w:p>
        </w:tc>
        <w:tc>
          <w:tcPr>
            <w:tcW w:w="1274" w:type="dxa"/>
            <w:tcBorders>
              <w:top w:val="nil"/>
              <w:left w:val="nil"/>
              <w:bottom w:val="nil"/>
              <w:right w:val="nil"/>
            </w:tcBorders>
          </w:tcPr>
          <w:p w14:paraId="5C330681" w14:textId="77777777" w:rsidR="000B3C5C" w:rsidRDefault="00ED192D">
            <w:pPr>
              <w:spacing w:after="0" w:line="259" w:lineRule="auto"/>
              <w:ind w:left="204" w:firstLine="0"/>
            </w:pPr>
            <w:r>
              <w:rPr>
                <w:rFonts w:ascii="Arial" w:eastAsia="Arial" w:hAnsi="Arial" w:cs="Arial"/>
                <w:sz w:val="20"/>
              </w:rPr>
              <w:t xml:space="preserve">None </w:t>
            </w:r>
          </w:p>
        </w:tc>
        <w:tc>
          <w:tcPr>
            <w:tcW w:w="1405" w:type="dxa"/>
            <w:tcBorders>
              <w:top w:val="nil"/>
              <w:left w:val="nil"/>
              <w:bottom w:val="nil"/>
              <w:right w:val="nil"/>
            </w:tcBorders>
          </w:tcPr>
          <w:p w14:paraId="2C8D6BFD" w14:textId="77777777" w:rsidR="000B3C5C" w:rsidRDefault="00ED192D">
            <w:pPr>
              <w:spacing w:after="0" w:line="259" w:lineRule="auto"/>
              <w:ind w:left="204" w:firstLine="0"/>
            </w:pPr>
            <w:r>
              <w:rPr>
                <w:rFonts w:ascii="Arial" w:eastAsia="Arial" w:hAnsi="Arial" w:cs="Arial"/>
                <w:sz w:val="20"/>
              </w:rPr>
              <w:t xml:space="preserve">None </w:t>
            </w:r>
          </w:p>
        </w:tc>
        <w:tc>
          <w:tcPr>
            <w:tcW w:w="1980" w:type="dxa"/>
            <w:tcBorders>
              <w:top w:val="nil"/>
              <w:left w:val="nil"/>
              <w:bottom w:val="nil"/>
              <w:right w:val="nil"/>
            </w:tcBorders>
          </w:tcPr>
          <w:p w14:paraId="48749CAE" w14:textId="77777777" w:rsidR="000B3C5C" w:rsidRDefault="00ED192D">
            <w:pPr>
              <w:spacing w:after="0" w:line="259" w:lineRule="auto"/>
              <w:ind w:left="535" w:firstLine="0"/>
            </w:pPr>
            <w:r>
              <w:rPr>
                <w:rFonts w:ascii="Arial" w:eastAsia="Arial" w:hAnsi="Arial" w:cs="Arial"/>
                <w:sz w:val="20"/>
              </w:rPr>
              <w:t xml:space="preserve">None </w:t>
            </w:r>
          </w:p>
        </w:tc>
        <w:tc>
          <w:tcPr>
            <w:tcW w:w="847" w:type="dxa"/>
            <w:tcBorders>
              <w:top w:val="nil"/>
              <w:left w:val="nil"/>
              <w:bottom w:val="nil"/>
              <w:right w:val="nil"/>
            </w:tcBorders>
          </w:tcPr>
          <w:p w14:paraId="3CAB9BE6" w14:textId="77777777" w:rsidR="000B3C5C" w:rsidRDefault="00ED192D">
            <w:pPr>
              <w:spacing w:after="0" w:line="259" w:lineRule="auto"/>
              <w:ind w:left="10" w:firstLine="0"/>
            </w:pPr>
            <w:r>
              <w:rPr>
                <w:rFonts w:ascii="Arial" w:eastAsia="Arial" w:hAnsi="Arial" w:cs="Arial"/>
                <w:sz w:val="20"/>
              </w:rPr>
              <w:t xml:space="preserve">Present * </w:t>
            </w:r>
          </w:p>
        </w:tc>
      </w:tr>
      <w:tr w:rsidR="000B3C5C" w14:paraId="0812698E" w14:textId="77777777">
        <w:trPr>
          <w:trHeight w:val="350"/>
        </w:trPr>
        <w:tc>
          <w:tcPr>
            <w:tcW w:w="4179" w:type="dxa"/>
            <w:tcBorders>
              <w:top w:val="nil"/>
              <w:left w:val="nil"/>
              <w:bottom w:val="nil"/>
              <w:right w:val="nil"/>
            </w:tcBorders>
          </w:tcPr>
          <w:p w14:paraId="78B508EC" w14:textId="77777777" w:rsidR="000B3C5C" w:rsidRDefault="00ED192D">
            <w:pPr>
              <w:spacing w:after="0" w:line="259" w:lineRule="auto"/>
              <w:ind w:left="0" w:right="139" w:firstLine="0"/>
              <w:jc w:val="center"/>
            </w:pPr>
            <w:r>
              <w:rPr>
                <w:rFonts w:ascii="Arial" w:eastAsia="Arial" w:hAnsi="Arial" w:cs="Arial"/>
                <w:sz w:val="20"/>
              </w:rPr>
              <w:t xml:space="preserve">Corticosteroids </w:t>
            </w:r>
          </w:p>
        </w:tc>
        <w:tc>
          <w:tcPr>
            <w:tcW w:w="1274" w:type="dxa"/>
            <w:tcBorders>
              <w:top w:val="nil"/>
              <w:left w:val="nil"/>
              <w:bottom w:val="nil"/>
              <w:right w:val="nil"/>
            </w:tcBorders>
          </w:tcPr>
          <w:p w14:paraId="5424488F" w14:textId="77777777" w:rsidR="000B3C5C" w:rsidRDefault="00ED192D">
            <w:pPr>
              <w:spacing w:after="0" w:line="259" w:lineRule="auto"/>
              <w:ind w:left="204" w:firstLine="0"/>
            </w:pPr>
            <w:r>
              <w:rPr>
                <w:rFonts w:ascii="Arial" w:eastAsia="Arial" w:hAnsi="Arial" w:cs="Arial"/>
                <w:sz w:val="20"/>
              </w:rPr>
              <w:t xml:space="preserve">None </w:t>
            </w:r>
          </w:p>
        </w:tc>
        <w:tc>
          <w:tcPr>
            <w:tcW w:w="1405" w:type="dxa"/>
            <w:tcBorders>
              <w:top w:val="nil"/>
              <w:left w:val="nil"/>
              <w:bottom w:val="nil"/>
              <w:right w:val="nil"/>
            </w:tcBorders>
          </w:tcPr>
          <w:p w14:paraId="0F007556" w14:textId="77777777" w:rsidR="000B3C5C" w:rsidRDefault="00ED192D">
            <w:pPr>
              <w:spacing w:after="0" w:line="259" w:lineRule="auto"/>
              <w:ind w:left="0" w:firstLine="0"/>
            </w:pPr>
            <w:r>
              <w:rPr>
                <w:rFonts w:ascii="Arial" w:eastAsia="Arial" w:hAnsi="Arial" w:cs="Arial"/>
                <w:sz w:val="20"/>
              </w:rPr>
              <w:t xml:space="preserve">Stable or ↓ </w:t>
            </w:r>
          </w:p>
        </w:tc>
        <w:tc>
          <w:tcPr>
            <w:tcW w:w="1980" w:type="dxa"/>
            <w:tcBorders>
              <w:top w:val="nil"/>
              <w:left w:val="nil"/>
              <w:bottom w:val="nil"/>
              <w:right w:val="nil"/>
            </w:tcBorders>
          </w:tcPr>
          <w:p w14:paraId="1FA2207D" w14:textId="77777777" w:rsidR="000B3C5C" w:rsidRDefault="00ED192D">
            <w:pPr>
              <w:spacing w:after="0" w:line="259" w:lineRule="auto"/>
              <w:ind w:left="329" w:firstLine="0"/>
            </w:pPr>
            <w:r>
              <w:rPr>
                <w:rFonts w:ascii="Arial" w:eastAsia="Arial" w:hAnsi="Arial" w:cs="Arial"/>
                <w:sz w:val="20"/>
              </w:rPr>
              <w:t xml:space="preserve">Stable or ↓ </w:t>
            </w:r>
          </w:p>
        </w:tc>
        <w:tc>
          <w:tcPr>
            <w:tcW w:w="847" w:type="dxa"/>
            <w:tcBorders>
              <w:top w:val="nil"/>
              <w:left w:val="nil"/>
              <w:bottom w:val="nil"/>
              <w:right w:val="nil"/>
            </w:tcBorders>
          </w:tcPr>
          <w:p w14:paraId="29C51063" w14:textId="77777777" w:rsidR="000B3C5C" w:rsidRDefault="00ED192D">
            <w:pPr>
              <w:spacing w:after="0" w:line="259" w:lineRule="auto"/>
              <w:ind w:left="166" w:firstLine="0"/>
            </w:pPr>
            <w:r>
              <w:rPr>
                <w:rFonts w:ascii="Arial" w:eastAsia="Arial" w:hAnsi="Arial" w:cs="Arial"/>
                <w:sz w:val="20"/>
              </w:rPr>
              <w:t xml:space="preserve">NA † </w:t>
            </w:r>
          </w:p>
        </w:tc>
      </w:tr>
      <w:tr w:rsidR="000B3C5C" w14:paraId="406BF57D" w14:textId="77777777">
        <w:trPr>
          <w:trHeight w:val="350"/>
        </w:trPr>
        <w:tc>
          <w:tcPr>
            <w:tcW w:w="4179" w:type="dxa"/>
            <w:tcBorders>
              <w:top w:val="nil"/>
              <w:left w:val="nil"/>
              <w:bottom w:val="nil"/>
              <w:right w:val="nil"/>
            </w:tcBorders>
          </w:tcPr>
          <w:p w14:paraId="456819EB" w14:textId="77777777" w:rsidR="000B3C5C" w:rsidRDefault="00ED192D">
            <w:pPr>
              <w:spacing w:after="0" w:line="259" w:lineRule="auto"/>
              <w:ind w:left="0" w:right="138" w:firstLine="0"/>
              <w:jc w:val="center"/>
            </w:pPr>
            <w:r>
              <w:rPr>
                <w:rFonts w:ascii="Arial" w:eastAsia="Arial" w:hAnsi="Arial" w:cs="Arial"/>
                <w:sz w:val="20"/>
              </w:rPr>
              <w:t xml:space="preserve">Clinical status </w:t>
            </w:r>
          </w:p>
        </w:tc>
        <w:tc>
          <w:tcPr>
            <w:tcW w:w="1274" w:type="dxa"/>
            <w:tcBorders>
              <w:top w:val="nil"/>
              <w:left w:val="nil"/>
              <w:bottom w:val="nil"/>
              <w:right w:val="nil"/>
            </w:tcBorders>
          </w:tcPr>
          <w:p w14:paraId="45B72217" w14:textId="77777777" w:rsidR="000B3C5C" w:rsidRDefault="00ED192D">
            <w:pPr>
              <w:spacing w:after="0" w:line="259" w:lineRule="auto"/>
              <w:ind w:left="0" w:firstLine="0"/>
            </w:pPr>
            <w:r>
              <w:rPr>
                <w:rFonts w:ascii="Arial" w:eastAsia="Arial" w:hAnsi="Arial" w:cs="Arial"/>
                <w:sz w:val="20"/>
              </w:rPr>
              <w:t xml:space="preserve">Stable or ↓ </w:t>
            </w:r>
          </w:p>
        </w:tc>
        <w:tc>
          <w:tcPr>
            <w:tcW w:w="1405" w:type="dxa"/>
            <w:tcBorders>
              <w:top w:val="nil"/>
              <w:left w:val="nil"/>
              <w:bottom w:val="nil"/>
              <w:right w:val="nil"/>
            </w:tcBorders>
          </w:tcPr>
          <w:p w14:paraId="1DA39E68" w14:textId="77777777" w:rsidR="000B3C5C" w:rsidRDefault="00ED192D">
            <w:pPr>
              <w:spacing w:after="0" w:line="259" w:lineRule="auto"/>
              <w:ind w:left="0" w:firstLine="0"/>
            </w:pPr>
            <w:r>
              <w:rPr>
                <w:rFonts w:ascii="Arial" w:eastAsia="Arial" w:hAnsi="Arial" w:cs="Arial"/>
                <w:sz w:val="20"/>
              </w:rPr>
              <w:t xml:space="preserve">Stable or ↑ </w:t>
            </w:r>
          </w:p>
        </w:tc>
        <w:tc>
          <w:tcPr>
            <w:tcW w:w="1980" w:type="dxa"/>
            <w:tcBorders>
              <w:top w:val="nil"/>
              <w:left w:val="nil"/>
              <w:bottom w:val="nil"/>
              <w:right w:val="nil"/>
            </w:tcBorders>
          </w:tcPr>
          <w:p w14:paraId="2900AB4A" w14:textId="77777777" w:rsidR="000B3C5C" w:rsidRDefault="00ED192D">
            <w:pPr>
              <w:spacing w:after="0" w:line="259" w:lineRule="auto"/>
              <w:ind w:left="329" w:firstLine="0"/>
            </w:pPr>
            <w:r>
              <w:rPr>
                <w:rFonts w:ascii="Arial" w:eastAsia="Arial" w:hAnsi="Arial" w:cs="Arial"/>
                <w:sz w:val="20"/>
              </w:rPr>
              <w:t xml:space="preserve">Stable or ↑ </w:t>
            </w:r>
          </w:p>
        </w:tc>
        <w:tc>
          <w:tcPr>
            <w:tcW w:w="847" w:type="dxa"/>
            <w:tcBorders>
              <w:top w:val="nil"/>
              <w:left w:val="nil"/>
              <w:bottom w:val="nil"/>
              <w:right w:val="nil"/>
            </w:tcBorders>
          </w:tcPr>
          <w:p w14:paraId="19B7EF81" w14:textId="77777777" w:rsidR="000B3C5C" w:rsidRDefault="00ED192D">
            <w:pPr>
              <w:spacing w:after="0" w:line="259" w:lineRule="auto"/>
              <w:ind w:left="242" w:firstLine="0"/>
            </w:pPr>
            <w:r>
              <w:rPr>
                <w:rFonts w:ascii="Arial" w:eastAsia="Arial" w:hAnsi="Arial" w:cs="Arial"/>
                <w:sz w:val="20"/>
              </w:rPr>
              <w:t xml:space="preserve">↓ * </w:t>
            </w:r>
          </w:p>
        </w:tc>
      </w:tr>
      <w:tr w:rsidR="000B3C5C" w14:paraId="2C0F19A6" w14:textId="77777777">
        <w:trPr>
          <w:trHeight w:val="344"/>
        </w:trPr>
        <w:tc>
          <w:tcPr>
            <w:tcW w:w="4179" w:type="dxa"/>
            <w:tcBorders>
              <w:top w:val="nil"/>
              <w:left w:val="nil"/>
              <w:bottom w:val="single" w:sz="12" w:space="0" w:color="000000"/>
              <w:right w:val="nil"/>
            </w:tcBorders>
          </w:tcPr>
          <w:p w14:paraId="08B59D25" w14:textId="77777777" w:rsidR="000B3C5C" w:rsidRDefault="00ED192D">
            <w:pPr>
              <w:spacing w:after="0" w:line="259" w:lineRule="auto"/>
              <w:ind w:left="1020" w:firstLine="0"/>
            </w:pPr>
            <w:r>
              <w:rPr>
                <w:rFonts w:ascii="Arial" w:eastAsia="Arial" w:hAnsi="Arial" w:cs="Arial"/>
                <w:sz w:val="20"/>
              </w:rPr>
              <w:t xml:space="preserve">Requirement for response </w:t>
            </w:r>
          </w:p>
        </w:tc>
        <w:tc>
          <w:tcPr>
            <w:tcW w:w="1274" w:type="dxa"/>
            <w:tcBorders>
              <w:top w:val="nil"/>
              <w:left w:val="nil"/>
              <w:bottom w:val="single" w:sz="12" w:space="0" w:color="000000"/>
              <w:right w:val="nil"/>
            </w:tcBorders>
          </w:tcPr>
          <w:p w14:paraId="3A5A5B06" w14:textId="77777777" w:rsidR="000B3C5C" w:rsidRDefault="00ED192D">
            <w:pPr>
              <w:spacing w:after="0" w:line="259" w:lineRule="auto"/>
              <w:ind w:left="310" w:firstLine="0"/>
            </w:pPr>
            <w:r>
              <w:rPr>
                <w:rFonts w:ascii="Arial" w:eastAsia="Arial" w:hAnsi="Arial" w:cs="Arial"/>
                <w:sz w:val="20"/>
              </w:rPr>
              <w:t xml:space="preserve">All </w:t>
            </w:r>
          </w:p>
        </w:tc>
        <w:tc>
          <w:tcPr>
            <w:tcW w:w="1405" w:type="dxa"/>
            <w:tcBorders>
              <w:top w:val="nil"/>
              <w:left w:val="nil"/>
              <w:bottom w:val="single" w:sz="12" w:space="0" w:color="000000"/>
              <w:right w:val="nil"/>
            </w:tcBorders>
          </w:tcPr>
          <w:p w14:paraId="3762D311" w14:textId="77777777" w:rsidR="000B3C5C" w:rsidRDefault="00ED192D">
            <w:pPr>
              <w:spacing w:after="0" w:line="259" w:lineRule="auto"/>
              <w:ind w:left="310" w:firstLine="0"/>
            </w:pPr>
            <w:r>
              <w:rPr>
                <w:rFonts w:ascii="Arial" w:eastAsia="Arial" w:hAnsi="Arial" w:cs="Arial"/>
                <w:sz w:val="20"/>
              </w:rPr>
              <w:t xml:space="preserve">All </w:t>
            </w:r>
          </w:p>
        </w:tc>
        <w:tc>
          <w:tcPr>
            <w:tcW w:w="1980" w:type="dxa"/>
            <w:tcBorders>
              <w:top w:val="nil"/>
              <w:left w:val="nil"/>
              <w:bottom w:val="single" w:sz="12" w:space="0" w:color="000000"/>
              <w:right w:val="nil"/>
            </w:tcBorders>
          </w:tcPr>
          <w:p w14:paraId="6547FD81" w14:textId="77777777" w:rsidR="000B3C5C" w:rsidRDefault="00ED192D">
            <w:pPr>
              <w:spacing w:after="0" w:line="259" w:lineRule="auto"/>
              <w:ind w:left="638" w:firstLine="0"/>
            </w:pPr>
            <w:r>
              <w:rPr>
                <w:rFonts w:ascii="Arial" w:eastAsia="Arial" w:hAnsi="Arial" w:cs="Arial"/>
                <w:sz w:val="20"/>
              </w:rPr>
              <w:t xml:space="preserve">All </w:t>
            </w:r>
          </w:p>
        </w:tc>
        <w:tc>
          <w:tcPr>
            <w:tcW w:w="847" w:type="dxa"/>
            <w:tcBorders>
              <w:top w:val="nil"/>
              <w:left w:val="nil"/>
              <w:bottom w:val="single" w:sz="12" w:space="0" w:color="000000"/>
              <w:right w:val="nil"/>
            </w:tcBorders>
          </w:tcPr>
          <w:p w14:paraId="15D51EE6" w14:textId="77777777" w:rsidR="000B3C5C" w:rsidRDefault="00ED192D">
            <w:pPr>
              <w:spacing w:after="0" w:line="259" w:lineRule="auto"/>
              <w:ind w:left="151" w:firstLine="0"/>
            </w:pPr>
            <w:r>
              <w:rPr>
                <w:rFonts w:ascii="Arial" w:eastAsia="Arial" w:hAnsi="Arial" w:cs="Arial"/>
                <w:sz w:val="20"/>
              </w:rPr>
              <w:t xml:space="preserve">Any * </w:t>
            </w:r>
          </w:p>
        </w:tc>
      </w:tr>
    </w:tbl>
    <w:p w14:paraId="5A57C2B4" w14:textId="77777777" w:rsidR="000B3C5C" w:rsidRDefault="00ED192D">
      <w:pPr>
        <w:spacing w:after="12"/>
        <w:ind w:left="-5" w:right="2"/>
      </w:pPr>
      <w:r>
        <w:rPr>
          <w:rFonts w:ascii="Arial" w:eastAsia="Arial" w:hAnsi="Arial" w:cs="Arial"/>
          <w:sz w:val="18"/>
        </w:rPr>
        <w:t xml:space="preserve">Abbreviations:  CR = complete response; PR = partial response; SD = stable disease, PD = progressive disease; FLAIR = fluid-attenuated inversion recovery; NA = not applicable. </w:t>
      </w:r>
    </w:p>
    <w:p w14:paraId="73D56594" w14:textId="77777777" w:rsidR="000B3C5C" w:rsidRDefault="00ED192D">
      <w:pPr>
        <w:spacing w:after="12"/>
        <w:ind w:left="-5" w:right="2"/>
      </w:pPr>
      <w:r>
        <w:rPr>
          <w:rFonts w:ascii="Arial" w:eastAsia="Arial" w:hAnsi="Arial" w:cs="Arial"/>
          <w:sz w:val="18"/>
        </w:rPr>
        <w:t xml:space="preserve">* Progression occurs when this criterion is present. </w:t>
      </w:r>
    </w:p>
    <w:p w14:paraId="5CA6D813" w14:textId="77777777" w:rsidR="000B3C5C" w:rsidRDefault="00ED192D">
      <w:pPr>
        <w:spacing w:after="531"/>
        <w:ind w:left="-5" w:right="2"/>
      </w:pPr>
      <w:r>
        <w:rPr>
          <w:rFonts w:ascii="Arial" w:eastAsia="Arial" w:hAnsi="Arial" w:cs="Arial"/>
          <w:sz w:val="18"/>
        </w:rPr>
        <w:t xml:space="preserve">† Increase in corticosteroids alone will not be taken into account in determining progression in the absence of persistent clinical deterioration. </w:t>
      </w:r>
    </w:p>
    <w:p w14:paraId="07BC2DBE" w14:textId="77777777" w:rsidR="000B3C5C" w:rsidRDefault="00ED192D">
      <w:pPr>
        <w:spacing w:after="249" w:line="249" w:lineRule="auto"/>
        <w:ind w:left="664" w:hanging="679"/>
      </w:pPr>
      <w:r>
        <w:rPr>
          <w:rFonts w:ascii="Arial" w:eastAsia="Arial" w:hAnsi="Arial" w:cs="Arial"/>
          <w:b/>
          <w:sz w:val="22"/>
        </w:rPr>
        <w:t xml:space="preserve">10.16 APPENDIX 16:  MODIFIED RESPONSE EVALUATION CRITERIA IN SOLID TUMORS </w:t>
      </w:r>
    </w:p>
    <w:p w14:paraId="59338785" w14:textId="77777777" w:rsidR="000B3C5C" w:rsidRDefault="00ED192D">
      <w:pPr>
        <w:pStyle w:val="Heading3"/>
        <w:ind w:left="664" w:hanging="679"/>
      </w:pPr>
      <w:r>
        <w:t>FOR IMMUNE-</w:t>
      </w:r>
      <w:r>
        <w:t xml:space="preserve">BASED THERAPEUTICS (IRECIST)  </w:t>
      </w:r>
    </w:p>
    <w:p w14:paraId="28E2EDAF" w14:textId="77777777" w:rsidR="000B3C5C" w:rsidRDefault="00ED192D">
      <w:pPr>
        <w:spacing w:after="309"/>
        <w:ind w:left="-3" w:right="14"/>
      </w:pPr>
      <w:r>
        <w:t>Details provided in bibliographic reference</w:t>
      </w:r>
      <w:r>
        <w:rPr>
          <w:rFonts w:ascii="Arial" w:eastAsia="Arial" w:hAnsi="Arial" w:cs="Arial"/>
          <w:sz w:val="22"/>
        </w:rPr>
        <w:t xml:space="preserve"> (</w:t>
      </w:r>
      <w:r>
        <w:rPr>
          <w:rFonts w:ascii="Arial" w:eastAsia="Arial" w:hAnsi="Arial" w:cs="Arial"/>
          <w:color w:val="0000FF"/>
          <w:sz w:val="22"/>
        </w:rPr>
        <w:t>56</w:t>
      </w:r>
      <w:r>
        <w:rPr>
          <w:rFonts w:ascii="Arial" w:eastAsia="Arial" w:hAnsi="Arial" w:cs="Arial"/>
          <w:sz w:val="22"/>
        </w:rPr>
        <w:t xml:space="preserve">). </w:t>
      </w:r>
    </w:p>
    <w:p w14:paraId="24C5096C" w14:textId="77777777" w:rsidR="000B3C5C" w:rsidRDefault="00ED192D">
      <w:pPr>
        <w:pStyle w:val="Heading4"/>
        <w:spacing w:after="3" w:line="259" w:lineRule="auto"/>
        <w:ind w:left="-5"/>
      </w:pPr>
      <w:r>
        <w:rPr>
          <w:sz w:val="20"/>
        </w:rPr>
        <w:t xml:space="preserve">Table 15 - Comparison of Response Evaluation Criteria in Solid Tumors (RECIST) 1.1 and modified </w:t>
      </w:r>
    </w:p>
    <w:p w14:paraId="36074C93" w14:textId="77777777" w:rsidR="000B3C5C" w:rsidRDefault="00ED192D">
      <w:pPr>
        <w:spacing w:after="4" w:line="250" w:lineRule="auto"/>
        <w:ind w:left="15" w:right="5"/>
        <w:jc w:val="center"/>
      </w:pPr>
      <w:r>
        <w:rPr>
          <w:rFonts w:ascii="Arial" w:eastAsia="Arial" w:hAnsi="Arial" w:cs="Arial"/>
          <w:b/>
          <w:sz w:val="20"/>
        </w:rPr>
        <w:t xml:space="preserve">Response Evaluation Criteria in Solid Tumors for immune based therapies (iRECIST)  </w:t>
      </w:r>
    </w:p>
    <w:tbl>
      <w:tblPr>
        <w:tblStyle w:val="TableGrid"/>
        <w:tblW w:w="9700" w:type="dxa"/>
        <w:tblInd w:w="-122" w:type="dxa"/>
        <w:tblCellMar>
          <w:top w:w="81" w:type="dxa"/>
          <w:left w:w="0" w:type="dxa"/>
          <w:bottom w:w="0" w:type="dxa"/>
          <w:right w:w="87" w:type="dxa"/>
        </w:tblCellMar>
        <w:tblLook w:val="04A0" w:firstRow="1" w:lastRow="0" w:firstColumn="1" w:lastColumn="0" w:noHBand="0" w:noVBand="1"/>
      </w:tblPr>
      <w:tblGrid>
        <w:gridCol w:w="3377"/>
        <w:gridCol w:w="3239"/>
        <w:gridCol w:w="3084"/>
      </w:tblGrid>
      <w:tr w:rsidR="000B3C5C" w14:paraId="3C03DDD5" w14:textId="77777777">
        <w:trPr>
          <w:trHeight w:val="360"/>
        </w:trPr>
        <w:tc>
          <w:tcPr>
            <w:tcW w:w="3377" w:type="dxa"/>
            <w:tcBorders>
              <w:top w:val="single" w:sz="4" w:space="0" w:color="000000"/>
              <w:left w:val="nil"/>
              <w:bottom w:val="single" w:sz="4" w:space="0" w:color="000000"/>
              <w:right w:val="nil"/>
            </w:tcBorders>
          </w:tcPr>
          <w:p w14:paraId="51118329" w14:textId="77777777" w:rsidR="000B3C5C" w:rsidRDefault="00ED192D">
            <w:pPr>
              <w:spacing w:after="0" w:line="259" w:lineRule="auto"/>
              <w:ind w:left="0" w:right="28" w:firstLine="0"/>
              <w:jc w:val="center"/>
            </w:pPr>
            <w:r>
              <w:rPr>
                <w:rFonts w:ascii="Arial" w:eastAsia="Arial" w:hAnsi="Arial" w:cs="Arial"/>
                <w:b/>
                <w:sz w:val="20"/>
              </w:rPr>
              <w:t xml:space="preserve"> </w:t>
            </w:r>
          </w:p>
        </w:tc>
        <w:tc>
          <w:tcPr>
            <w:tcW w:w="3239" w:type="dxa"/>
            <w:tcBorders>
              <w:top w:val="single" w:sz="4" w:space="0" w:color="000000"/>
              <w:left w:val="nil"/>
              <w:bottom w:val="single" w:sz="4" w:space="0" w:color="000000"/>
              <w:right w:val="nil"/>
            </w:tcBorders>
          </w:tcPr>
          <w:p w14:paraId="27E19AFB" w14:textId="77777777" w:rsidR="000B3C5C" w:rsidRDefault="00ED192D">
            <w:pPr>
              <w:spacing w:after="0" w:line="259" w:lineRule="auto"/>
              <w:ind w:left="0" w:right="227" w:firstLine="0"/>
              <w:jc w:val="center"/>
            </w:pPr>
            <w:r>
              <w:rPr>
                <w:rFonts w:ascii="Arial" w:eastAsia="Arial" w:hAnsi="Arial" w:cs="Arial"/>
                <w:b/>
                <w:sz w:val="20"/>
              </w:rPr>
              <w:t xml:space="preserve">RECIST 1.1 </w:t>
            </w:r>
          </w:p>
        </w:tc>
        <w:tc>
          <w:tcPr>
            <w:tcW w:w="3084" w:type="dxa"/>
            <w:tcBorders>
              <w:top w:val="single" w:sz="4" w:space="0" w:color="000000"/>
              <w:left w:val="nil"/>
              <w:bottom w:val="single" w:sz="4" w:space="0" w:color="000000"/>
              <w:right w:val="nil"/>
            </w:tcBorders>
          </w:tcPr>
          <w:p w14:paraId="150355EB" w14:textId="77777777" w:rsidR="000B3C5C" w:rsidRDefault="00ED192D">
            <w:pPr>
              <w:spacing w:after="0" w:line="259" w:lineRule="auto"/>
              <w:ind w:left="0" w:right="46" w:firstLine="0"/>
              <w:jc w:val="center"/>
            </w:pPr>
            <w:r>
              <w:rPr>
                <w:rFonts w:ascii="Arial" w:eastAsia="Arial" w:hAnsi="Arial" w:cs="Arial"/>
                <w:b/>
                <w:sz w:val="20"/>
              </w:rPr>
              <w:t xml:space="preserve">iRECIST </w:t>
            </w:r>
          </w:p>
        </w:tc>
      </w:tr>
      <w:tr w:rsidR="000B3C5C" w14:paraId="149F6ACC" w14:textId="77777777">
        <w:trPr>
          <w:trHeight w:val="1523"/>
        </w:trPr>
        <w:tc>
          <w:tcPr>
            <w:tcW w:w="3377" w:type="dxa"/>
            <w:tcBorders>
              <w:top w:val="single" w:sz="4" w:space="0" w:color="000000"/>
              <w:left w:val="nil"/>
              <w:bottom w:val="nil"/>
              <w:right w:val="nil"/>
            </w:tcBorders>
          </w:tcPr>
          <w:p w14:paraId="7B61F676" w14:textId="77777777" w:rsidR="000B3C5C" w:rsidRDefault="00ED192D">
            <w:pPr>
              <w:spacing w:after="0" w:line="241" w:lineRule="auto"/>
              <w:ind w:left="158" w:firstLine="362"/>
            </w:pPr>
            <w:r>
              <w:rPr>
                <w:rFonts w:ascii="Arial" w:eastAsia="Arial" w:hAnsi="Arial" w:cs="Arial"/>
                <w:sz w:val="20"/>
              </w:rPr>
              <w:t xml:space="preserve">Definitions of measurable and non-measurable disease; numbers, and </w:t>
            </w:r>
          </w:p>
          <w:p w14:paraId="78391502" w14:textId="77777777" w:rsidR="000B3C5C" w:rsidRDefault="00ED192D">
            <w:pPr>
              <w:spacing w:after="0" w:line="259" w:lineRule="auto"/>
              <w:ind w:left="0" w:right="85" w:firstLine="0"/>
              <w:jc w:val="center"/>
            </w:pPr>
            <w:r>
              <w:rPr>
                <w:rFonts w:ascii="Arial" w:eastAsia="Arial" w:hAnsi="Arial" w:cs="Arial"/>
                <w:sz w:val="20"/>
              </w:rPr>
              <w:t xml:space="preserve">site of target disease </w:t>
            </w:r>
          </w:p>
        </w:tc>
        <w:tc>
          <w:tcPr>
            <w:tcW w:w="3239" w:type="dxa"/>
            <w:tcBorders>
              <w:top w:val="single" w:sz="4" w:space="0" w:color="000000"/>
              <w:left w:val="nil"/>
              <w:bottom w:val="nil"/>
              <w:right w:val="nil"/>
            </w:tcBorders>
          </w:tcPr>
          <w:p w14:paraId="40E7EF94" w14:textId="77777777" w:rsidR="000B3C5C" w:rsidRDefault="00ED192D">
            <w:pPr>
              <w:spacing w:after="0" w:line="241" w:lineRule="auto"/>
              <w:ind w:left="118" w:firstLine="82"/>
            </w:pPr>
            <w:r>
              <w:rPr>
                <w:rFonts w:ascii="Arial" w:eastAsia="Arial" w:hAnsi="Arial" w:cs="Arial"/>
                <w:sz w:val="20"/>
              </w:rPr>
              <w:t xml:space="preserve">Measurable lesions are ≥10 </w:t>
            </w:r>
            <w:r>
              <w:rPr>
                <w:rFonts w:ascii="Arial" w:eastAsia="Arial" w:hAnsi="Arial" w:cs="Arial"/>
                <w:sz w:val="20"/>
              </w:rPr>
              <w:t xml:space="preserve">mm in diameter (≥15 mm for nodal lesions); </w:t>
            </w:r>
          </w:p>
          <w:p w14:paraId="1CDED25D" w14:textId="77777777" w:rsidR="000B3C5C" w:rsidRDefault="00ED192D">
            <w:pPr>
              <w:spacing w:after="0" w:line="259" w:lineRule="auto"/>
              <w:ind w:firstLine="34"/>
            </w:pPr>
            <w:r>
              <w:rPr>
                <w:rFonts w:ascii="Arial" w:eastAsia="Arial" w:hAnsi="Arial" w:cs="Arial"/>
                <w:sz w:val="20"/>
              </w:rPr>
              <w:t xml:space="preserve">maximum of 5 lesions (2 per organ); all other disease is considered non-target (must be ≥10 mm in short axis for nodal disease) </w:t>
            </w:r>
          </w:p>
        </w:tc>
        <w:tc>
          <w:tcPr>
            <w:tcW w:w="3084" w:type="dxa"/>
            <w:tcBorders>
              <w:top w:val="single" w:sz="4" w:space="0" w:color="000000"/>
              <w:left w:val="nil"/>
              <w:bottom w:val="nil"/>
              <w:right w:val="nil"/>
            </w:tcBorders>
          </w:tcPr>
          <w:p w14:paraId="2B390C35" w14:textId="77777777" w:rsidR="000B3C5C" w:rsidRDefault="00ED192D">
            <w:pPr>
              <w:spacing w:after="0" w:line="241" w:lineRule="auto"/>
              <w:ind w:left="288" w:hanging="233"/>
            </w:pPr>
            <w:r>
              <w:rPr>
                <w:rFonts w:ascii="Arial" w:eastAsia="Arial" w:hAnsi="Arial" w:cs="Arial"/>
                <w:sz w:val="20"/>
              </w:rPr>
              <w:t xml:space="preserve">No change from RECIST 1.1; however, new lesions are assessed as per </w:t>
            </w:r>
          </w:p>
          <w:p w14:paraId="46961F9A" w14:textId="77777777" w:rsidR="000B3C5C" w:rsidRDefault="00ED192D">
            <w:pPr>
              <w:spacing w:after="0" w:line="241" w:lineRule="auto"/>
              <w:ind w:left="0" w:firstLine="14"/>
            </w:pPr>
            <w:r>
              <w:rPr>
                <w:rFonts w:ascii="Arial" w:eastAsia="Arial" w:hAnsi="Arial" w:cs="Arial"/>
                <w:sz w:val="20"/>
              </w:rPr>
              <w:t xml:space="preserve">RECIST 1.1 but are recorded separately on the case report form (but not included </w:t>
            </w:r>
          </w:p>
          <w:p w14:paraId="08472254" w14:textId="77777777" w:rsidR="000B3C5C" w:rsidRDefault="00ED192D">
            <w:pPr>
              <w:spacing w:after="0" w:line="259" w:lineRule="auto"/>
              <w:ind w:left="101" w:firstLine="0"/>
            </w:pPr>
            <w:r>
              <w:rPr>
                <w:rFonts w:ascii="Arial" w:eastAsia="Arial" w:hAnsi="Arial" w:cs="Arial"/>
                <w:sz w:val="20"/>
              </w:rPr>
              <w:t xml:space="preserve">in the sum of lesions for target lesions </w:t>
            </w:r>
          </w:p>
          <w:p w14:paraId="2BFC99A7" w14:textId="77777777" w:rsidR="000B3C5C" w:rsidRDefault="00ED192D">
            <w:pPr>
              <w:spacing w:after="0" w:line="259" w:lineRule="auto"/>
              <w:ind w:left="0" w:right="45" w:firstLine="0"/>
              <w:jc w:val="center"/>
            </w:pPr>
            <w:r>
              <w:rPr>
                <w:rFonts w:ascii="Arial" w:eastAsia="Arial" w:hAnsi="Arial" w:cs="Arial"/>
                <w:sz w:val="20"/>
              </w:rPr>
              <w:t xml:space="preserve">identified at baseline) </w:t>
            </w:r>
          </w:p>
        </w:tc>
      </w:tr>
      <w:tr w:rsidR="000B3C5C" w14:paraId="7E83D6BB" w14:textId="77777777">
        <w:trPr>
          <w:trHeight w:val="809"/>
        </w:trPr>
        <w:tc>
          <w:tcPr>
            <w:tcW w:w="3377" w:type="dxa"/>
            <w:tcBorders>
              <w:top w:val="nil"/>
              <w:left w:val="nil"/>
              <w:bottom w:val="nil"/>
              <w:right w:val="nil"/>
            </w:tcBorders>
          </w:tcPr>
          <w:p w14:paraId="42D0C064" w14:textId="77777777" w:rsidR="000B3C5C" w:rsidRDefault="00ED192D">
            <w:pPr>
              <w:spacing w:after="0" w:line="259" w:lineRule="auto"/>
              <w:ind w:left="1080" w:hanging="936"/>
            </w:pPr>
            <w:r>
              <w:rPr>
                <w:rFonts w:ascii="Arial" w:eastAsia="Arial" w:hAnsi="Arial" w:cs="Arial"/>
                <w:sz w:val="20"/>
              </w:rPr>
              <w:t xml:space="preserve">Complete response, partial response, or stable disease </w:t>
            </w:r>
          </w:p>
        </w:tc>
        <w:tc>
          <w:tcPr>
            <w:tcW w:w="3239" w:type="dxa"/>
            <w:tcBorders>
              <w:top w:val="nil"/>
              <w:left w:val="nil"/>
              <w:bottom w:val="nil"/>
              <w:right w:val="nil"/>
            </w:tcBorders>
          </w:tcPr>
          <w:p w14:paraId="5D71A394" w14:textId="77777777" w:rsidR="000B3C5C" w:rsidRDefault="00ED192D">
            <w:pPr>
              <w:spacing w:after="0" w:line="259" w:lineRule="auto"/>
              <w:ind w:left="245" w:hanging="245"/>
            </w:pPr>
            <w:r>
              <w:rPr>
                <w:rFonts w:ascii="Arial" w:eastAsia="Arial" w:hAnsi="Arial" w:cs="Arial"/>
                <w:sz w:val="20"/>
              </w:rPr>
              <w:t xml:space="preserve">Cannot have met criteria for progression before complete response, partial response, or stable disease </w:t>
            </w:r>
          </w:p>
        </w:tc>
        <w:tc>
          <w:tcPr>
            <w:tcW w:w="3084" w:type="dxa"/>
            <w:tcBorders>
              <w:top w:val="nil"/>
              <w:left w:val="nil"/>
              <w:bottom w:val="nil"/>
              <w:right w:val="nil"/>
            </w:tcBorders>
          </w:tcPr>
          <w:p w14:paraId="6B9D4A24" w14:textId="77777777" w:rsidR="000B3C5C" w:rsidRDefault="00ED192D">
            <w:pPr>
              <w:spacing w:after="2" w:line="239" w:lineRule="auto"/>
              <w:ind w:left="134" w:firstLine="127"/>
            </w:pPr>
            <w:r>
              <w:rPr>
                <w:rFonts w:ascii="Arial" w:eastAsia="Arial" w:hAnsi="Arial" w:cs="Arial"/>
                <w:sz w:val="20"/>
              </w:rPr>
              <w:t xml:space="preserve">Can have had iUPD (one or more instances), but not iCPD, before iCR, </w:t>
            </w:r>
          </w:p>
          <w:p w14:paraId="0C323E11" w14:textId="77777777" w:rsidR="000B3C5C" w:rsidRDefault="00ED192D">
            <w:pPr>
              <w:spacing w:after="0" w:line="259" w:lineRule="auto"/>
              <w:ind w:left="0" w:right="43" w:firstLine="0"/>
              <w:jc w:val="center"/>
            </w:pPr>
            <w:r>
              <w:rPr>
                <w:rFonts w:ascii="Arial" w:eastAsia="Arial" w:hAnsi="Arial" w:cs="Arial"/>
                <w:sz w:val="20"/>
              </w:rPr>
              <w:t xml:space="preserve">iPR, or iSD </w:t>
            </w:r>
          </w:p>
        </w:tc>
      </w:tr>
      <w:tr w:rsidR="000B3C5C" w14:paraId="060EAD2C" w14:textId="77777777">
        <w:trPr>
          <w:trHeight w:val="580"/>
        </w:trPr>
        <w:tc>
          <w:tcPr>
            <w:tcW w:w="3377" w:type="dxa"/>
            <w:tcBorders>
              <w:top w:val="nil"/>
              <w:left w:val="nil"/>
              <w:bottom w:val="nil"/>
              <w:right w:val="nil"/>
            </w:tcBorders>
          </w:tcPr>
          <w:p w14:paraId="22D1CBDB" w14:textId="77777777" w:rsidR="000B3C5C" w:rsidRDefault="00ED192D">
            <w:pPr>
              <w:spacing w:after="0" w:line="259" w:lineRule="auto"/>
              <w:ind w:left="1020" w:hanging="785"/>
            </w:pPr>
            <w:r>
              <w:rPr>
                <w:rFonts w:ascii="Arial" w:eastAsia="Arial" w:hAnsi="Arial" w:cs="Arial"/>
                <w:sz w:val="20"/>
              </w:rPr>
              <w:t xml:space="preserve">Confirmation of complete response or partial response </w:t>
            </w:r>
          </w:p>
        </w:tc>
        <w:tc>
          <w:tcPr>
            <w:tcW w:w="3239" w:type="dxa"/>
            <w:tcBorders>
              <w:top w:val="nil"/>
              <w:left w:val="nil"/>
              <w:bottom w:val="nil"/>
              <w:right w:val="nil"/>
            </w:tcBorders>
          </w:tcPr>
          <w:p w14:paraId="65865710" w14:textId="77777777" w:rsidR="000B3C5C" w:rsidRDefault="00ED192D">
            <w:pPr>
              <w:spacing w:after="0" w:line="259" w:lineRule="auto"/>
              <w:ind w:left="41" w:firstLine="0"/>
            </w:pPr>
            <w:r>
              <w:rPr>
                <w:rFonts w:ascii="Arial" w:eastAsia="Arial" w:hAnsi="Arial" w:cs="Arial"/>
                <w:sz w:val="20"/>
              </w:rPr>
              <w:t xml:space="preserve">Only required for non-randomized trials </w:t>
            </w:r>
          </w:p>
        </w:tc>
        <w:tc>
          <w:tcPr>
            <w:tcW w:w="3084" w:type="dxa"/>
            <w:tcBorders>
              <w:top w:val="nil"/>
              <w:left w:val="nil"/>
              <w:bottom w:val="nil"/>
              <w:right w:val="nil"/>
            </w:tcBorders>
          </w:tcPr>
          <w:p w14:paraId="6DC6FE17" w14:textId="77777777" w:rsidR="000B3C5C" w:rsidRDefault="00ED192D">
            <w:pPr>
              <w:spacing w:after="0" w:line="259" w:lineRule="auto"/>
              <w:ind w:left="0" w:right="47" w:firstLine="0"/>
              <w:jc w:val="center"/>
            </w:pPr>
            <w:r>
              <w:rPr>
                <w:rFonts w:ascii="Arial" w:eastAsia="Arial" w:hAnsi="Arial" w:cs="Arial"/>
                <w:sz w:val="20"/>
              </w:rPr>
              <w:t xml:space="preserve">As per RECIST 1.1 </w:t>
            </w:r>
          </w:p>
        </w:tc>
      </w:tr>
      <w:tr w:rsidR="000B3C5C" w14:paraId="53C6F4A2" w14:textId="77777777">
        <w:trPr>
          <w:trHeight w:val="334"/>
        </w:trPr>
        <w:tc>
          <w:tcPr>
            <w:tcW w:w="3377" w:type="dxa"/>
            <w:tcBorders>
              <w:top w:val="nil"/>
              <w:left w:val="nil"/>
              <w:bottom w:val="single" w:sz="4" w:space="0" w:color="000000"/>
              <w:right w:val="nil"/>
            </w:tcBorders>
          </w:tcPr>
          <w:p w14:paraId="7C162B5A" w14:textId="77777777" w:rsidR="000B3C5C" w:rsidRDefault="00ED192D">
            <w:pPr>
              <w:spacing w:after="0" w:line="259" w:lineRule="auto"/>
              <w:ind w:left="0" w:right="85" w:firstLine="0"/>
              <w:jc w:val="center"/>
            </w:pPr>
            <w:r>
              <w:rPr>
                <w:rFonts w:ascii="Arial" w:eastAsia="Arial" w:hAnsi="Arial" w:cs="Arial"/>
                <w:sz w:val="20"/>
              </w:rPr>
              <w:t xml:space="preserve">Confirmation of stable disease </w:t>
            </w:r>
          </w:p>
        </w:tc>
        <w:tc>
          <w:tcPr>
            <w:tcW w:w="3239" w:type="dxa"/>
            <w:tcBorders>
              <w:top w:val="nil"/>
              <w:left w:val="nil"/>
              <w:bottom w:val="single" w:sz="4" w:space="0" w:color="000000"/>
              <w:right w:val="nil"/>
            </w:tcBorders>
          </w:tcPr>
          <w:p w14:paraId="798A08A3" w14:textId="77777777" w:rsidR="000B3C5C" w:rsidRDefault="00ED192D">
            <w:pPr>
              <w:spacing w:after="0" w:line="259" w:lineRule="auto"/>
              <w:ind w:left="0" w:right="229" w:firstLine="0"/>
              <w:jc w:val="center"/>
            </w:pPr>
            <w:r>
              <w:rPr>
                <w:rFonts w:ascii="Arial" w:eastAsia="Arial" w:hAnsi="Arial" w:cs="Arial"/>
                <w:sz w:val="20"/>
              </w:rPr>
              <w:t xml:space="preserve">Not required </w:t>
            </w:r>
          </w:p>
        </w:tc>
        <w:tc>
          <w:tcPr>
            <w:tcW w:w="3084" w:type="dxa"/>
            <w:tcBorders>
              <w:top w:val="nil"/>
              <w:left w:val="nil"/>
              <w:bottom w:val="single" w:sz="4" w:space="0" w:color="000000"/>
              <w:right w:val="nil"/>
            </w:tcBorders>
          </w:tcPr>
          <w:p w14:paraId="3F7A5977" w14:textId="77777777" w:rsidR="000B3C5C" w:rsidRDefault="00ED192D">
            <w:pPr>
              <w:spacing w:after="0" w:line="259" w:lineRule="auto"/>
              <w:ind w:left="0" w:right="46" w:firstLine="0"/>
              <w:jc w:val="center"/>
            </w:pPr>
            <w:r>
              <w:rPr>
                <w:rFonts w:ascii="Arial" w:eastAsia="Arial" w:hAnsi="Arial" w:cs="Arial"/>
                <w:sz w:val="20"/>
              </w:rPr>
              <w:t xml:space="preserve">As per RECIST 1.1 </w:t>
            </w:r>
          </w:p>
        </w:tc>
      </w:tr>
    </w:tbl>
    <w:p w14:paraId="12A3D2DB" w14:textId="77777777" w:rsidR="000B3C5C" w:rsidRDefault="000B3C5C">
      <w:pPr>
        <w:sectPr w:rsidR="000B3C5C">
          <w:headerReference w:type="even" r:id="rId41"/>
          <w:headerReference w:type="default" r:id="rId42"/>
          <w:footerReference w:type="even" r:id="rId43"/>
          <w:footerReference w:type="default" r:id="rId44"/>
          <w:headerReference w:type="first" r:id="rId45"/>
          <w:footerReference w:type="first" r:id="rId46"/>
          <w:pgSz w:w="11906" w:h="16838"/>
          <w:pgMar w:top="1829" w:right="854" w:bottom="2170" w:left="1587" w:header="1170" w:footer="454" w:gutter="0"/>
          <w:cols w:space="720"/>
        </w:sectPr>
      </w:pPr>
    </w:p>
    <w:tbl>
      <w:tblPr>
        <w:tblStyle w:val="TableGrid"/>
        <w:tblW w:w="9686" w:type="dxa"/>
        <w:tblInd w:w="-108" w:type="dxa"/>
        <w:tblCellMar>
          <w:top w:w="0" w:type="dxa"/>
          <w:left w:w="0" w:type="dxa"/>
          <w:bottom w:w="0" w:type="dxa"/>
          <w:right w:w="99" w:type="dxa"/>
        </w:tblCellMar>
        <w:tblLook w:val="04A0" w:firstRow="1" w:lastRow="0" w:firstColumn="1" w:lastColumn="0" w:noHBand="0" w:noVBand="1"/>
      </w:tblPr>
      <w:tblGrid>
        <w:gridCol w:w="3317"/>
        <w:gridCol w:w="3299"/>
        <w:gridCol w:w="3070"/>
      </w:tblGrid>
      <w:tr w:rsidR="000B3C5C" w14:paraId="78B7537B" w14:textId="77777777">
        <w:trPr>
          <w:trHeight w:val="659"/>
        </w:trPr>
        <w:tc>
          <w:tcPr>
            <w:tcW w:w="3317" w:type="dxa"/>
            <w:tcBorders>
              <w:top w:val="nil"/>
              <w:left w:val="nil"/>
              <w:bottom w:val="single" w:sz="4" w:space="0" w:color="000000"/>
              <w:right w:val="nil"/>
            </w:tcBorders>
          </w:tcPr>
          <w:p w14:paraId="31DCD388" w14:textId="77777777" w:rsidR="000B3C5C" w:rsidRDefault="00ED192D">
            <w:pPr>
              <w:spacing w:after="0" w:line="259" w:lineRule="auto"/>
              <w:ind w:left="108" w:firstLine="0"/>
            </w:pPr>
            <w:r>
              <w:rPr>
                <w:rFonts w:ascii="Arial" w:eastAsia="Arial" w:hAnsi="Arial" w:cs="Arial"/>
                <w:sz w:val="18"/>
              </w:rPr>
              <w:t xml:space="preserve">Amended Clinical Trial Protocol 05 </w:t>
            </w:r>
          </w:p>
          <w:p w14:paraId="7FABD62E" w14:textId="77777777" w:rsidR="000B3C5C" w:rsidRDefault="00ED192D">
            <w:pPr>
              <w:spacing w:after="38" w:line="259" w:lineRule="auto"/>
              <w:ind w:left="108" w:firstLine="0"/>
            </w:pPr>
            <w:r>
              <w:rPr>
                <w:rFonts w:ascii="Arial" w:eastAsia="Arial" w:hAnsi="Arial" w:cs="Arial"/>
                <w:sz w:val="18"/>
              </w:rPr>
              <w:t xml:space="preserve">ACT15377 – isatuximab </w:t>
            </w:r>
          </w:p>
          <w:p w14:paraId="7E449160" w14:textId="77777777" w:rsidR="000B3C5C" w:rsidRDefault="00ED192D">
            <w:pPr>
              <w:spacing w:after="0" w:line="259" w:lineRule="auto"/>
              <w:ind w:left="108" w:firstLine="0"/>
            </w:pPr>
            <w:r>
              <w:t xml:space="preserve"> </w:t>
            </w:r>
          </w:p>
        </w:tc>
        <w:tc>
          <w:tcPr>
            <w:tcW w:w="3299" w:type="dxa"/>
            <w:tcBorders>
              <w:top w:val="nil"/>
              <w:left w:val="nil"/>
              <w:bottom w:val="single" w:sz="4" w:space="0" w:color="000000"/>
              <w:right w:val="nil"/>
            </w:tcBorders>
          </w:tcPr>
          <w:p w14:paraId="278A1B05" w14:textId="77777777" w:rsidR="000B3C5C" w:rsidRDefault="00ED192D">
            <w:pPr>
              <w:spacing w:after="0" w:line="259" w:lineRule="auto"/>
              <w:ind w:left="465" w:firstLine="0"/>
              <w:jc w:val="center"/>
            </w:pPr>
            <w:r>
              <w:rPr>
                <w:rFonts w:ascii="Arial" w:eastAsia="Arial" w:hAnsi="Arial" w:cs="Arial"/>
                <w:sz w:val="18"/>
              </w:rPr>
              <w:t xml:space="preserve">23-Nov-2020 </w:t>
            </w:r>
          </w:p>
          <w:p w14:paraId="783B4E21" w14:textId="77777777" w:rsidR="000B3C5C" w:rsidRDefault="00ED192D">
            <w:pPr>
              <w:spacing w:after="0" w:line="259" w:lineRule="auto"/>
              <w:ind w:left="1311" w:firstLine="0"/>
            </w:pPr>
            <w:r>
              <w:rPr>
                <w:rFonts w:ascii="Arial" w:eastAsia="Arial" w:hAnsi="Arial" w:cs="Arial"/>
                <w:sz w:val="18"/>
              </w:rPr>
              <w:t>Version number: 1</w:t>
            </w:r>
            <w:r>
              <w:rPr>
                <w:rFonts w:ascii="Arial" w:eastAsia="Arial" w:hAnsi="Arial" w:cs="Arial"/>
                <w:color w:val="0070C0"/>
                <w:sz w:val="18"/>
              </w:rPr>
              <w:t xml:space="preserve"> </w:t>
            </w:r>
          </w:p>
        </w:tc>
        <w:tc>
          <w:tcPr>
            <w:tcW w:w="3070" w:type="dxa"/>
            <w:tcBorders>
              <w:top w:val="nil"/>
              <w:left w:val="nil"/>
              <w:bottom w:val="single" w:sz="4" w:space="0" w:color="000000"/>
              <w:right w:val="nil"/>
            </w:tcBorders>
          </w:tcPr>
          <w:p w14:paraId="1631347D" w14:textId="77777777" w:rsidR="000B3C5C" w:rsidRDefault="000B3C5C">
            <w:pPr>
              <w:spacing w:after="160" w:line="259" w:lineRule="auto"/>
              <w:ind w:left="0" w:firstLine="0"/>
            </w:pPr>
          </w:p>
        </w:tc>
      </w:tr>
      <w:tr w:rsidR="000B3C5C" w14:paraId="3B3F09FA" w14:textId="77777777">
        <w:trPr>
          <w:trHeight w:val="360"/>
        </w:trPr>
        <w:tc>
          <w:tcPr>
            <w:tcW w:w="3317" w:type="dxa"/>
            <w:tcBorders>
              <w:top w:val="single" w:sz="4" w:space="0" w:color="000000"/>
              <w:left w:val="nil"/>
              <w:bottom w:val="single" w:sz="4" w:space="0" w:color="000000"/>
              <w:right w:val="nil"/>
            </w:tcBorders>
          </w:tcPr>
          <w:p w14:paraId="2C0A9F1B" w14:textId="77777777" w:rsidR="000B3C5C" w:rsidRDefault="00ED192D">
            <w:pPr>
              <w:spacing w:after="0" w:line="259" w:lineRule="auto"/>
              <w:ind w:left="14" w:firstLine="0"/>
              <w:jc w:val="center"/>
            </w:pPr>
            <w:r>
              <w:rPr>
                <w:rFonts w:ascii="Arial" w:eastAsia="Arial" w:hAnsi="Arial" w:cs="Arial"/>
                <w:b/>
                <w:sz w:val="20"/>
              </w:rPr>
              <w:t xml:space="preserve"> </w:t>
            </w:r>
          </w:p>
        </w:tc>
        <w:tc>
          <w:tcPr>
            <w:tcW w:w="3299" w:type="dxa"/>
            <w:tcBorders>
              <w:top w:val="single" w:sz="4" w:space="0" w:color="000000"/>
              <w:left w:val="nil"/>
              <w:bottom w:val="single" w:sz="4" w:space="0" w:color="000000"/>
              <w:right w:val="nil"/>
            </w:tcBorders>
          </w:tcPr>
          <w:p w14:paraId="2E86873B" w14:textId="77777777" w:rsidR="000B3C5C" w:rsidRDefault="00ED192D">
            <w:pPr>
              <w:spacing w:after="0" w:line="259" w:lineRule="auto"/>
              <w:ind w:left="0" w:right="184" w:firstLine="0"/>
              <w:jc w:val="center"/>
            </w:pPr>
            <w:r>
              <w:rPr>
                <w:rFonts w:ascii="Arial" w:eastAsia="Arial" w:hAnsi="Arial" w:cs="Arial"/>
                <w:b/>
                <w:sz w:val="20"/>
              </w:rPr>
              <w:t xml:space="preserve">RECIST 1.1 </w:t>
            </w:r>
          </w:p>
        </w:tc>
        <w:tc>
          <w:tcPr>
            <w:tcW w:w="3070" w:type="dxa"/>
            <w:tcBorders>
              <w:top w:val="single" w:sz="4" w:space="0" w:color="000000"/>
              <w:left w:val="nil"/>
              <w:bottom w:val="single" w:sz="4" w:space="0" w:color="000000"/>
              <w:right w:val="nil"/>
            </w:tcBorders>
          </w:tcPr>
          <w:p w14:paraId="79FEB3A7" w14:textId="77777777" w:rsidR="000B3C5C" w:rsidRDefault="00ED192D">
            <w:pPr>
              <w:spacing w:after="0" w:line="259" w:lineRule="auto"/>
              <w:ind w:left="0" w:right="49" w:firstLine="0"/>
              <w:jc w:val="center"/>
            </w:pPr>
            <w:r>
              <w:rPr>
                <w:rFonts w:ascii="Arial" w:eastAsia="Arial" w:hAnsi="Arial" w:cs="Arial"/>
                <w:b/>
                <w:sz w:val="20"/>
              </w:rPr>
              <w:t xml:space="preserve">iRECIST </w:t>
            </w:r>
          </w:p>
        </w:tc>
      </w:tr>
      <w:tr w:rsidR="000B3C5C" w14:paraId="0DC9C1DB" w14:textId="77777777">
        <w:trPr>
          <w:trHeight w:val="2210"/>
        </w:trPr>
        <w:tc>
          <w:tcPr>
            <w:tcW w:w="3317" w:type="dxa"/>
            <w:tcBorders>
              <w:top w:val="single" w:sz="4" w:space="0" w:color="000000"/>
              <w:left w:val="nil"/>
              <w:bottom w:val="nil"/>
              <w:right w:val="nil"/>
            </w:tcBorders>
          </w:tcPr>
          <w:p w14:paraId="7C6E7C7B" w14:textId="77777777" w:rsidR="000B3C5C" w:rsidRDefault="00ED192D">
            <w:pPr>
              <w:spacing w:after="0" w:line="259" w:lineRule="auto"/>
              <w:ind w:left="0" w:right="44" w:firstLine="0"/>
              <w:jc w:val="center"/>
            </w:pPr>
            <w:r>
              <w:rPr>
                <w:rFonts w:ascii="Arial" w:eastAsia="Arial" w:hAnsi="Arial" w:cs="Arial"/>
                <w:sz w:val="20"/>
              </w:rPr>
              <w:t xml:space="preserve">New lesions </w:t>
            </w:r>
          </w:p>
        </w:tc>
        <w:tc>
          <w:tcPr>
            <w:tcW w:w="3299" w:type="dxa"/>
            <w:tcBorders>
              <w:top w:val="single" w:sz="4" w:space="0" w:color="000000"/>
              <w:left w:val="nil"/>
              <w:bottom w:val="nil"/>
              <w:right w:val="nil"/>
            </w:tcBorders>
          </w:tcPr>
          <w:p w14:paraId="35AA7185" w14:textId="77777777" w:rsidR="000B3C5C" w:rsidRDefault="00ED192D">
            <w:pPr>
              <w:spacing w:after="0" w:line="259" w:lineRule="auto"/>
              <w:ind w:left="1143" w:hanging="1049"/>
            </w:pPr>
            <w:r>
              <w:rPr>
                <w:rFonts w:ascii="Arial" w:eastAsia="Arial" w:hAnsi="Arial" w:cs="Arial"/>
                <w:sz w:val="20"/>
              </w:rPr>
              <w:t xml:space="preserve">Result in progression; recorded but not measured </w:t>
            </w:r>
          </w:p>
        </w:tc>
        <w:tc>
          <w:tcPr>
            <w:tcW w:w="3070" w:type="dxa"/>
            <w:tcBorders>
              <w:top w:val="single" w:sz="4" w:space="0" w:color="000000"/>
              <w:left w:val="nil"/>
              <w:bottom w:val="nil"/>
              <w:right w:val="nil"/>
            </w:tcBorders>
          </w:tcPr>
          <w:p w14:paraId="66D1D84D" w14:textId="77777777" w:rsidR="000B3C5C" w:rsidRDefault="00ED192D">
            <w:pPr>
              <w:spacing w:after="1" w:line="240" w:lineRule="auto"/>
              <w:ind w:left="26" w:firstLine="257"/>
            </w:pPr>
            <w:r>
              <w:rPr>
                <w:rFonts w:ascii="Arial" w:eastAsia="Arial" w:hAnsi="Arial" w:cs="Arial"/>
                <w:sz w:val="20"/>
              </w:rPr>
              <w:t xml:space="preserve">Results in iUPD but iCPD is only assigned on the basis of this category if at next assessment additional new </w:t>
            </w:r>
          </w:p>
          <w:p w14:paraId="1B63EBC6" w14:textId="77777777" w:rsidR="000B3C5C" w:rsidRDefault="00ED192D">
            <w:pPr>
              <w:spacing w:after="2" w:line="239" w:lineRule="auto"/>
              <w:ind w:left="55" w:hanging="14"/>
            </w:pPr>
            <w:r>
              <w:rPr>
                <w:rFonts w:ascii="Arial" w:eastAsia="Arial" w:hAnsi="Arial" w:cs="Arial"/>
                <w:sz w:val="20"/>
              </w:rPr>
              <w:t xml:space="preserve">lesions appear or an increase in size of new lesions is seen (≥5 mm for sum of </w:t>
            </w:r>
          </w:p>
          <w:p w14:paraId="6358D0B0" w14:textId="77777777" w:rsidR="000B3C5C" w:rsidRDefault="00ED192D">
            <w:pPr>
              <w:spacing w:after="2" w:line="239" w:lineRule="auto"/>
              <w:ind w:left="118" w:hanging="118"/>
            </w:pPr>
            <w:r>
              <w:rPr>
                <w:rFonts w:ascii="Arial" w:eastAsia="Arial" w:hAnsi="Arial" w:cs="Arial"/>
                <w:sz w:val="20"/>
              </w:rPr>
              <w:t xml:space="preserve">new lesion target or any increase in new lesion non-target); the appearance of </w:t>
            </w:r>
          </w:p>
          <w:p w14:paraId="614ACDE5" w14:textId="77777777" w:rsidR="000B3C5C" w:rsidRDefault="00ED192D">
            <w:pPr>
              <w:spacing w:after="0" w:line="259" w:lineRule="auto"/>
              <w:ind w:left="77" w:hanging="58"/>
            </w:pPr>
            <w:r>
              <w:rPr>
                <w:rFonts w:ascii="Arial" w:eastAsia="Arial" w:hAnsi="Arial" w:cs="Arial"/>
                <w:sz w:val="20"/>
              </w:rPr>
              <w:t xml:space="preserve">new lesions when none have previously been recorded, can also confirm iCPD </w:t>
            </w:r>
          </w:p>
        </w:tc>
      </w:tr>
      <w:tr w:rsidR="000B3C5C" w14:paraId="16014618" w14:textId="77777777">
        <w:trPr>
          <w:trHeight w:val="810"/>
        </w:trPr>
        <w:tc>
          <w:tcPr>
            <w:tcW w:w="3317" w:type="dxa"/>
            <w:tcBorders>
              <w:top w:val="nil"/>
              <w:left w:val="nil"/>
              <w:bottom w:val="nil"/>
              <w:right w:val="nil"/>
            </w:tcBorders>
          </w:tcPr>
          <w:p w14:paraId="101EA51C" w14:textId="77777777" w:rsidR="000B3C5C" w:rsidRDefault="00ED192D">
            <w:pPr>
              <w:spacing w:after="0" w:line="259" w:lineRule="auto"/>
              <w:ind w:left="919" w:hanging="761"/>
            </w:pPr>
            <w:r>
              <w:rPr>
                <w:rFonts w:ascii="Arial" w:eastAsia="Arial" w:hAnsi="Arial" w:cs="Arial"/>
                <w:sz w:val="20"/>
              </w:rPr>
              <w:t xml:space="preserve">Independent blinded review and central collection of scans </w:t>
            </w:r>
          </w:p>
        </w:tc>
        <w:tc>
          <w:tcPr>
            <w:tcW w:w="3299" w:type="dxa"/>
            <w:tcBorders>
              <w:top w:val="nil"/>
              <w:left w:val="nil"/>
              <w:bottom w:val="nil"/>
              <w:right w:val="nil"/>
            </w:tcBorders>
          </w:tcPr>
          <w:p w14:paraId="02B0DFA5" w14:textId="77777777" w:rsidR="000B3C5C" w:rsidRDefault="00ED192D">
            <w:pPr>
              <w:spacing w:after="0" w:line="259" w:lineRule="auto"/>
              <w:ind w:left="0" w:right="1" w:firstLine="46"/>
            </w:pPr>
            <w:r>
              <w:rPr>
                <w:rFonts w:ascii="Arial" w:eastAsia="Arial" w:hAnsi="Arial" w:cs="Arial"/>
                <w:sz w:val="20"/>
              </w:rPr>
              <w:t xml:space="preserve">Recommended in some circumstances eg, in some trials with progression-based endpoints planned for marketing approval </w:t>
            </w:r>
          </w:p>
        </w:tc>
        <w:tc>
          <w:tcPr>
            <w:tcW w:w="3070" w:type="dxa"/>
            <w:tcBorders>
              <w:top w:val="nil"/>
              <w:left w:val="nil"/>
              <w:bottom w:val="nil"/>
              <w:right w:val="nil"/>
            </w:tcBorders>
          </w:tcPr>
          <w:p w14:paraId="56806075" w14:textId="77777777" w:rsidR="000B3C5C" w:rsidRDefault="00ED192D">
            <w:pPr>
              <w:spacing w:after="0" w:line="259" w:lineRule="auto"/>
              <w:ind w:left="233" w:hanging="233"/>
            </w:pPr>
            <w:r>
              <w:rPr>
                <w:rFonts w:ascii="Arial" w:eastAsia="Arial" w:hAnsi="Arial" w:cs="Arial"/>
                <w:sz w:val="20"/>
              </w:rPr>
              <w:t xml:space="preserve">Collection of scans (but not independent review) recommended for all trials </w:t>
            </w:r>
          </w:p>
        </w:tc>
      </w:tr>
      <w:tr w:rsidR="000B3C5C" w14:paraId="0FFB1F3E" w14:textId="77777777">
        <w:trPr>
          <w:trHeight w:val="350"/>
        </w:trPr>
        <w:tc>
          <w:tcPr>
            <w:tcW w:w="3317" w:type="dxa"/>
            <w:tcBorders>
              <w:top w:val="nil"/>
              <w:left w:val="nil"/>
              <w:bottom w:val="nil"/>
              <w:right w:val="nil"/>
            </w:tcBorders>
          </w:tcPr>
          <w:p w14:paraId="49EACC2D" w14:textId="77777777" w:rsidR="000B3C5C" w:rsidRDefault="00ED192D">
            <w:pPr>
              <w:spacing w:after="0" w:line="259" w:lineRule="auto"/>
              <w:ind w:left="0" w:right="45" w:firstLine="0"/>
              <w:jc w:val="center"/>
            </w:pPr>
            <w:r>
              <w:rPr>
                <w:rFonts w:ascii="Arial" w:eastAsia="Arial" w:hAnsi="Arial" w:cs="Arial"/>
                <w:sz w:val="20"/>
              </w:rPr>
              <w:t xml:space="preserve">Confirmation of progression </w:t>
            </w:r>
          </w:p>
        </w:tc>
        <w:tc>
          <w:tcPr>
            <w:tcW w:w="3299" w:type="dxa"/>
            <w:tcBorders>
              <w:top w:val="nil"/>
              <w:left w:val="nil"/>
              <w:bottom w:val="nil"/>
              <w:right w:val="nil"/>
            </w:tcBorders>
          </w:tcPr>
          <w:p w14:paraId="4FA7C2CC" w14:textId="77777777" w:rsidR="000B3C5C" w:rsidRDefault="00ED192D">
            <w:pPr>
              <w:spacing w:after="0" w:line="259" w:lineRule="auto"/>
              <w:ind w:left="372" w:firstLine="0"/>
            </w:pPr>
            <w:r>
              <w:rPr>
                <w:rFonts w:ascii="Arial" w:eastAsia="Arial" w:hAnsi="Arial" w:cs="Arial"/>
                <w:sz w:val="20"/>
              </w:rPr>
              <w:t xml:space="preserve">Not required (unless equivocal) </w:t>
            </w:r>
          </w:p>
        </w:tc>
        <w:tc>
          <w:tcPr>
            <w:tcW w:w="3070" w:type="dxa"/>
            <w:tcBorders>
              <w:top w:val="nil"/>
              <w:left w:val="nil"/>
              <w:bottom w:val="nil"/>
              <w:right w:val="nil"/>
            </w:tcBorders>
          </w:tcPr>
          <w:p w14:paraId="71E8EDE3" w14:textId="77777777" w:rsidR="000B3C5C" w:rsidRDefault="00ED192D">
            <w:pPr>
              <w:spacing w:after="0" w:line="259" w:lineRule="auto"/>
              <w:ind w:left="0" w:right="46" w:firstLine="0"/>
              <w:jc w:val="center"/>
            </w:pPr>
            <w:r>
              <w:rPr>
                <w:rFonts w:ascii="Arial" w:eastAsia="Arial" w:hAnsi="Arial" w:cs="Arial"/>
                <w:sz w:val="20"/>
              </w:rPr>
              <w:t xml:space="preserve">Required </w:t>
            </w:r>
          </w:p>
        </w:tc>
      </w:tr>
      <w:tr w:rsidR="000B3C5C" w14:paraId="183D7D5A" w14:textId="77777777">
        <w:trPr>
          <w:trHeight w:val="802"/>
        </w:trPr>
        <w:tc>
          <w:tcPr>
            <w:tcW w:w="3317" w:type="dxa"/>
            <w:tcBorders>
              <w:top w:val="nil"/>
              <w:left w:val="nil"/>
              <w:bottom w:val="single" w:sz="12" w:space="0" w:color="000000"/>
              <w:right w:val="nil"/>
            </w:tcBorders>
          </w:tcPr>
          <w:p w14:paraId="2FEA5814" w14:textId="77777777" w:rsidR="000B3C5C" w:rsidRDefault="00ED192D">
            <w:pPr>
              <w:spacing w:after="0" w:line="259" w:lineRule="auto"/>
              <w:ind w:left="0" w:right="41" w:firstLine="0"/>
              <w:jc w:val="center"/>
            </w:pPr>
            <w:r>
              <w:rPr>
                <w:rFonts w:ascii="Arial" w:eastAsia="Arial" w:hAnsi="Arial" w:cs="Arial"/>
                <w:sz w:val="20"/>
              </w:rPr>
              <w:t xml:space="preserve">Consideration of clinical status </w:t>
            </w:r>
          </w:p>
        </w:tc>
        <w:tc>
          <w:tcPr>
            <w:tcW w:w="3299" w:type="dxa"/>
            <w:tcBorders>
              <w:top w:val="nil"/>
              <w:left w:val="nil"/>
              <w:bottom w:val="single" w:sz="12" w:space="0" w:color="000000"/>
              <w:right w:val="nil"/>
            </w:tcBorders>
          </w:tcPr>
          <w:p w14:paraId="4C41C6D7" w14:textId="77777777" w:rsidR="000B3C5C" w:rsidRDefault="00ED192D">
            <w:pPr>
              <w:spacing w:after="0" w:line="259" w:lineRule="auto"/>
              <w:ind w:left="504" w:firstLine="0"/>
            </w:pPr>
            <w:r>
              <w:rPr>
                <w:rFonts w:ascii="Arial" w:eastAsia="Arial" w:hAnsi="Arial" w:cs="Arial"/>
                <w:sz w:val="20"/>
              </w:rPr>
              <w:t xml:space="preserve">Not included in assessment </w:t>
            </w:r>
          </w:p>
        </w:tc>
        <w:tc>
          <w:tcPr>
            <w:tcW w:w="3070" w:type="dxa"/>
            <w:tcBorders>
              <w:top w:val="nil"/>
              <w:left w:val="nil"/>
              <w:bottom w:val="single" w:sz="12" w:space="0" w:color="000000"/>
              <w:right w:val="nil"/>
            </w:tcBorders>
          </w:tcPr>
          <w:p w14:paraId="1275FC34" w14:textId="77777777" w:rsidR="000B3C5C" w:rsidRDefault="00ED192D">
            <w:pPr>
              <w:spacing w:after="2" w:line="239" w:lineRule="auto"/>
              <w:ind w:left="14" w:firstLine="163"/>
            </w:pPr>
            <w:r>
              <w:rPr>
                <w:rFonts w:ascii="Arial" w:eastAsia="Arial" w:hAnsi="Arial" w:cs="Arial"/>
                <w:sz w:val="20"/>
              </w:rPr>
              <w:t xml:space="preserve">Clinical stability is considered when deciding whether treatment is continued </w:t>
            </w:r>
          </w:p>
          <w:p w14:paraId="5358FF0D" w14:textId="77777777" w:rsidR="000B3C5C" w:rsidRDefault="00ED192D">
            <w:pPr>
              <w:spacing w:after="0" w:line="259" w:lineRule="auto"/>
              <w:ind w:left="0" w:right="48" w:firstLine="0"/>
              <w:jc w:val="center"/>
            </w:pPr>
            <w:r>
              <w:rPr>
                <w:rFonts w:ascii="Arial" w:eastAsia="Arial" w:hAnsi="Arial" w:cs="Arial"/>
                <w:sz w:val="20"/>
              </w:rPr>
              <w:t xml:space="preserve">after iUPD </w:t>
            </w:r>
          </w:p>
        </w:tc>
      </w:tr>
    </w:tbl>
    <w:p w14:paraId="09FEA131" w14:textId="77777777" w:rsidR="000B3C5C" w:rsidRDefault="00ED192D">
      <w:pPr>
        <w:spacing w:after="12"/>
        <w:ind w:left="-5" w:right="2"/>
      </w:pPr>
      <w:r>
        <w:rPr>
          <w:rFonts w:ascii="Arial" w:eastAsia="Arial" w:hAnsi="Arial" w:cs="Arial"/>
          <w:sz w:val="18"/>
        </w:rPr>
        <w:t xml:space="preserve">“i” indicated immune responses assigned using iRECIST. </w:t>
      </w:r>
    </w:p>
    <w:p w14:paraId="087A90D2" w14:textId="77777777" w:rsidR="000B3C5C" w:rsidRDefault="00ED192D">
      <w:pPr>
        <w:spacing w:after="394"/>
        <w:ind w:left="-5" w:right="2"/>
      </w:pPr>
      <w:r>
        <w:rPr>
          <w:rFonts w:ascii="Arial" w:eastAsia="Arial" w:hAnsi="Arial" w:cs="Arial"/>
          <w:sz w:val="18"/>
        </w:rPr>
        <w:t xml:space="preserve">Abbreviations: iCPD=confirmed progression; iCR=complete response; iPR=partial response; iSD=stable disease; iUPD=unconfirmed progression; RECIST=Response Evaluation Criteria in Solid Tumors </w:t>
      </w:r>
    </w:p>
    <w:p w14:paraId="61128EB8" w14:textId="77777777" w:rsidR="000B3C5C" w:rsidRDefault="00ED192D">
      <w:pPr>
        <w:pStyle w:val="Heading4"/>
        <w:spacing w:after="3" w:line="259" w:lineRule="auto"/>
        <w:ind w:left="-5"/>
      </w:pPr>
      <w:r>
        <w:rPr>
          <w:sz w:val="20"/>
        </w:rPr>
        <w:t xml:space="preserve">Table 16 - Assessment of timepoint response using modified Response Evaluation Criteria in Solid </w:t>
      </w:r>
    </w:p>
    <w:p w14:paraId="1FFA1F28" w14:textId="77777777" w:rsidR="000B3C5C" w:rsidRDefault="00ED192D">
      <w:pPr>
        <w:spacing w:after="4" w:line="250" w:lineRule="auto"/>
        <w:ind w:left="15" w:right="48"/>
        <w:jc w:val="center"/>
      </w:pPr>
      <w:r>
        <w:rPr>
          <w:rFonts w:ascii="Arial" w:eastAsia="Arial" w:hAnsi="Arial" w:cs="Arial"/>
          <w:b/>
          <w:sz w:val="20"/>
        </w:rPr>
        <w:t xml:space="preserve">Tumors for immune based therapies (iRECIST)  </w:t>
      </w:r>
    </w:p>
    <w:tbl>
      <w:tblPr>
        <w:tblStyle w:val="TableGrid"/>
        <w:tblW w:w="9700" w:type="dxa"/>
        <w:tblInd w:w="-122" w:type="dxa"/>
        <w:tblCellMar>
          <w:top w:w="81" w:type="dxa"/>
          <w:left w:w="0" w:type="dxa"/>
          <w:bottom w:w="0" w:type="dxa"/>
          <w:right w:w="72" w:type="dxa"/>
        </w:tblCellMar>
        <w:tblLook w:val="04A0" w:firstRow="1" w:lastRow="0" w:firstColumn="1" w:lastColumn="0" w:noHBand="0" w:noVBand="1"/>
      </w:tblPr>
      <w:tblGrid>
        <w:gridCol w:w="1253"/>
        <w:gridCol w:w="209"/>
        <w:gridCol w:w="1462"/>
        <w:gridCol w:w="996"/>
        <w:gridCol w:w="1423"/>
        <w:gridCol w:w="4357"/>
      </w:tblGrid>
      <w:tr w:rsidR="000B3C5C" w14:paraId="0ED210C9" w14:textId="77777777">
        <w:trPr>
          <w:trHeight w:val="1512"/>
        </w:trPr>
        <w:tc>
          <w:tcPr>
            <w:tcW w:w="1253" w:type="dxa"/>
            <w:tcBorders>
              <w:top w:val="single" w:sz="4" w:space="0" w:color="000000"/>
              <w:left w:val="nil"/>
              <w:bottom w:val="single" w:sz="4" w:space="0" w:color="000000"/>
              <w:right w:val="nil"/>
            </w:tcBorders>
          </w:tcPr>
          <w:p w14:paraId="598A141A" w14:textId="77777777" w:rsidR="000B3C5C" w:rsidRDefault="00ED192D">
            <w:pPr>
              <w:spacing w:after="0" w:line="259" w:lineRule="auto"/>
              <w:ind w:left="221" w:firstLine="38"/>
            </w:pPr>
            <w:r>
              <w:rPr>
                <w:rFonts w:ascii="Arial" w:eastAsia="Arial" w:hAnsi="Arial" w:cs="Arial"/>
                <w:b/>
                <w:sz w:val="20"/>
              </w:rPr>
              <w:t xml:space="preserve">Target lesions </w:t>
            </w:r>
          </w:p>
        </w:tc>
        <w:tc>
          <w:tcPr>
            <w:tcW w:w="1671" w:type="dxa"/>
            <w:gridSpan w:val="2"/>
            <w:tcBorders>
              <w:top w:val="single" w:sz="4" w:space="0" w:color="000000"/>
              <w:left w:val="nil"/>
              <w:bottom w:val="single" w:sz="4" w:space="0" w:color="000000"/>
              <w:right w:val="nil"/>
            </w:tcBorders>
          </w:tcPr>
          <w:p w14:paraId="213209BB" w14:textId="77777777" w:rsidR="000B3C5C" w:rsidRDefault="00ED192D">
            <w:pPr>
              <w:spacing w:after="0" w:line="259" w:lineRule="auto"/>
              <w:ind w:left="370" w:hanging="161"/>
            </w:pPr>
            <w:r>
              <w:rPr>
                <w:rFonts w:ascii="Arial" w:eastAsia="Arial" w:hAnsi="Arial" w:cs="Arial"/>
                <w:b/>
                <w:sz w:val="20"/>
              </w:rPr>
              <w:t xml:space="preserve">Non-target lesions </w:t>
            </w:r>
          </w:p>
        </w:tc>
        <w:tc>
          <w:tcPr>
            <w:tcW w:w="996" w:type="dxa"/>
            <w:tcBorders>
              <w:top w:val="single" w:sz="4" w:space="0" w:color="000000"/>
              <w:left w:val="nil"/>
              <w:bottom w:val="single" w:sz="4" w:space="0" w:color="000000"/>
              <w:right w:val="nil"/>
            </w:tcBorders>
          </w:tcPr>
          <w:p w14:paraId="17AC0E12" w14:textId="77777777" w:rsidR="000B3C5C" w:rsidRDefault="00ED192D">
            <w:pPr>
              <w:spacing w:after="0" w:line="259" w:lineRule="auto"/>
              <w:ind w:left="139" w:firstLine="0"/>
            </w:pPr>
            <w:r>
              <w:rPr>
                <w:rFonts w:ascii="Arial" w:eastAsia="Arial" w:hAnsi="Arial" w:cs="Arial"/>
                <w:b/>
                <w:sz w:val="20"/>
              </w:rPr>
              <w:t xml:space="preserve">New </w:t>
            </w:r>
          </w:p>
          <w:p w14:paraId="3EA498CA" w14:textId="77777777" w:rsidR="000B3C5C" w:rsidRDefault="00ED192D">
            <w:pPr>
              <w:spacing w:after="0" w:line="259" w:lineRule="auto"/>
              <w:ind w:left="0" w:firstLine="0"/>
            </w:pPr>
            <w:r>
              <w:rPr>
                <w:rFonts w:ascii="Arial" w:eastAsia="Arial" w:hAnsi="Arial" w:cs="Arial"/>
                <w:b/>
                <w:sz w:val="20"/>
              </w:rPr>
              <w:t xml:space="preserve">lesions </w:t>
            </w:r>
          </w:p>
        </w:tc>
        <w:tc>
          <w:tcPr>
            <w:tcW w:w="1423" w:type="dxa"/>
            <w:tcBorders>
              <w:top w:val="single" w:sz="4" w:space="0" w:color="000000"/>
              <w:left w:val="nil"/>
              <w:bottom w:val="single" w:sz="4" w:space="0" w:color="000000"/>
              <w:right w:val="nil"/>
            </w:tcBorders>
          </w:tcPr>
          <w:p w14:paraId="4B864577" w14:textId="77777777" w:rsidR="000B3C5C" w:rsidRDefault="00ED192D">
            <w:pPr>
              <w:spacing w:after="0" w:line="241" w:lineRule="auto"/>
              <w:ind w:left="110" w:hanging="36"/>
            </w:pPr>
            <w:r>
              <w:rPr>
                <w:rFonts w:ascii="Arial" w:eastAsia="Arial" w:hAnsi="Arial" w:cs="Arial"/>
                <w:b/>
                <w:sz w:val="20"/>
              </w:rPr>
              <w:t xml:space="preserve">Timepoint response with no </w:t>
            </w:r>
          </w:p>
          <w:p w14:paraId="7923B607" w14:textId="77777777" w:rsidR="000B3C5C" w:rsidRDefault="00ED192D">
            <w:pPr>
              <w:spacing w:after="0" w:line="259" w:lineRule="auto"/>
              <w:ind w:left="137" w:firstLine="0"/>
            </w:pPr>
            <w:r>
              <w:rPr>
                <w:rFonts w:ascii="Arial" w:eastAsia="Arial" w:hAnsi="Arial" w:cs="Arial"/>
                <w:b/>
                <w:sz w:val="20"/>
              </w:rPr>
              <w:t xml:space="preserve">previous </w:t>
            </w:r>
          </w:p>
          <w:p w14:paraId="6A0B158A" w14:textId="77777777" w:rsidR="000B3C5C" w:rsidRDefault="00ED192D">
            <w:pPr>
              <w:spacing w:after="0" w:line="259" w:lineRule="auto"/>
              <w:ind w:left="137" w:hanging="137"/>
            </w:pPr>
            <w:r>
              <w:rPr>
                <w:rFonts w:ascii="Arial" w:eastAsia="Arial" w:hAnsi="Arial" w:cs="Arial"/>
                <w:b/>
                <w:sz w:val="20"/>
              </w:rPr>
              <w:t xml:space="preserve">iUPD in any category </w:t>
            </w:r>
          </w:p>
        </w:tc>
        <w:tc>
          <w:tcPr>
            <w:tcW w:w="4357" w:type="dxa"/>
            <w:tcBorders>
              <w:top w:val="single" w:sz="4" w:space="0" w:color="000000"/>
              <w:left w:val="nil"/>
              <w:bottom w:val="single" w:sz="4" w:space="0" w:color="000000"/>
              <w:right w:val="nil"/>
            </w:tcBorders>
          </w:tcPr>
          <w:p w14:paraId="464637A8" w14:textId="77777777" w:rsidR="000B3C5C" w:rsidRDefault="00ED192D">
            <w:pPr>
              <w:spacing w:after="0" w:line="259" w:lineRule="auto"/>
              <w:ind w:left="1462" w:hanging="1347"/>
              <w:jc w:val="both"/>
            </w:pPr>
            <w:r>
              <w:rPr>
                <w:rFonts w:ascii="Arial" w:eastAsia="Arial" w:hAnsi="Arial" w:cs="Arial"/>
                <w:b/>
                <w:sz w:val="20"/>
              </w:rPr>
              <w:t>Timepoint response with previous iUPD in any category</w:t>
            </w:r>
            <w:r>
              <w:rPr>
                <w:rFonts w:ascii="Arial" w:eastAsia="Arial" w:hAnsi="Arial" w:cs="Arial"/>
                <w:b/>
                <w:i/>
                <w:color w:val="0000FF"/>
                <w:sz w:val="28"/>
                <w:vertAlign w:val="superscript"/>
              </w:rPr>
              <w:t>a</w:t>
            </w:r>
            <w:r>
              <w:rPr>
                <w:rFonts w:ascii="Arial" w:eastAsia="Arial" w:hAnsi="Arial" w:cs="Arial"/>
                <w:b/>
                <w:sz w:val="20"/>
              </w:rPr>
              <w:t xml:space="preserve"> </w:t>
            </w:r>
          </w:p>
        </w:tc>
      </w:tr>
      <w:tr w:rsidR="000B3C5C" w14:paraId="081D2FA7" w14:textId="77777777">
        <w:trPr>
          <w:trHeight w:val="374"/>
        </w:trPr>
        <w:tc>
          <w:tcPr>
            <w:tcW w:w="1253" w:type="dxa"/>
            <w:tcBorders>
              <w:top w:val="single" w:sz="4" w:space="0" w:color="000000"/>
              <w:left w:val="nil"/>
              <w:bottom w:val="nil"/>
              <w:right w:val="nil"/>
            </w:tcBorders>
          </w:tcPr>
          <w:p w14:paraId="2BDA9FF3" w14:textId="77777777" w:rsidR="000B3C5C" w:rsidRDefault="00ED192D">
            <w:pPr>
              <w:spacing w:after="0" w:line="259" w:lineRule="auto"/>
              <w:ind w:left="0" w:right="55" w:firstLine="0"/>
              <w:jc w:val="center"/>
            </w:pPr>
            <w:r>
              <w:rPr>
                <w:rFonts w:ascii="Arial" w:eastAsia="Arial" w:hAnsi="Arial" w:cs="Arial"/>
                <w:sz w:val="20"/>
              </w:rPr>
              <w:t xml:space="preserve">iCR </w:t>
            </w:r>
          </w:p>
        </w:tc>
        <w:tc>
          <w:tcPr>
            <w:tcW w:w="1671" w:type="dxa"/>
            <w:gridSpan w:val="2"/>
            <w:tcBorders>
              <w:top w:val="single" w:sz="4" w:space="0" w:color="000000"/>
              <w:left w:val="nil"/>
              <w:bottom w:val="nil"/>
              <w:right w:val="nil"/>
            </w:tcBorders>
          </w:tcPr>
          <w:p w14:paraId="7D36F834" w14:textId="77777777" w:rsidR="000B3C5C" w:rsidRDefault="00ED192D">
            <w:pPr>
              <w:spacing w:after="0" w:line="259" w:lineRule="auto"/>
              <w:ind w:left="577" w:firstLine="0"/>
            </w:pPr>
            <w:r>
              <w:rPr>
                <w:rFonts w:ascii="Arial" w:eastAsia="Arial" w:hAnsi="Arial" w:cs="Arial"/>
                <w:sz w:val="20"/>
              </w:rPr>
              <w:t xml:space="preserve">iCR </w:t>
            </w:r>
          </w:p>
        </w:tc>
        <w:tc>
          <w:tcPr>
            <w:tcW w:w="996" w:type="dxa"/>
            <w:tcBorders>
              <w:top w:val="single" w:sz="4" w:space="0" w:color="000000"/>
              <w:left w:val="nil"/>
              <w:bottom w:val="nil"/>
              <w:right w:val="nil"/>
            </w:tcBorders>
          </w:tcPr>
          <w:p w14:paraId="40DCD54E" w14:textId="77777777" w:rsidR="000B3C5C" w:rsidRDefault="00ED192D">
            <w:pPr>
              <w:spacing w:after="0" w:line="259" w:lineRule="auto"/>
              <w:ind w:left="240" w:firstLine="0"/>
            </w:pPr>
            <w:r>
              <w:rPr>
                <w:rFonts w:ascii="Arial" w:eastAsia="Arial" w:hAnsi="Arial" w:cs="Arial"/>
                <w:sz w:val="20"/>
              </w:rPr>
              <w:t xml:space="preserve">No </w:t>
            </w:r>
          </w:p>
        </w:tc>
        <w:tc>
          <w:tcPr>
            <w:tcW w:w="1423" w:type="dxa"/>
            <w:tcBorders>
              <w:top w:val="single" w:sz="4" w:space="0" w:color="000000"/>
              <w:left w:val="nil"/>
              <w:bottom w:val="nil"/>
              <w:right w:val="nil"/>
            </w:tcBorders>
          </w:tcPr>
          <w:p w14:paraId="72EFF942" w14:textId="77777777" w:rsidR="000B3C5C" w:rsidRDefault="00ED192D">
            <w:pPr>
              <w:spacing w:after="0" w:line="259" w:lineRule="auto"/>
              <w:ind w:left="418" w:firstLine="0"/>
            </w:pPr>
            <w:r>
              <w:rPr>
                <w:rFonts w:ascii="Arial" w:eastAsia="Arial" w:hAnsi="Arial" w:cs="Arial"/>
                <w:sz w:val="20"/>
              </w:rPr>
              <w:t xml:space="preserve">iCR </w:t>
            </w:r>
          </w:p>
        </w:tc>
        <w:tc>
          <w:tcPr>
            <w:tcW w:w="4357" w:type="dxa"/>
            <w:tcBorders>
              <w:top w:val="single" w:sz="4" w:space="0" w:color="000000"/>
              <w:left w:val="nil"/>
              <w:bottom w:val="nil"/>
              <w:right w:val="nil"/>
            </w:tcBorders>
          </w:tcPr>
          <w:p w14:paraId="7B3A56B4" w14:textId="77777777" w:rsidR="000B3C5C" w:rsidRDefault="00ED192D">
            <w:pPr>
              <w:spacing w:after="0" w:line="259" w:lineRule="auto"/>
              <w:ind w:left="0" w:right="47" w:firstLine="0"/>
              <w:jc w:val="center"/>
            </w:pPr>
            <w:r>
              <w:rPr>
                <w:rFonts w:ascii="Arial" w:eastAsia="Arial" w:hAnsi="Arial" w:cs="Arial"/>
                <w:sz w:val="20"/>
              </w:rPr>
              <w:t xml:space="preserve">iCR </w:t>
            </w:r>
          </w:p>
        </w:tc>
      </w:tr>
      <w:tr w:rsidR="000B3C5C" w14:paraId="079FA8A1" w14:textId="77777777">
        <w:trPr>
          <w:trHeight w:val="349"/>
        </w:trPr>
        <w:tc>
          <w:tcPr>
            <w:tcW w:w="1253" w:type="dxa"/>
            <w:tcBorders>
              <w:top w:val="nil"/>
              <w:left w:val="nil"/>
              <w:bottom w:val="nil"/>
              <w:right w:val="nil"/>
            </w:tcBorders>
          </w:tcPr>
          <w:p w14:paraId="62B9E1AC" w14:textId="77777777" w:rsidR="000B3C5C" w:rsidRDefault="00ED192D">
            <w:pPr>
              <w:spacing w:after="0" w:line="259" w:lineRule="auto"/>
              <w:ind w:left="0" w:right="55" w:firstLine="0"/>
              <w:jc w:val="center"/>
            </w:pPr>
            <w:r>
              <w:rPr>
                <w:rFonts w:ascii="Arial" w:eastAsia="Arial" w:hAnsi="Arial" w:cs="Arial"/>
                <w:sz w:val="20"/>
              </w:rPr>
              <w:t xml:space="preserve">iCR </w:t>
            </w:r>
          </w:p>
        </w:tc>
        <w:tc>
          <w:tcPr>
            <w:tcW w:w="1671" w:type="dxa"/>
            <w:gridSpan w:val="2"/>
            <w:tcBorders>
              <w:top w:val="nil"/>
              <w:left w:val="nil"/>
              <w:bottom w:val="nil"/>
              <w:right w:val="nil"/>
            </w:tcBorders>
          </w:tcPr>
          <w:p w14:paraId="101372AE" w14:textId="77777777" w:rsidR="000B3C5C" w:rsidRDefault="00ED192D">
            <w:pPr>
              <w:spacing w:after="0" w:line="259" w:lineRule="auto"/>
              <w:ind w:left="22" w:firstLine="0"/>
            </w:pPr>
            <w:r>
              <w:rPr>
                <w:rFonts w:ascii="Arial" w:eastAsia="Arial" w:hAnsi="Arial" w:cs="Arial"/>
                <w:sz w:val="20"/>
              </w:rPr>
              <w:t xml:space="preserve">Non-iCR/non-iUPD </w:t>
            </w:r>
          </w:p>
        </w:tc>
        <w:tc>
          <w:tcPr>
            <w:tcW w:w="996" w:type="dxa"/>
            <w:tcBorders>
              <w:top w:val="nil"/>
              <w:left w:val="nil"/>
              <w:bottom w:val="nil"/>
              <w:right w:val="nil"/>
            </w:tcBorders>
          </w:tcPr>
          <w:p w14:paraId="552345F7" w14:textId="77777777" w:rsidR="000B3C5C" w:rsidRDefault="00ED192D">
            <w:pPr>
              <w:spacing w:after="0" w:line="259" w:lineRule="auto"/>
              <w:ind w:left="240" w:firstLine="0"/>
            </w:pPr>
            <w:r>
              <w:rPr>
                <w:rFonts w:ascii="Arial" w:eastAsia="Arial" w:hAnsi="Arial" w:cs="Arial"/>
                <w:sz w:val="20"/>
              </w:rPr>
              <w:t xml:space="preserve">No </w:t>
            </w:r>
          </w:p>
        </w:tc>
        <w:tc>
          <w:tcPr>
            <w:tcW w:w="1423" w:type="dxa"/>
            <w:tcBorders>
              <w:top w:val="nil"/>
              <w:left w:val="nil"/>
              <w:bottom w:val="nil"/>
              <w:right w:val="nil"/>
            </w:tcBorders>
          </w:tcPr>
          <w:p w14:paraId="453FFCE1" w14:textId="77777777" w:rsidR="000B3C5C" w:rsidRDefault="00ED192D">
            <w:pPr>
              <w:spacing w:after="0" w:line="259" w:lineRule="auto"/>
              <w:ind w:left="422" w:firstLine="0"/>
            </w:pPr>
            <w:r>
              <w:rPr>
                <w:rFonts w:ascii="Arial" w:eastAsia="Arial" w:hAnsi="Arial" w:cs="Arial"/>
                <w:sz w:val="20"/>
              </w:rPr>
              <w:t xml:space="preserve">iPR </w:t>
            </w:r>
          </w:p>
        </w:tc>
        <w:tc>
          <w:tcPr>
            <w:tcW w:w="4357" w:type="dxa"/>
            <w:tcBorders>
              <w:top w:val="nil"/>
              <w:left w:val="nil"/>
              <w:bottom w:val="nil"/>
              <w:right w:val="nil"/>
            </w:tcBorders>
          </w:tcPr>
          <w:p w14:paraId="42D53003" w14:textId="77777777" w:rsidR="000B3C5C" w:rsidRDefault="00ED192D">
            <w:pPr>
              <w:spacing w:after="0" w:line="259" w:lineRule="auto"/>
              <w:ind w:left="0" w:right="47" w:firstLine="0"/>
              <w:jc w:val="center"/>
            </w:pPr>
            <w:r>
              <w:rPr>
                <w:rFonts w:ascii="Arial" w:eastAsia="Arial" w:hAnsi="Arial" w:cs="Arial"/>
                <w:sz w:val="20"/>
              </w:rPr>
              <w:t xml:space="preserve">iPR </w:t>
            </w:r>
          </w:p>
        </w:tc>
      </w:tr>
      <w:tr w:rsidR="000B3C5C" w14:paraId="389C71B5" w14:textId="77777777">
        <w:trPr>
          <w:trHeight w:val="350"/>
        </w:trPr>
        <w:tc>
          <w:tcPr>
            <w:tcW w:w="1253" w:type="dxa"/>
            <w:tcBorders>
              <w:top w:val="nil"/>
              <w:left w:val="nil"/>
              <w:bottom w:val="nil"/>
              <w:right w:val="nil"/>
            </w:tcBorders>
          </w:tcPr>
          <w:p w14:paraId="1314CB2F" w14:textId="77777777" w:rsidR="000B3C5C" w:rsidRDefault="00ED192D">
            <w:pPr>
              <w:spacing w:after="0" w:line="259" w:lineRule="auto"/>
              <w:ind w:left="0" w:right="55" w:firstLine="0"/>
              <w:jc w:val="center"/>
            </w:pPr>
            <w:r>
              <w:rPr>
                <w:rFonts w:ascii="Arial" w:eastAsia="Arial" w:hAnsi="Arial" w:cs="Arial"/>
                <w:sz w:val="20"/>
              </w:rPr>
              <w:t xml:space="preserve">iPR </w:t>
            </w:r>
          </w:p>
        </w:tc>
        <w:tc>
          <w:tcPr>
            <w:tcW w:w="1671" w:type="dxa"/>
            <w:gridSpan w:val="2"/>
            <w:tcBorders>
              <w:top w:val="nil"/>
              <w:left w:val="nil"/>
              <w:bottom w:val="nil"/>
              <w:right w:val="nil"/>
            </w:tcBorders>
          </w:tcPr>
          <w:p w14:paraId="1FC38160" w14:textId="77777777" w:rsidR="000B3C5C" w:rsidRDefault="00ED192D">
            <w:pPr>
              <w:spacing w:after="0" w:line="259" w:lineRule="auto"/>
              <w:ind w:left="22" w:firstLine="0"/>
            </w:pPr>
            <w:r>
              <w:rPr>
                <w:rFonts w:ascii="Arial" w:eastAsia="Arial" w:hAnsi="Arial" w:cs="Arial"/>
                <w:sz w:val="20"/>
              </w:rPr>
              <w:t xml:space="preserve">Non-iCR/non-iUPD </w:t>
            </w:r>
          </w:p>
        </w:tc>
        <w:tc>
          <w:tcPr>
            <w:tcW w:w="996" w:type="dxa"/>
            <w:tcBorders>
              <w:top w:val="nil"/>
              <w:left w:val="nil"/>
              <w:bottom w:val="nil"/>
              <w:right w:val="nil"/>
            </w:tcBorders>
          </w:tcPr>
          <w:p w14:paraId="2A46F54D" w14:textId="77777777" w:rsidR="000B3C5C" w:rsidRDefault="00ED192D">
            <w:pPr>
              <w:spacing w:after="0" w:line="259" w:lineRule="auto"/>
              <w:ind w:left="240" w:firstLine="0"/>
            </w:pPr>
            <w:r>
              <w:rPr>
                <w:rFonts w:ascii="Arial" w:eastAsia="Arial" w:hAnsi="Arial" w:cs="Arial"/>
                <w:sz w:val="20"/>
              </w:rPr>
              <w:t xml:space="preserve">No </w:t>
            </w:r>
          </w:p>
        </w:tc>
        <w:tc>
          <w:tcPr>
            <w:tcW w:w="1423" w:type="dxa"/>
            <w:tcBorders>
              <w:top w:val="nil"/>
              <w:left w:val="nil"/>
              <w:bottom w:val="nil"/>
              <w:right w:val="nil"/>
            </w:tcBorders>
          </w:tcPr>
          <w:p w14:paraId="7F3D5200" w14:textId="77777777" w:rsidR="000B3C5C" w:rsidRDefault="00ED192D">
            <w:pPr>
              <w:spacing w:after="0" w:line="259" w:lineRule="auto"/>
              <w:ind w:left="422" w:firstLine="0"/>
            </w:pPr>
            <w:r>
              <w:rPr>
                <w:rFonts w:ascii="Arial" w:eastAsia="Arial" w:hAnsi="Arial" w:cs="Arial"/>
                <w:sz w:val="20"/>
              </w:rPr>
              <w:t xml:space="preserve">iPR </w:t>
            </w:r>
          </w:p>
        </w:tc>
        <w:tc>
          <w:tcPr>
            <w:tcW w:w="4357" w:type="dxa"/>
            <w:tcBorders>
              <w:top w:val="nil"/>
              <w:left w:val="nil"/>
              <w:bottom w:val="nil"/>
              <w:right w:val="nil"/>
            </w:tcBorders>
          </w:tcPr>
          <w:p w14:paraId="6E7FD1B1" w14:textId="77777777" w:rsidR="000B3C5C" w:rsidRDefault="00ED192D">
            <w:pPr>
              <w:spacing w:after="0" w:line="259" w:lineRule="auto"/>
              <w:ind w:left="0" w:right="47" w:firstLine="0"/>
              <w:jc w:val="center"/>
            </w:pPr>
            <w:r>
              <w:rPr>
                <w:rFonts w:ascii="Arial" w:eastAsia="Arial" w:hAnsi="Arial" w:cs="Arial"/>
                <w:sz w:val="20"/>
              </w:rPr>
              <w:t xml:space="preserve">iPR </w:t>
            </w:r>
          </w:p>
        </w:tc>
      </w:tr>
      <w:tr w:rsidR="000B3C5C" w14:paraId="5D6C5F1E" w14:textId="77777777">
        <w:trPr>
          <w:trHeight w:val="349"/>
        </w:trPr>
        <w:tc>
          <w:tcPr>
            <w:tcW w:w="1253" w:type="dxa"/>
            <w:tcBorders>
              <w:top w:val="nil"/>
              <w:left w:val="nil"/>
              <w:bottom w:val="nil"/>
              <w:right w:val="nil"/>
            </w:tcBorders>
          </w:tcPr>
          <w:p w14:paraId="64C2F0B6" w14:textId="77777777" w:rsidR="000B3C5C" w:rsidRDefault="00ED192D">
            <w:pPr>
              <w:spacing w:after="0" w:line="259" w:lineRule="auto"/>
              <w:ind w:left="0" w:right="55" w:firstLine="0"/>
              <w:jc w:val="center"/>
            </w:pPr>
            <w:r>
              <w:rPr>
                <w:rFonts w:ascii="Arial" w:eastAsia="Arial" w:hAnsi="Arial" w:cs="Arial"/>
                <w:sz w:val="20"/>
              </w:rPr>
              <w:t xml:space="preserve">iSD </w:t>
            </w:r>
          </w:p>
        </w:tc>
        <w:tc>
          <w:tcPr>
            <w:tcW w:w="1671" w:type="dxa"/>
            <w:gridSpan w:val="2"/>
            <w:tcBorders>
              <w:top w:val="nil"/>
              <w:left w:val="nil"/>
              <w:bottom w:val="nil"/>
              <w:right w:val="nil"/>
            </w:tcBorders>
          </w:tcPr>
          <w:p w14:paraId="25996CA8" w14:textId="77777777" w:rsidR="000B3C5C" w:rsidRDefault="00ED192D">
            <w:pPr>
              <w:spacing w:after="0" w:line="259" w:lineRule="auto"/>
              <w:ind w:left="22" w:firstLine="0"/>
            </w:pPr>
            <w:r>
              <w:rPr>
                <w:rFonts w:ascii="Arial" w:eastAsia="Arial" w:hAnsi="Arial" w:cs="Arial"/>
                <w:sz w:val="20"/>
              </w:rPr>
              <w:t xml:space="preserve">Non-iCR/non-iUPD </w:t>
            </w:r>
          </w:p>
        </w:tc>
        <w:tc>
          <w:tcPr>
            <w:tcW w:w="996" w:type="dxa"/>
            <w:tcBorders>
              <w:top w:val="nil"/>
              <w:left w:val="nil"/>
              <w:bottom w:val="nil"/>
              <w:right w:val="nil"/>
            </w:tcBorders>
          </w:tcPr>
          <w:p w14:paraId="09EA2A26" w14:textId="77777777" w:rsidR="000B3C5C" w:rsidRDefault="00ED192D">
            <w:pPr>
              <w:spacing w:after="0" w:line="259" w:lineRule="auto"/>
              <w:ind w:left="240" w:firstLine="0"/>
            </w:pPr>
            <w:r>
              <w:rPr>
                <w:rFonts w:ascii="Arial" w:eastAsia="Arial" w:hAnsi="Arial" w:cs="Arial"/>
                <w:sz w:val="20"/>
              </w:rPr>
              <w:t xml:space="preserve">No </w:t>
            </w:r>
          </w:p>
        </w:tc>
        <w:tc>
          <w:tcPr>
            <w:tcW w:w="1423" w:type="dxa"/>
            <w:tcBorders>
              <w:top w:val="nil"/>
              <w:left w:val="nil"/>
              <w:bottom w:val="nil"/>
              <w:right w:val="nil"/>
            </w:tcBorders>
          </w:tcPr>
          <w:p w14:paraId="775FA15C" w14:textId="77777777" w:rsidR="000B3C5C" w:rsidRDefault="00ED192D">
            <w:pPr>
              <w:spacing w:after="0" w:line="259" w:lineRule="auto"/>
              <w:ind w:left="422" w:firstLine="0"/>
            </w:pPr>
            <w:r>
              <w:rPr>
                <w:rFonts w:ascii="Arial" w:eastAsia="Arial" w:hAnsi="Arial" w:cs="Arial"/>
                <w:sz w:val="20"/>
              </w:rPr>
              <w:t xml:space="preserve">iSD </w:t>
            </w:r>
          </w:p>
        </w:tc>
        <w:tc>
          <w:tcPr>
            <w:tcW w:w="4357" w:type="dxa"/>
            <w:tcBorders>
              <w:top w:val="nil"/>
              <w:left w:val="nil"/>
              <w:bottom w:val="nil"/>
              <w:right w:val="nil"/>
            </w:tcBorders>
          </w:tcPr>
          <w:p w14:paraId="2ABE310C" w14:textId="77777777" w:rsidR="000B3C5C" w:rsidRDefault="00ED192D">
            <w:pPr>
              <w:spacing w:after="0" w:line="259" w:lineRule="auto"/>
              <w:ind w:left="0" w:right="47" w:firstLine="0"/>
              <w:jc w:val="center"/>
            </w:pPr>
            <w:r>
              <w:rPr>
                <w:rFonts w:ascii="Arial" w:eastAsia="Arial" w:hAnsi="Arial" w:cs="Arial"/>
                <w:sz w:val="20"/>
              </w:rPr>
              <w:t xml:space="preserve">iSD </w:t>
            </w:r>
          </w:p>
        </w:tc>
      </w:tr>
      <w:tr w:rsidR="000B3C5C" w14:paraId="4D8BC677" w14:textId="77777777">
        <w:trPr>
          <w:trHeight w:val="1498"/>
        </w:trPr>
        <w:tc>
          <w:tcPr>
            <w:tcW w:w="1253" w:type="dxa"/>
            <w:tcBorders>
              <w:top w:val="nil"/>
              <w:left w:val="nil"/>
              <w:bottom w:val="nil"/>
              <w:right w:val="nil"/>
            </w:tcBorders>
          </w:tcPr>
          <w:p w14:paraId="2189DFDC" w14:textId="77777777" w:rsidR="000B3C5C" w:rsidRDefault="00ED192D">
            <w:pPr>
              <w:spacing w:after="0" w:line="259" w:lineRule="auto"/>
              <w:ind w:left="206" w:firstLine="0"/>
            </w:pPr>
            <w:r>
              <w:rPr>
                <w:rFonts w:ascii="Arial" w:eastAsia="Arial" w:hAnsi="Arial" w:cs="Arial"/>
                <w:sz w:val="20"/>
              </w:rPr>
              <w:t xml:space="preserve">iUPD with </w:t>
            </w:r>
          </w:p>
          <w:p w14:paraId="415DCC38" w14:textId="77777777" w:rsidR="000B3C5C" w:rsidRDefault="00ED192D">
            <w:pPr>
              <w:spacing w:after="0" w:line="241" w:lineRule="auto"/>
              <w:ind w:left="254" w:right="21" w:hanging="96"/>
            </w:pPr>
            <w:r>
              <w:rPr>
                <w:rFonts w:ascii="Arial" w:eastAsia="Arial" w:hAnsi="Arial" w:cs="Arial"/>
                <w:sz w:val="20"/>
              </w:rPr>
              <w:t xml:space="preserve">no change, or with a </w:t>
            </w:r>
          </w:p>
          <w:p w14:paraId="46705D41" w14:textId="77777777" w:rsidR="000B3C5C" w:rsidRDefault="00ED192D">
            <w:pPr>
              <w:spacing w:after="0" w:line="259" w:lineRule="auto"/>
              <w:ind w:left="233" w:hanging="5"/>
            </w:pPr>
            <w:r>
              <w:rPr>
                <w:rFonts w:ascii="Arial" w:eastAsia="Arial" w:hAnsi="Arial" w:cs="Arial"/>
                <w:sz w:val="20"/>
              </w:rPr>
              <w:t xml:space="preserve">decrease from last timepoint </w:t>
            </w:r>
          </w:p>
        </w:tc>
        <w:tc>
          <w:tcPr>
            <w:tcW w:w="1671" w:type="dxa"/>
            <w:gridSpan w:val="2"/>
            <w:tcBorders>
              <w:top w:val="nil"/>
              <w:left w:val="nil"/>
              <w:bottom w:val="nil"/>
              <w:right w:val="nil"/>
            </w:tcBorders>
          </w:tcPr>
          <w:p w14:paraId="5FB66971" w14:textId="77777777" w:rsidR="000B3C5C" w:rsidRDefault="00ED192D">
            <w:pPr>
              <w:spacing w:after="0" w:line="259" w:lineRule="auto"/>
              <w:ind w:left="240" w:firstLine="0"/>
            </w:pPr>
            <w:r>
              <w:rPr>
                <w:rFonts w:ascii="Arial" w:eastAsia="Arial" w:hAnsi="Arial" w:cs="Arial"/>
                <w:sz w:val="20"/>
              </w:rPr>
              <w:t xml:space="preserve">iUPD with no </w:t>
            </w:r>
          </w:p>
          <w:p w14:paraId="73F8044A" w14:textId="77777777" w:rsidR="000B3C5C" w:rsidRDefault="00ED192D">
            <w:pPr>
              <w:spacing w:after="0" w:line="259" w:lineRule="auto"/>
              <w:ind w:left="326" w:firstLine="0"/>
            </w:pPr>
            <w:r>
              <w:rPr>
                <w:rFonts w:ascii="Arial" w:eastAsia="Arial" w:hAnsi="Arial" w:cs="Arial"/>
                <w:sz w:val="20"/>
              </w:rPr>
              <w:t xml:space="preserve">change, or </w:t>
            </w:r>
          </w:p>
          <w:p w14:paraId="0CC98ED6" w14:textId="77777777" w:rsidR="000B3C5C" w:rsidRDefault="00ED192D">
            <w:pPr>
              <w:spacing w:after="0" w:line="259" w:lineRule="auto"/>
              <w:ind w:left="381" w:hanging="343"/>
            </w:pPr>
            <w:r>
              <w:rPr>
                <w:rFonts w:ascii="Arial" w:eastAsia="Arial" w:hAnsi="Arial" w:cs="Arial"/>
                <w:sz w:val="20"/>
              </w:rPr>
              <w:t xml:space="preserve">decrease from last timepoint </w:t>
            </w:r>
          </w:p>
        </w:tc>
        <w:tc>
          <w:tcPr>
            <w:tcW w:w="996" w:type="dxa"/>
            <w:tcBorders>
              <w:top w:val="nil"/>
              <w:left w:val="nil"/>
              <w:bottom w:val="nil"/>
              <w:right w:val="nil"/>
            </w:tcBorders>
          </w:tcPr>
          <w:p w14:paraId="2B795646" w14:textId="77777777" w:rsidR="000B3C5C" w:rsidRDefault="00ED192D">
            <w:pPr>
              <w:spacing w:after="0" w:line="259" w:lineRule="auto"/>
              <w:ind w:left="204" w:firstLine="0"/>
            </w:pPr>
            <w:r>
              <w:rPr>
                <w:rFonts w:ascii="Arial" w:eastAsia="Arial" w:hAnsi="Arial" w:cs="Arial"/>
                <w:sz w:val="20"/>
              </w:rPr>
              <w:t xml:space="preserve">Yes </w:t>
            </w:r>
          </w:p>
        </w:tc>
        <w:tc>
          <w:tcPr>
            <w:tcW w:w="1423" w:type="dxa"/>
            <w:tcBorders>
              <w:top w:val="nil"/>
              <w:left w:val="nil"/>
              <w:bottom w:val="nil"/>
              <w:right w:val="nil"/>
            </w:tcBorders>
          </w:tcPr>
          <w:p w14:paraId="68EF8D8D" w14:textId="77777777" w:rsidR="000B3C5C" w:rsidRDefault="00ED192D">
            <w:pPr>
              <w:spacing w:after="0" w:line="259" w:lineRule="auto"/>
              <w:ind w:left="34" w:firstLine="0"/>
            </w:pPr>
            <w:r>
              <w:rPr>
                <w:rFonts w:ascii="Arial" w:eastAsia="Arial" w:hAnsi="Arial" w:cs="Arial"/>
                <w:sz w:val="20"/>
              </w:rPr>
              <w:t xml:space="preserve">Not applicable </w:t>
            </w:r>
          </w:p>
        </w:tc>
        <w:tc>
          <w:tcPr>
            <w:tcW w:w="4357" w:type="dxa"/>
            <w:tcBorders>
              <w:top w:val="nil"/>
              <w:left w:val="nil"/>
              <w:bottom w:val="nil"/>
              <w:right w:val="nil"/>
            </w:tcBorders>
          </w:tcPr>
          <w:p w14:paraId="4916370F" w14:textId="77777777" w:rsidR="000B3C5C" w:rsidRDefault="00ED192D">
            <w:pPr>
              <w:spacing w:after="1" w:line="240" w:lineRule="auto"/>
              <w:ind w:left="46" w:firstLine="19"/>
            </w:pPr>
            <w:r>
              <w:rPr>
                <w:rFonts w:ascii="Arial" w:eastAsia="Arial" w:hAnsi="Arial" w:cs="Arial"/>
                <w:sz w:val="20"/>
              </w:rPr>
              <w:t>New lesions confirm iCPD if new lesions were previously identified and they have increased in size (</w:t>
            </w:r>
            <w:r>
              <w:rPr>
                <w:sz w:val="20"/>
              </w:rPr>
              <w:t>≥</w:t>
            </w:r>
            <w:r>
              <w:rPr>
                <w:rFonts w:ascii="Arial" w:eastAsia="Arial" w:hAnsi="Arial" w:cs="Arial"/>
                <w:sz w:val="20"/>
              </w:rPr>
              <w:t xml:space="preserve">5 mm in sum </w:t>
            </w:r>
          </w:p>
          <w:p w14:paraId="744B164F" w14:textId="77777777" w:rsidR="000B3C5C" w:rsidRDefault="00ED192D">
            <w:pPr>
              <w:spacing w:after="2" w:line="239" w:lineRule="auto"/>
              <w:ind w:left="50" w:hanging="19"/>
            </w:pPr>
            <w:r>
              <w:rPr>
                <w:rFonts w:ascii="Arial" w:eastAsia="Arial" w:hAnsi="Arial" w:cs="Arial"/>
                <w:sz w:val="20"/>
              </w:rPr>
              <w:t>of measures for new lesion target or any increase for new lesion non-</w:t>
            </w:r>
            <w:r>
              <w:rPr>
                <w:rFonts w:ascii="Arial" w:eastAsia="Arial" w:hAnsi="Arial" w:cs="Arial"/>
                <w:sz w:val="20"/>
              </w:rPr>
              <w:t xml:space="preserve">target) or number; if no change is seen in new </w:t>
            </w:r>
          </w:p>
          <w:p w14:paraId="7FA3C90F" w14:textId="77777777" w:rsidR="000B3C5C" w:rsidRDefault="00ED192D">
            <w:pPr>
              <w:spacing w:after="0" w:line="259" w:lineRule="auto"/>
              <w:ind w:left="89" w:firstLine="0"/>
            </w:pPr>
            <w:r>
              <w:rPr>
                <w:rFonts w:ascii="Arial" w:eastAsia="Arial" w:hAnsi="Arial" w:cs="Arial"/>
                <w:sz w:val="20"/>
              </w:rPr>
              <w:t xml:space="preserve">lesions (size or number) from last timepoint, assignment </w:t>
            </w:r>
          </w:p>
          <w:p w14:paraId="49654819" w14:textId="77777777" w:rsidR="000B3C5C" w:rsidRDefault="00ED192D">
            <w:pPr>
              <w:spacing w:after="0" w:line="259" w:lineRule="auto"/>
              <w:ind w:left="0" w:right="45" w:firstLine="0"/>
              <w:jc w:val="center"/>
            </w:pPr>
            <w:r>
              <w:rPr>
                <w:rFonts w:ascii="Arial" w:eastAsia="Arial" w:hAnsi="Arial" w:cs="Arial"/>
                <w:sz w:val="20"/>
              </w:rPr>
              <w:t xml:space="preserve">remains iUPD </w:t>
            </w:r>
          </w:p>
        </w:tc>
      </w:tr>
      <w:tr w:rsidR="000B3C5C" w14:paraId="4B77D113" w14:textId="77777777">
        <w:trPr>
          <w:trHeight w:val="1038"/>
        </w:trPr>
        <w:tc>
          <w:tcPr>
            <w:tcW w:w="1253" w:type="dxa"/>
            <w:tcBorders>
              <w:top w:val="nil"/>
              <w:left w:val="nil"/>
              <w:bottom w:val="nil"/>
              <w:right w:val="nil"/>
            </w:tcBorders>
          </w:tcPr>
          <w:p w14:paraId="0649A5D7" w14:textId="77777777" w:rsidR="000B3C5C" w:rsidRDefault="00ED192D">
            <w:pPr>
              <w:spacing w:after="0" w:line="259" w:lineRule="auto"/>
              <w:ind w:left="427" w:hanging="194"/>
            </w:pPr>
            <w:r>
              <w:rPr>
                <w:rFonts w:ascii="Arial" w:eastAsia="Arial" w:hAnsi="Arial" w:cs="Arial"/>
                <w:sz w:val="20"/>
              </w:rPr>
              <w:t xml:space="preserve">iSD, iPR, iCR </w:t>
            </w:r>
          </w:p>
        </w:tc>
        <w:tc>
          <w:tcPr>
            <w:tcW w:w="1671" w:type="dxa"/>
            <w:gridSpan w:val="2"/>
            <w:tcBorders>
              <w:top w:val="nil"/>
              <w:left w:val="nil"/>
              <w:bottom w:val="nil"/>
              <w:right w:val="nil"/>
            </w:tcBorders>
          </w:tcPr>
          <w:p w14:paraId="526BDE14" w14:textId="77777777" w:rsidR="000B3C5C" w:rsidRDefault="00ED192D">
            <w:pPr>
              <w:spacing w:after="0" w:line="259" w:lineRule="auto"/>
              <w:ind w:left="524" w:firstLine="0"/>
            </w:pPr>
            <w:r>
              <w:rPr>
                <w:rFonts w:ascii="Arial" w:eastAsia="Arial" w:hAnsi="Arial" w:cs="Arial"/>
                <w:sz w:val="20"/>
              </w:rPr>
              <w:t xml:space="preserve">iUPD </w:t>
            </w:r>
          </w:p>
        </w:tc>
        <w:tc>
          <w:tcPr>
            <w:tcW w:w="996" w:type="dxa"/>
            <w:tcBorders>
              <w:top w:val="nil"/>
              <w:left w:val="nil"/>
              <w:bottom w:val="nil"/>
              <w:right w:val="nil"/>
            </w:tcBorders>
          </w:tcPr>
          <w:p w14:paraId="0F338F38" w14:textId="77777777" w:rsidR="000B3C5C" w:rsidRDefault="00ED192D">
            <w:pPr>
              <w:spacing w:after="0" w:line="259" w:lineRule="auto"/>
              <w:ind w:left="240" w:firstLine="0"/>
            </w:pPr>
            <w:r>
              <w:rPr>
                <w:rFonts w:ascii="Arial" w:eastAsia="Arial" w:hAnsi="Arial" w:cs="Arial"/>
                <w:sz w:val="20"/>
              </w:rPr>
              <w:t xml:space="preserve">No </w:t>
            </w:r>
          </w:p>
        </w:tc>
        <w:tc>
          <w:tcPr>
            <w:tcW w:w="1423" w:type="dxa"/>
            <w:tcBorders>
              <w:top w:val="nil"/>
              <w:left w:val="nil"/>
              <w:bottom w:val="nil"/>
              <w:right w:val="nil"/>
            </w:tcBorders>
          </w:tcPr>
          <w:p w14:paraId="480A04AD" w14:textId="77777777" w:rsidR="000B3C5C" w:rsidRDefault="00ED192D">
            <w:pPr>
              <w:spacing w:after="0" w:line="259" w:lineRule="auto"/>
              <w:ind w:left="362" w:firstLine="0"/>
            </w:pPr>
            <w:r>
              <w:rPr>
                <w:rFonts w:ascii="Arial" w:eastAsia="Arial" w:hAnsi="Arial" w:cs="Arial"/>
                <w:sz w:val="20"/>
              </w:rPr>
              <w:t xml:space="preserve">iUPD </w:t>
            </w:r>
          </w:p>
        </w:tc>
        <w:tc>
          <w:tcPr>
            <w:tcW w:w="4357" w:type="dxa"/>
            <w:tcBorders>
              <w:top w:val="nil"/>
              <w:left w:val="nil"/>
              <w:bottom w:val="nil"/>
              <w:right w:val="nil"/>
            </w:tcBorders>
          </w:tcPr>
          <w:p w14:paraId="43623691" w14:textId="77777777" w:rsidR="000B3C5C" w:rsidRDefault="00ED192D">
            <w:pPr>
              <w:spacing w:after="1" w:line="240" w:lineRule="auto"/>
              <w:ind w:left="0" w:firstLine="19"/>
            </w:pPr>
            <w:r>
              <w:rPr>
                <w:rFonts w:ascii="Arial" w:eastAsia="Arial" w:hAnsi="Arial" w:cs="Arial"/>
                <w:sz w:val="20"/>
              </w:rPr>
              <w:t xml:space="preserve">Remains iUPD unless iCPD is confirmed on the basis of a further increase in the size of non-target disease (does not need to meet RECIST 1.1 criteria for unequivocal </w:t>
            </w:r>
          </w:p>
          <w:p w14:paraId="29D42AB9" w14:textId="77777777" w:rsidR="000B3C5C" w:rsidRDefault="00ED192D">
            <w:pPr>
              <w:spacing w:after="0" w:line="259" w:lineRule="auto"/>
              <w:ind w:left="0" w:right="47" w:firstLine="0"/>
              <w:jc w:val="center"/>
            </w:pPr>
            <w:r>
              <w:rPr>
                <w:rFonts w:ascii="Arial" w:eastAsia="Arial" w:hAnsi="Arial" w:cs="Arial"/>
                <w:sz w:val="20"/>
              </w:rPr>
              <w:t xml:space="preserve">progression) </w:t>
            </w:r>
          </w:p>
        </w:tc>
      </w:tr>
      <w:tr w:rsidR="000B3C5C" w14:paraId="6D448E77" w14:textId="77777777">
        <w:trPr>
          <w:trHeight w:val="793"/>
        </w:trPr>
        <w:tc>
          <w:tcPr>
            <w:tcW w:w="1253" w:type="dxa"/>
            <w:tcBorders>
              <w:top w:val="nil"/>
              <w:left w:val="nil"/>
              <w:bottom w:val="single" w:sz="4" w:space="0" w:color="000000"/>
              <w:right w:val="nil"/>
            </w:tcBorders>
          </w:tcPr>
          <w:p w14:paraId="4E9CA5E3" w14:textId="77777777" w:rsidR="000B3C5C" w:rsidRDefault="00ED192D">
            <w:pPr>
              <w:spacing w:after="0" w:line="259" w:lineRule="auto"/>
              <w:ind w:left="0" w:right="52" w:firstLine="0"/>
              <w:jc w:val="center"/>
            </w:pPr>
            <w:r>
              <w:rPr>
                <w:rFonts w:ascii="Arial" w:eastAsia="Arial" w:hAnsi="Arial" w:cs="Arial"/>
                <w:sz w:val="20"/>
              </w:rPr>
              <w:t xml:space="preserve">iUPD </w:t>
            </w:r>
          </w:p>
        </w:tc>
        <w:tc>
          <w:tcPr>
            <w:tcW w:w="1671" w:type="dxa"/>
            <w:gridSpan w:val="2"/>
            <w:tcBorders>
              <w:top w:val="nil"/>
              <w:left w:val="nil"/>
              <w:bottom w:val="single" w:sz="4" w:space="0" w:color="000000"/>
              <w:right w:val="nil"/>
            </w:tcBorders>
          </w:tcPr>
          <w:p w14:paraId="6A94C317" w14:textId="77777777" w:rsidR="000B3C5C" w:rsidRDefault="00ED192D">
            <w:pPr>
              <w:spacing w:after="0" w:line="259" w:lineRule="auto"/>
              <w:ind w:left="481" w:hanging="481"/>
            </w:pPr>
            <w:r>
              <w:rPr>
                <w:rFonts w:ascii="Arial" w:eastAsia="Arial" w:hAnsi="Arial" w:cs="Arial"/>
                <w:sz w:val="20"/>
              </w:rPr>
              <w:t xml:space="preserve">Non-iCR/non-iUPD, or iCR </w:t>
            </w:r>
          </w:p>
        </w:tc>
        <w:tc>
          <w:tcPr>
            <w:tcW w:w="996" w:type="dxa"/>
            <w:tcBorders>
              <w:top w:val="nil"/>
              <w:left w:val="nil"/>
              <w:bottom w:val="single" w:sz="4" w:space="0" w:color="000000"/>
              <w:right w:val="nil"/>
            </w:tcBorders>
          </w:tcPr>
          <w:p w14:paraId="680D2A16" w14:textId="77777777" w:rsidR="000B3C5C" w:rsidRDefault="00ED192D">
            <w:pPr>
              <w:spacing w:after="0" w:line="259" w:lineRule="auto"/>
              <w:ind w:left="240" w:firstLine="0"/>
            </w:pPr>
            <w:r>
              <w:rPr>
                <w:rFonts w:ascii="Arial" w:eastAsia="Arial" w:hAnsi="Arial" w:cs="Arial"/>
                <w:sz w:val="20"/>
              </w:rPr>
              <w:t xml:space="preserve">No </w:t>
            </w:r>
          </w:p>
        </w:tc>
        <w:tc>
          <w:tcPr>
            <w:tcW w:w="1423" w:type="dxa"/>
            <w:tcBorders>
              <w:top w:val="nil"/>
              <w:left w:val="nil"/>
              <w:bottom w:val="single" w:sz="4" w:space="0" w:color="000000"/>
              <w:right w:val="nil"/>
            </w:tcBorders>
          </w:tcPr>
          <w:p w14:paraId="5C147AF0" w14:textId="77777777" w:rsidR="000B3C5C" w:rsidRDefault="00ED192D">
            <w:pPr>
              <w:spacing w:after="0" w:line="259" w:lineRule="auto"/>
              <w:ind w:left="362" w:firstLine="0"/>
            </w:pPr>
            <w:r>
              <w:rPr>
                <w:rFonts w:ascii="Arial" w:eastAsia="Arial" w:hAnsi="Arial" w:cs="Arial"/>
                <w:sz w:val="20"/>
              </w:rPr>
              <w:t xml:space="preserve">iUPD </w:t>
            </w:r>
          </w:p>
        </w:tc>
        <w:tc>
          <w:tcPr>
            <w:tcW w:w="4357" w:type="dxa"/>
            <w:tcBorders>
              <w:top w:val="nil"/>
              <w:left w:val="nil"/>
              <w:bottom w:val="single" w:sz="4" w:space="0" w:color="000000"/>
              <w:right w:val="nil"/>
            </w:tcBorders>
          </w:tcPr>
          <w:p w14:paraId="18BD2713" w14:textId="77777777" w:rsidR="000B3C5C" w:rsidRDefault="00ED192D">
            <w:pPr>
              <w:spacing w:after="1" w:line="240" w:lineRule="auto"/>
              <w:ind w:left="110" w:hanging="91"/>
            </w:pPr>
            <w:r>
              <w:rPr>
                <w:rFonts w:ascii="Arial" w:eastAsia="Arial" w:hAnsi="Arial" w:cs="Arial"/>
                <w:sz w:val="20"/>
              </w:rPr>
              <w:t xml:space="preserve">Remains iUPD unless iCPD is confirmed on the basis of a further increase in sum of measures </w:t>
            </w:r>
            <w:r>
              <w:rPr>
                <w:sz w:val="20"/>
              </w:rPr>
              <w:t>≥</w:t>
            </w:r>
            <w:r>
              <w:rPr>
                <w:rFonts w:ascii="Arial" w:eastAsia="Arial" w:hAnsi="Arial" w:cs="Arial"/>
                <w:sz w:val="20"/>
              </w:rPr>
              <w:t xml:space="preserve">5 mm; otherwise, </w:t>
            </w:r>
          </w:p>
          <w:p w14:paraId="2B90CE3C" w14:textId="77777777" w:rsidR="000B3C5C" w:rsidRDefault="00ED192D">
            <w:pPr>
              <w:spacing w:after="0" w:line="259" w:lineRule="auto"/>
              <w:ind w:left="0" w:right="49" w:firstLine="0"/>
              <w:jc w:val="center"/>
            </w:pPr>
            <w:r>
              <w:rPr>
                <w:rFonts w:ascii="Arial" w:eastAsia="Arial" w:hAnsi="Arial" w:cs="Arial"/>
                <w:sz w:val="20"/>
              </w:rPr>
              <w:t xml:space="preserve">assignment remains iUPD </w:t>
            </w:r>
          </w:p>
        </w:tc>
      </w:tr>
      <w:tr w:rsidR="000B3C5C" w14:paraId="0435AFEE" w14:textId="77777777">
        <w:trPr>
          <w:trHeight w:val="1510"/>
        </w:trPr>
        <w:tc>
          <w:tcPr>
            <w:tcW w:w="1462" w:type="dxa"/>
            <w:gridSpan w:val="2"/>
            <w:tcBorders>
              <w:top w:val="single" w:sz="4" w:space="0" w:color="000000"/>
              <w:left w:val="nil"/>
              <w:bottom w:val="single" w:sz="4" w:space="0" w:color="000000"/>
              <w:right w:val="nil"/>
            </w:tcBorders>
          </w:tcPr>
          <w:p w14:paraId="7A1A4DAF" w14:textId="77777777" w:rsidR="000B3C5C" w:rsidRDefault="00ED192D">
            <w:pPr>
              <w:spacing w:after="0" w:line="259" w:lineRule="auto"/>
              <w:ind w:left="206" w:firstLine="38"/>
            </w:pPr>
            <w:r>
              <w:rPr>
                <w:rFonts w:ascii="Arial" w:eastAsia="Arial" w:hAnsi="Arial" w:cs="Arial"/>
                <w:b/>
                <w:sz w:val="20"/>
              </w:rPr>
              <w:t xml:space="preserve">Target lesions </w:t>
            </w:r>
          </w:p>
        </w:tc>
        <w:tc>
          <w:tcPr>
            <w:tcW w:w="1462" w:type="dxa"/>
            <w:tcBorders>
              <w:top w:val="single" w:sz="4" w:space="0" w:color="000000"/>
              <w:left w:val="nil"/>
              <w:bottom w:val="single" w:sz="4" w:space="0" w:color="000000"/>
              <w:right w:val="nil"/>
            </w:tcBorders>
          </w:tcPr>
          <w:p w14:paraId="5E232656" w14:textId="77777777" w:rsidR="000B3C5C" w:rsidRDefault="00ED192D">
            <w:pPr>
              <w:spacing w:after="0" w:line="259" w:lineRule="auto"/>
              <w:ind w:left="161" w:hanging="161"/>
            </w:pPr>
            <w:r>
              <w:rPr>
                <w:rFonts w:ascii="Arial" w:eastAsia="Arial" w:hAnsi="Arial" w:cs="Arial"/>
                <w:b/>
                <w:sz w:val="20"/>
              </w:rPr>
              <w:t xml:space="preserve">Non-target lesions </w:t>
            </w:r>
          </w:p>
        </w:tc>
        <w:tc>
          <w:tcPr>
            <w:tcW w:w="996" w:type="dxa"/>
            <w:tcBorders>
              <w:top w:val="single" w:sz="4" w:space="0" w:color="000000"/>
              <w:left w:val="nil"/>
              <w:bottom w:val="single" w:sz="4" w:space="0" w:color="000000"/>
              <w:right w:val="nil"/>
            </w:tcBorders>
          </w:tcPr>
          <w:p w14:paraId="0582A383" w14:textId="77777777" w:rsidR="000B3C5C" w:rsidRDefault="00ED192D">
            <w:pPr>
              <w:spacing w:after="0" w:line="259" w:lineRule="auto"/>
              <w:ind w:left="139" w:firstLine="0"/>
            </w:pPr>
            <w:r>
              <w:rPr>
                <w:rFonts w:ascii="Arial" w:eastAsia="Arial" w:hAnsi="Arial" w:cs="Arial"/>
                <w:b/>
                <w:sz w:val="20"/>
              </w:rPr>
              <w:t xml:space="preserve">New </w:t>
            </w:r>
          </w:p>
          <w:p w14:paraId="7FC78C23" w14:textId="77777777" w:rsidR="000B3C5C" w:rsidRDefault="00ED192D">
            <w:pPr>
              <w:spacing w:after="0" w:line="259" w:lineRule="auto"/>
              <w:ind w:left="0" w:firstLine="0"/>
            </w:pPr>
            <w:r>
              <w:rPr>
                <w:rFonts w:ascii="Arial" w:eastAsia="Arial" w:hAnsi="Arial" w:cs="Arial"/>
                <w:b/>
                <w:sz w:val="20"/>
              </w:rPr>
              <w:t xml:space="preserve">lesions </w:t>
            </w:r>
          </w:p>
        </w:tc>
        <w:tc>
          <w:tcPr>
            <w:tcW w:w="1423" w:type="dxa"/>
            <w:tcBorders>
              <w:top w:val="single" w:sz="4" w:space="0" w:color="000000"/>
              <w:left w:val="nil"/>
              <w:bottom w:val="single" w:sz="4" w:space="0" w:color="000000"/>
              <w:right w:val="nil"/>
            </w:tcBorders>
          </w:tcPr>
          <w:p w14:paraId="255819B8" w14:textId="77777777" w:rsidR="000B3C5C" w:rsidRDefault="00ED192D">
            <w:pPr>
              <w:spacing w:after="0" w:line="241" w:lineRule="auto"/>
              <w:ind w:left="110" w:hanging="36"/>
            </w:pPr>
            <w:r>
              <w:rPr>
                <w:rFonts w:ascii="Arial" w:eastAsia="Arial" w:hAnsi="Arial" w:cs="Arial"/>
                <w:b/>
                <w:sz w:val="20"/>
              </w:rPr>
              <w:t xml:space="preserve">Timepoint response with no </w:t>
            </w:r>
          </w:p>
          <w:p w14:paraId="3FDF7D30" w14:textId="77777777" w:rsidR="000B3C5C" w:rsidRDefault="00ED192D">
            <w:pPr>
              <w:spacing w:after="0" w:line="259" w:lineRule="auto"/>
              <w:ind w:left="137" w:firstLine="0"/>
            </w:pPr>
            <w:r>
              <w:rPr>
                <w:rFonts w:ascii="Arial" w:eastAsia="Arial" w:hAnsi="Arial" w:cs="Arial"/>
                <w:b/>
                <w:sz w:val="20"/>
              </w:rPr>
              <w:t xml:space="preserve">previous </w:t>
            </w:r>
          </w:p>
          <w:p w14:paraId="7BD27001" w14:textId="77777777" w:rsidR="000B3C5C" w:rsidRDefault="00ED192D">
            <w:pPr>
              <w:spacing w:after="0" w:line="259" w:lineRule="auto"/>
              <w:ind w:left="137" w:hanging="137"/>
            </w:pPr>
            <w:r>
              <w:rPr>
                <w:rFonts w:ascii="Arial" w:eastAsia="Arial" w:hAnsi="Arial" w:cs="Arial"/>
                <w:b/>
                <w:sz w:val="20"/>
              </w:rPr>
              <w:t xml:space="preserve">iUPD in any category </w:t>
            </w:r>
          </w:p>
        </w:tc>
        <w:tc>
          <w:tcPr>
            <w:tcW w:w="4357" w:type="dxa"/>
            <w:tcBorders>
              <w:top w:val="single" w:sz="4" w:space="0" w:color="000000"/>
              <w:left w:val="nil"/>
              <w:bottom w:val="single" w:sz="4" w:space="0" w:color="000000"/>
              <w:right w:val="nil"/>
            </w:tcBorders>
          </w:tcPr>
          <w:p w14:paraId="531FC0D6" w14:textId="77777777" w:rsidR="000B3C5C" w:rsidRDefault="00ED192D">
            <w:pPr>
              <w:spacing w:after="0" w:line="259" w:lineRule="auto"/>
              <w:ind w:left="1443" w:hanging="1347"/>
              <w:jc w:val="both"/>
            </w:pPr>
            <w:r>
              <w:rPr>
                <w:rFonts w:ascii="Arial" w:eastAsia="Arial" w:hAnsi="Arial" w:cs="Arial"/>
                <w:b/>
                <w:sz w:val="20"/>
              </w:rPr>
              <w:t>Timepoint response with previous iUPD in any category</w:t>
            </w:r>
            <w:r>
              <w:rPr>
                <w:rFonts w:ascii="Arial" w:eastAsia="Arial" w:hAnsi="Arial" w:cs="Arial"/>
                <w:b/>
                <w:i/>
                <w:color w:val="0000FF"/>
                <w:sz w:val="28"/>
                <w:vertAlign w:val="superscript"/>
              </w:rPr>
              <w:t>a</w:t>
            </w:r>
            <w:r>
              <w:rPr>
                <w:rFonts w:ascii="Arial" w:eastAsia="Arial" w:hAnsi="Arial" w:cs="Arial"/>
                <w:b/>
                <w:sz w:val="20"/>
              </w:rPr>
              <w:t xml:space="preserve"> </w:t>
            </w:r>
          </w:p>
        </w:tc>
      </w:tr>
      <w:tr w:rsidR="000B3C5C" w14:paraId="6D7F5056" w14:textId="77777777">
        <w:trPr>
          <w:trHeight w:val="1294"/>
        </w:trPr>
        <w:tc>
          <w:tcPr>
            <w:tcW w:w="1462" w:type="dxa"/>
            <w:gridSpan w:val="2"/>
            <w:tcBorders>
              <w:top w:val="single" w:sz="4" w:space="0" w:color="000000"/>
              <w:left w:val="nil"/>
              <w:bottom w:val="nil"/>
              <w:right w:val="nil"/>
            </w:tcBorders>
          </w:tcPr>
          <w:p w14:paraId="1AAAFD4D" w14:textId="77777777" w:rsidR="000B3C5C" w:rsidRDefault="00ED192D">
            <w:pPr>
              <w:spacing w:after="0" w:line="259" w:lineRule="auto"/>
              <w:ind w:left="360" w:firstLine="0"/>
            </w:pPr>
            <w:r>
              <w:rPr>
                <w:rFonts w:ascii="Arial" w:eastAsia="Arial" w:hAnsi="Arial" w:cs="Arial"/>
                <w:sz w:val="20"/>
              </w:rPr>
              <w:t xml:space="preserve">iUPD </w:t>
            </w:r>
          </w:p>
        </w:tc>
        <w:tc>
          <w:tcPr>
            <w:tcW w:w="1462" w:type="dxa"/>
            <w:tcBorders>
              <w:top w:val="single" w:sz="4" w:space="0" w:color="000000"/>
              <w:left w:val="nil"/>
              <w:bottom w:val="nil"/>
              <w:right w:val="nil"/>
            </w:tcBorders>
          </w:tcPr>
          <w:p w14:paraId="2CC44386" w14:textId="77777777" w:rsidR="000B3C5C" w:rsidRDefault="00ED192D">
            <w:pPr>
              <w:spacing w:after="0" w:line="259" w:lineRule="auto"/>
              <w:ind w:left="315" w:firstLine="0"/>
            </w:pPr>
            <w:r>
              <w:rPr>
                <w:rFonts w:ascii="Arial" w:eastAsia="Arial" w:hAnsi="Arial" w:cs="Arial"/>
                <w:sz w:val="20"/>
              </w:rPr>
              <w:t xml:space="preserve">iUPD </w:t>
            </w:r>
          </w:p>
        </w:tc>
        <w:tc>
          <w:tcPr>
            <w:tcW w:w="996" w:type="dxa"/>
            <w:tcBorders>
              <w:top w:val="single" w:sz="4" w:space="0" w:color="000000"/>
              <w:left w:val="nil"/>
              <w:bottom w:val="nil"/>
              <w:right w:val="nil"/>
            </w:tcBorders>
          </w:tcPr>
          <w:p w14:paraId="005F2946" w14:textId="77777777" w:rsidR="000B3C5C" w:rsidRDefault="00ED192D">
            <w:pPr>
              <w:spacing w:after="0" w:line="259" w:lineRule="auto"/>
              <w:ind w:left="240" w:firstLine="0"/>
            </w:pPr>
            <w:r>
              <w:rPr>
                <w:rFonts w:ascii="Arial" w:eastAsia="Arial" w:hAnsi="Arial" w:cs="Arial"/>
                <w:sz w:val="20"/>
              </w:rPr>
              <w:t xml:space="preserve">No </w:t>
            </w:r>
          </w:p>
        </w:tc>
        <w:tc>
          <w:tcPr>
            <w:tcW w:w="1423" w:type="dxa"/>
            <w:tcBorders>
              <w:top w:val="single" w:sz="4" w:space="0" w:color="000000"/>
              <w:left w:val="nil"/>
              <w:bottom w:val="nil"/>
              <w:right w:val="nil"/>
            </w:tcBorders>
          </w:tcPr>
          <w:p w14:paraId="5DBF21BE" w14:textId="77777777" w:rsidR="000B3C5C" w:rsidRDefault="00ED192D">
            <w:pPr>
              <w:spacing w:after="0" w:line="259" w:lineRule="auto"/>
              <w:ind w:left="362" w:firstLine="0"/>
            </w:pPr>
            <w:r>
              <w:rPr>
                <w:rFonts w:ascii="Arial" w:eastAsia="Arial" w:hAnsi="Arial" w:cs="Arial"/>
                <w:sz w:val="20"/>
              </w:rPr>
              <w:t xml:space="preserve">iUPD </w:t>
            </w:r>
          </w:p>
        </w:tc>
        <w:tc>
          <w:tcPr>
            <w:tcW w:w="4357" w:type="dxa"/>
            <w:tcBorders>
              <w:top w:val="single" w:sz="4" w:space="0" w:color="000000"/>
              <w:left w:val="nil"/>
              <w:bottom w:val="nil"/>
              <w:right w:val="nil"/>
            </w:tcBorders>
          </w:tcPr>
          <w:p w14:paraId="087E6286" w14:textId="77777777" w:rsidR="000B3C5C" w:rsidRDefault="00ED192D">
            <w:pPr>
              <w:spacing w:after="1" w:line="240" w:lineRule="auto"/>
              <w:ind w:left="19" w:firstLine="175"/>
            </w:pPr>
            <w:r>
              <w:rPr>
                <w:rFonts w:ascii="Arial" w:eastAsia="Arial" w:hAnsi="Arial" w:cs="Arial"/>
                <w:sz w:val="20"/>
              </w:rPr>
              <w:t xml:space="preserve">Remains iUPD unless iCPD is confirmed based on a further increase in previously identified target lesion iUPD in sum of measures ≥5 mm or non-target lesion iUPD </w:t>
            </w:r>
          </w:p>
          <w:p w14:paraId="73967123" w14:textId="77777777" w:rsidR="000B3C5C" w:rsidRDefault="00ED192D">
            <w:pPr>
              <w:spacing w:after="0" w:line="259" w:lineRule="auto"/>
              <w:ind w:left="1645" w:hanging="1604"/>
            </w:pPr>
            <w:r>
              <w:rPr>
                <w:rFonts w:ascii="Arial" w:eastAsia="Arial" w:hAnsi="Arial" w:cs="Arial"/>
                <w:sz w:val="20"/>
              </w:rPr>
              <w:t xml:space="preserve">(previous assessment need not have shown unequivocal progression) </w:t>
            </w:r>
          </w:p>
        </w:tc>
      </w:tr>
      <w:tr w:rsidR="000B3C5C" w14:paraId="25588172" w14:textId="77777777">
        <w:trPr>
          <w:trHeight w:val="1550"/>
        </w:trPr>
        <w:tc>
          <w:tcPr>
            <w:tcW w:w="1462" w:type="dxa"/>
            <w:gridSpan w:val="2"/>
            <w:tcBorders>
              <w:top w:val="nil"/>
              <w:left w:val="nil"/>
              <w:bottom w:val="nil"/>
              <w:right w:val="nil"/>
            </w:tcBorders>
          </w:tcPr>
          <w:p w14:paraId="4839E06A" w14:textId="77777777" w:rsidR="000B3C5C" w:rsidRDefault="00ED192D">
            <w:pPr>
              <w:spacing w:after="0" w:line="259" w:lineRule="auto"/>
              <w:ind w:left="360" w:firstLine="0"/>
            </w:pPr>
            <w:r>
              <w:rPr>
                <w:rFonts w:ascii="Arial" w:eastAsia="Arial" w:hAnsi="Arial" w:cs="Arial"/>
                <w:sz w:val="20"/>
              </w:rPr>
              <w:t xml:space="preserve">iUPD </w:t>
            </w:r>
          </w:p>
        </w:tc>
        <w:tc>
          <w:tcPr>
            <w:tcW w:w="1462" w:type="dxa"/>
            <w:tcBorders>
              <w:top w:val="nil"/>
              <w:left w:val="nil"/>
              <w:bottom w:val="nil"/>
              <w:right w:val="nil"/>
            </w:tcBorders>
          </w:tcPr>
          <w:p w14:paraId="6F630F02" w14:textId="77777777" w:rsidR="000B3C5C" w:rsidRDefault="00ED192D">
            <w:pPr>
              <w:spacing w:after="0" w:line="259" w:lineRule="auto"/>
              <w:ind w:left="315" w:firstLine="0"/>
            </w:pPr>
            <w:r>
              <w:rPr>
                <w:rFonts w:ascii="Arial" w:eastAsia="Arial" w:hAnsi="Arial" w:cs="Arial"/>
                <w:sz w:val="20"/>
              </w:rPr>
              <w:t xml:space="preserve">iUPD </w:t>
            </w:r>
          </w:p>
        </w:tc>
        <w:tc>
          <w:tcPr>
            <w:tcW w:w="996" w:type="dxa"/>
            <w:tcBorders>
              <w:top w:val="nil"/>
              <w:left w:val="nil"/>
              <w:bottom w:val="nil"/>
              <w:right w:val="nil"/>
            </w:tcBorders>
          </w:tcPr>
          <w:p w14:paraId="4643AB06" w14:textId="77777777" w:rsidR="000B3C5C" w:rsidRDefault="00ED192D">
            <w:pPr>
              <w:spacing w:after="0" w:line="259" w:lineRule="auto"/>
              <w:ind w:left="204" w:firstLine="0"/>
            </w:pPr>
            <w:r>
              <w:rPr>
                <w:rFonts w:ascii="Arial" w:eastAsia="Arial" w:hAnsi="Arial" w:cs="Arial"/>
                <w:sz w:val="20"/>
              </w:rPr>
              <w:t xml:space="preserve">Yes </w:t>
            </w:r>
          </w:p>
        </w:tc>
        <w:tc>
          <w:tcPr>
            <w:tcW w:w="1423" w:type="dxa"/>
            <w:tcBorders>
              <w:top w:val="nil"/>
              <w:left w:val="nil"/>
              <w:bottom w:val="nil"/>
              <w:right w:val="nil"/>
            </w:tcBorders>
          </w:tcPr>
          <w:p w14:paraId="2D04E337" w14:textId="77777777" w:rsidR="000B3C5C" w:rsidRDefault="00ED192D">
            <w:pPr>
              <w:spacing w:after="0" w:line="259" w:lineRule="auto"/>
              <w:ind w:left="362" w:firstLine="0"/>
            </w:pPr>
            <w:r>
              <w:rPr>
                <w:rFonts w:ascii="Arial" w:eastAsia="Arial" w:hAnsi="Arial" w:cs="Arial"/>
                <w:sz w:val="20"/>
              </w:rPr>
              <w:t xml:space="preserve">iUPD </w:t>
            </w:r>
          </w:p>
        </w:tc>
        <w:tc>
          <w:tcPr>
            <w:tcW w:w="4357" w:type="dxa"/>
            <w:tcBorders>
              <w:top w:val="nil"/>
              <w:left w:val="nil"/>
              <w:bottom w:val="nil"/>
              <w:right w:val="nil"/>
            </w:tcBorders>
          </w:tcPr>
          <w:p w14:paraId="2F8D8D3F" w14:textId="77777777" w:rsidR="000B3C5C" w:rsidRDefault="00ED192D">
            <w:pPr>
              <w:spacing w:after="1" w:line="241" w:lineRule="auto"/>
              <w:ind w:left="19" w:hanging="19"/>
            </w:pPr>
            <w:r>
              <w:rPr>
                <w:rFonts w:ascii="Arial" w:eastAsia="Arial" w:hAnsi="Arial" w:cs="Arial"/>
                <w:sz w:val="20"/>
              </w:rPr>
              <w:t xml:space="preserve">Remains iUPD unless iCPD is confirmed on the basis of a further increase in previously identified target lesion iUPD </w:t>
            </w:r>
          </w:p>
          <w:p w14:paraId="647082AD" w14:textId="77777777" w:rsidR="000B3C5C" w:rsidRDefault="00ED192D">
            <w:pPr>
              <w:spacing w:after="1" w:line="241" w:lineRule="auto"/>
              <w:ind w:left="67" w:hanging="41"/>
            </w:pPr>
            <w:r>
              <w:rPr>
                <w:rFonts w:ascii="Arial" w:eastAsia="Arial" w:hAnsi="Arial" w:cs="Arial"/>
                <w:sz w:val="20"/>
              </w:rPr>
              <w:t xml:space="preserve">sum of measures </w:t>
            </w:r>
            <w:r>
              <w:rPr>
                <w:sz w:val="20"/>
              </w:rPr>
              <w:t>≥</w:t>
            </w:r>
            <w:r>
              <w:rPr>
                <w:rFonts w:ascii="Arial" w:eastAsia="Arial" w:hAnsi="Arial" w:cs="Arial"/>
                <w:sz w:val="20"/>
              </w:rPr>
              <w:t xml:space="preserve">5 mm, previously identified non-target lesion iUPD (does not need to be unequivocal), or an increase in the size or number of new lesions previously </w:t>
            </w:r>
          </w:p>
          <w:p w14:paraId="4B520A0D" w14:textId="77777777" w:rsidR="000B3C5C" w:rsidRDefault="00ED192D">
            <w:pPr>
              <w:spacing w:after="0" w:line="259" w:lineRule="auto"/>
              <w:ind w:left="0" w:right="47" w:firstLine="0"/>
              <w:jc w:val="center"/>
            </w:pPr>
            <w:r>
              <w:rPr>
                <w:rFonts w:ascii="Arial" w:eastAsia="Arial" w:hAnsi="Arial" w:cs="Arial"/>
                <w:sz w:val="20"/>
              </w:rPr>
              <w:t xml:space="preserve">identified </w:t>
            </w:r>
          </w:p>
        </w:tc>
      </w:tr>
      <w:tr w:rsidR="000B3C5C" w14:paraId="747F18DD" w14:textId="77777777">
        <w:trPr>
          <w:trHeight w:val="846"/>
        </w:trPr>
        <w:tc>
          <w:tcPr>
            <w:tcW w:w="1462" w:type="dxa"/>
            <w:gridSpan w:val="2"/>
            <w:tcBorders>
              <w:top w:val="nil"/>
              <w:left w:val="nil"/>
              <w:bottom w:val="single" w:sz="4" w:space="0" w:color="000000"/>
              <w:right w:val="nil"/>
            </w:tcBorders>
          </w:tcPr>
          <w:p w14:paraId="4F6ABB65" w14:textId="77777777" w:rsidR="000B3C5C" w:rsidRDefault="00ED192D">
            <w:pPr>
              <w:spacing w:after="0" w:line="259" w:lineRule="auto"/>
              <w:ind w:left="182" w:firstLine="0"/>
            </w:pPr>
            <w:r>
              <w:rPr>
                <w:rFonts w:ascii="Arial" w:eastAsia="Arial" w:hAnsi="Arial" w:cs="Arial"/>
                <w:sz w:val="20"/>
              </w:rPr>
              <w:t xml:space="preserve">Non-iUPD </w:t>
            </w:r>
          </w:p>
          <w:p w14:paraId="4CA3E862" w14:textId="77777777" w:rsidR="000B3C5C" w:rsidRDefault="00ED192D">
            <w:pPr>
              <w:spacing w:after="0" w:line="259" w:lineRule="auto"/>
              <w:ind w:left="478" w:firstLine="0"/>
            </w:pPr>
            <w:r>
              <w:rPr>
                <w:rFonts w:ascii="Arial" w:eastAsia="Arial" w:hAnsi="Arial" w:cs="Arial"/>
                <w:sz w:val="20"/>
              </w:rPr>
              <w:t xml:space="preserve">or </w:t>
            </w:r>
          </w:p>
          <w:p w14:paraId="4716D782" w14:textId="77777777" w:rsidR="000B3C5C" w:rsidRDefault="00ED192D">
            <w:pPr>
              <w:spacing w:after="0" w:line="259" w:lineRule="auto"/>
              <w:ind w:left="122" w:firstLine="0"/>
            </w:pPr>
            <w:r>
              <w:rPr>
                <w:rFonts w:ascii="Arial" w:eastAsia="Arial" w:hAnsi="Arial" w:cs="Arial"/>
                <w:sz w:val="20"/>
              </w:rPr>
              <w:t xml:space="preserve">progression </w:t>
            </w:r>
          </w:p>
        </w:tc>
        <w:tc>
          <w:tcPr>
            <w:tcW w:w="1462" w:type="dxa"/>
            <w:tcBorders>
              <w:top w:val="nil"/>
              <w:left w:val="nil"/>
              <w:bottom w:val="single" w:sz="4" w:space="0" w:color="000000"/>
              <w:right w:val="nil"/>
            </w:tcBorders>
          </w:tcPr>
          <w:p w14:paraId="5256833F" w14:textId="77777777" w:rsidR="000B3C5C" w:rsidRDefault="00ED192D">
            <w:pPr>
              <w:spacing w:after="0" w:line="259" w:lineRule="auto"/>
              <w:ind w:left="77" w:hanging="36"/>
            </w:pPr>
            <w:r>
              <w:rPr>
                <w:rFonts w:ascii="Arial" w:eastAsia="Arial" w:hAnsi="Arial" w:cs="Arial"/>
                <w:sz w:val="20"/>
              </w:rPr>
              <w:t xml:space="preserve">Non-iUPD or progression </w:t>
            </w:r>
          </w:p>
        </w:tc>
        <w:tc>
          <w:tcPr>
            <w:tcW w:w="996" w:type="dxa"/>
            <w:tcBorders>
              <w:top w:val="nil"/>
              <w:left w:val="nil"/>
              <w:bottom w:val="single" w:sz="4" w:space="0" w:color="000000"/>
              <w:right w:val="nil"/>
            </w:tcBorders>
          </w:tcPr>
          <w:p w14:paraId="5BF5ECBD" w14:textId="77777777" w:rsidR="000B3C5C" w:rsidRDefault="00ED192D">
            <w:pPr>
              <w:spacing w:after="0" w:line="259" w:lineRule="auto"/>
              <w:ind w:left="204" w:firstLine="0"/>
            </w:pPr>
            <w:r>
              <w:rPr>
                <w:rFonts w:ascii="Arial" w:eastAsia="Arial" w:hAnsi="Arial" w:cs="Arial"/>
                <w:sz w:val="20"/>
              </w:rPr>
              <w:t xml:space="preserve">Yes </w:t>
            </w:r>
          </w:p>
        </w:tc>
        <w:tc>
          <w:tcPr>
            <w:tcW w:w="1423" w:type="dxa"/>
            <w:tcBorders>
              <w:top w:val="nil"/>
              <w:left w:val="nil"/>
              <w:bottom w:val="single" w:sz="4" w:space="0" w:color="000000"/>
              <w:right w:val="nil"/>
            </w:tcBorders>
          </w:tcPr>
          <w:p w14:paraId="0487FB3C" w14:textId="77777777" w:rsidR="000B3C5C" w:rsidRDefault="00ED192D">
            <w:pPr>
              <w:spacing w:after="0" w:line="259" w:lineRule="auto"/>
              <w:ind w:left="362" w:firstLine="0"/>
            </w:pPr>
            <w:r>
              <w:rPr>
                <w:rFonts w:ascii="Arial" w:eastAsia="Arial" w:hAnsi="Arial" w:cs="Arial"/>
                <w:sz w:val="20"/>
              </w:rPr>
              <w:t xml:space="preserve">iUPD </w:t>
            </w:r>
          </w:p>
        </w:tc>
        <w:tc>
          <w:tcPr>
            <w:tcW w:w="4357" w:type="dxa"/>
            <w:tcBorders>
              <w:top w:val="nil"/>
              <w:left w:val="nil"/>
              <w:bottom w:val="single" w:sz="4" w:space="0" w:color="000000"/>
              <w:right w:val="nil"/>
            </w:tcBorders>
          </w:tcPr>
          <w:p w14:paraId="6FBDE7D6" w14:textId="77777777" w:rsidR="000B3C5C" w:rsidRDefault="00ED192D">
            <w:pPr>
              <w:spacing w:after="0" w:line="241" w:lineRule="auto"/>
              <w:ind w:left="345" w:hanging="278"/>
            </w:pPr>
            <w:r>
              <w:rPr>
                <w:rFonts w:ascii="Arial" w:eastAsia="Arial" w:hAnsi="Arial" w:cs="Arial"/>
                <w:sz w:val="20"/>
              </w:rPr>
              <w:t xml:space="preserve">Remains iUPD unless iCPD is confirmed on the basis of an increase in the size or number of new lesions </w:t>
            </w:r>
          </w:p>
          <w:p w14:paraId="6374020A" w14:textId="77777777" w:rsidR="000B3C5C" w:rsidRDefault="00ED192D">
            <w:pPr>
              <w:spacing w:after="0" w:line="259" w:lineRule="auto"/>
              <w:ind w:left="0" w:right="47" w:firstLine="0"/>
              <w:jc w:val="center"/>
            </w:pPr>
            <w:r>
              <w:rPr>
                <w:rFonts w:ascii="Arial" w:eastAsia="Arial" w:hAnsi="Arial" w:cs="Arial"/>
                <w:sz w:val="20"/>
              </w:rPr>
              <w:t xml:space="preserve">previously identified </w:t>
            </w:r>
          </w:p>
        </w:tc>
      </w:tr>
    </w:tbl>
    <w:p w14:paraId="4AE9D151" w14:textId="77777777" w:rsidR="000B3C5C" w:rsidRDefault="00ED192D">
      <w:pPr>
        <w:spacing w:after="12"/>
        <w:ind w:left="-5" w:right="2"/>
      </w:pPr>
      <w:r>
        <w:rPr>
          <w:rFonts w:ascii="Arial" w:eastAsia="Arial" w:hAnsi="Arial" w:cs="Arial"/>
          <w:i/>
          <w:sz w:val="18"/>
        </w:rPr>
        <w:t xml:space="preserve">a </w:t>
      </w:r>
      <w:r>
        <w:rPr>
          <w:rFonts w:ascii="Arial" w:eastAsia="Arial" w:hAnsi="Arial" w:cs="Arial"/>
          <w:sz w:val="18"/>
        </w:rPr>
        <w:t xml:space="preserve">Previously identified in assessment immediately before this timepoint. </w:t>
      </w:r>
    </w:p>
    <w:p w14:paraId="070FF402" w14:textId="77777777" w:rsidR="000B3C5C" w:rsidRDefault="00ED192D">
      <w:pPr>
        <w:spacing w:after="12"/>
        <w:ind w:left="-5" w:right="2"/>
      </w:pPr>
      <w:r>
        <w:rPr>
          <w:rFonts w:ascii="Arial" w:eastAsia="Arial" w:hAnsi="Arial" w:cs="Arial"/>
          <w:sz w:val="18"/>
        </w:rPr>
        <w:t xml:space="preserve">“i” indicates immune responses assigned using iRECIST Target lesions, non-target lesions, and new lesions defined according to RECIST 1.1 principles; if no pseudoprogression occurs, RECIST 1.1 and iRECIST categories for complete response, partial response, and stable disease would be the same. </w:t>
      </w:r>
    </w:p>
    <w:p w14:paraId="0A10B391" w14:textId="77777777" w:rsidR="000B3C5C" w:rsidRDefault="00ED192D">
      <w:pPr>
        <w:spacing w:after="534"/>
        <w:ind w:left="-5" w:right="2"/>
      </w:pPr>
      <w:r>
        <w:rPr>
          <w:rFonts w:ascii="Arial" w:eastAsia="Arial" w:hAnsi="Arial" w:cs="Arial"/>
          <w:sz w:val="18"/>
        </w:rPr>
        <w:t xml:space="preserve">Abbreviations: iCPD=confirmed progression; iCR=complete response; iPR=partial response; iSD=stable disease; iUPD=unconfirmed progression; non-iCR/non-iUPD=criteria for neither CR nor PD have been met; RECIST=Response Evaluation Criteria in Solid Tumors. </w:t>
      </w:r>
    </w:p>
    <w:p w14:paraId="3DC5760D" w14:textId="77777777" w:rsidR="000B3C5C" w:rsidRDefault="00ED192D">
      <w:pPr>
        <w:spacing w:after="249" w:line="249" w:lineRule="auto"/>
        <w:ind w:left="664" w:hanging="679"/>
      </w:pPr>
      <w:r>
        <w:rPr>
          <w:rFonts w:ascii="Arial" w:eastAsia="Arial" w:hAnsi="Arial" w:cs="Arial"/>
          <w:b/>
          <w:sz w:val="22"/>
        </w:rPr>
        <w:t xml:space="preserve">10.17 </w:t>
      </w:r>
      <w:r>
        <w:rPr>
          <w:rFonts w:ascii="Arial" w:eastAsia="Arial" w:hAnsi="Arial" w:cs="Arial"/>
          <w:b/>
          <w:sz w:val="22"/>
        </w:rPr>
        <w:t xml:space="preserve">APPENDIX 17: CA125 RESPONSE BY GYNAECOLOGIC CANCER INTERGROUP </w:t>
      </w:r>
    </w:p>
    <w:p w14:paraId="5B4EA949" w14:textId="77777777" w:rsidR="000B3C5C" w:rsidRDefault="00ED192D">
      <w:pPr>
        <w:pStyle w:val="Heading3"/>
        <w:ind w:left="664" w:hanging="679"/>
      </w:pPr>
      <w:r>
        <w:t xml:space="preserve">(GCIG) CRITERIA  </w:t>
      </w:r>
    </w:p>
    <w:p w14:paraId="73C14A2E" w14:textId="77777777" w:rsidR="000B3C5C" w:rsidRDefault="00ED192D">
      <w:pPr>
        <w:ind w:left="-3" w:right="14"/>
      </w:pPr>
      <w:r>
        <w:t xml:space="preserve">Guidelines for using CA-125 response have been developed. Please refer to http://www.gcig.igcs.org/CA-125.html. Patients should have a pre-treatment CA-125 of at least twice the ULN in order to be considered for CA-125 response. Patients are not evaluable by CA-125 if they have received mouse antibodies or if there has been medical and/or surgical interference with their peritoneum or pleura during the previous 28 days. In those patients, a CA-125 response would be obtained the moment the CA-125 is reduced </w:t>
      </w:r>
      <w:r>
        <w:t xml:space="preserve">by 50% and this should be confirmed with a consecutive CA-125 assessment not earlier than 28 days after the previous one, with however the date of the first 50% reduction to be the reference date for the CA-125 response. </w:t>
      </w:r>
    </w:p>
    <w:p w14:paraId="5947BFCB" w14:textId="77777777" w:rsidR="000B3C5C" w:rsidRDefault="00ED192D">
      <w:pPr>
        <w:pStyle w:val="Heading3"/>
        <w:ind w:left="664" w:hanging="679"/>
      </w:pPr>
      <w:r>
        <w:t xml:space="preserve">10.18 APPENDIX 18: IMMUNOTHERAPY RESPONSE ASSESSMENT IN NEURO-ONCOLOGY (IRANO)  </w:t>
      </w:r>
    </w:p>
    <w:p w14:paraId="3095BCF8" w14:textId="77777777" w:rsidR="000B3C5C" w:rsidRDefault="00ED192D">
      <w:pPr>
        <w:ind w:left="-3" w:right="14"/>
      </w:pPr>
      <w:r>
        <w:t>Details provided in bibliographic reference (</w:t>
      </w:r>
      <w:r>
        <w:rPr>
          <w:color w:val="0000FF"/>
        </w:rPr>
        <w:t>64</w:t>
      </w:r>
      <w:r>
        <w:t xml:space="preserve">). </w:t>
      </w:r>
    </w:p>
    <w:p w14:paraId="7B7F30FC" w14:textId="77777777" w:rsidR="000B3C5C" w:rsidRDefault="00ED192D">
      <w:pPr>
        <w:spacing w:after="0" w:line="259" w:lineRule="auto"/>
        <w:ind w:left="0" w:firstLine="0"/>
      </w:pPr>
      <w:r>
        <w:t xml:space="preserve"> </w:t>
      </w:r>
    </w:p>
    <w:p w14:paraId="59872AE8" w14:textId="77777777" w:rsidR="000B3C5C" w:rsidRDefault="00ED192D">
      <w:pPr>
        <w:spacing w:after="0" w:line="259" w:lineRule="auto"/>
        <w:ind w:left="0" w:right="442" w:firstLine="0"/>
        <w:jc w:val="right"/>
      </w:pPr>
      <w:r>
        <w:rPr>
          <w:noProof/>
        </w:rPr>
        <w:drawing>
          <wp:inline distT="0" distB="0" distL="0" distR="0" wp14:anchorId="09E651F4" wp14:editId="63E2A760">
            <wp:extent cx="5716905" cy="6647181"/>
            <wp:effectExtent l="0" t="0" r="0" b="0"/>
            <wp:docPr id="30138" name="Picture 30138"/>
            <wp:cNvGraphicFramePr/>
            <a:graphic xmlns:a="http://schemas.openxmlformats.org/drawingml/2006/main">
              <a:graphicData uri="http://schemas.openxmlformats.org/drawingml/2006/picture">
                <pic:pic xmlns:pic="http://schemas.openxmlformats.org/drawingml/2006/picture">
                  <pic:nvPicPr>
                    <pic:cNvPr id="30138" name="Picture 30138"/>
                    <pic:cNvPicPr/>
                  </pic:nvPicPr>
                  <pic:blipFill>
                    <a:blip r:embed="rId47"/>
                    <a:stretch>
                      <a:fillRect/>
                    </a:stretch>
                  </pic:blipFill>
                  <pic:spPr>
                    <a:xfrm>
                      <a:off x="0" y="0"/>
                      <a:ext cx="5716905" cy="6647181"/>
                    </a:xfrm>
                    <a:prstGeom prst="rect">
                      <a:avLst/>
                    </a:prstGeom>
                  </pic:spPr>
                </pic:pic>
              </a:graphicData>
            </a:graphic>
          </wp:inline>
        </w:drawing>
      </w:r>
      <w:r>
        <w:t xml:space="preserve"> </w:t>
      </w:r>
    </w:p>
    <w:p w14:paraId="3185EDC2" w14:textId="77777777" w:rsidR="000B3C5C" w:rsidRDefault="00ED192D">
      <w:pPr>
        <w:spacing w:after="11"/>
        <w:ind w:left="-3" w:right="14"/>
      </w:pPr>
      <w:r>
        <w:t xml:space="preserve">Key considerations for RANO, immune-related response criteria (irRC), and iRANO: </w:t>
      </w:r>
    </w:p>
    <w:tbl>
      <w:tblPr>
        <w:tblStyle w:val="TableGrid"/>
        <w:tblW w:w="9686" w:type="dxa"/>
        <w:tblInd w:w="-108" w:type="dxa"/>
        <w:tblCellMar>
          <w:top w:w="81" w:type="dxa"/>
          <w:left w:w="0" w:type="dxa"/>
          <w:bottom w:w="0" w:type="dxa"/>
          <w:right w:w="94" w:type="dxa"/>
        </w:tblCellMar>
        <w:tblLook w:val="04A0" w:firstRow="1" w:lastRow="0" w:firstColumn="1" w:lastColumn="0" w:noHBand="0" w:noVBand="1"/>
      </w:tblPr>
      <w:tblGrid>
        <w:gridCol w:w="3961"/>
        <w:gridCol w:w="1422"/>
        <w:gridCol w:w="981"/>
        <w:gridCol w:w="1661"/>
        <w:gridCol w:w="1661"/>
      </w:tblGrid>
      <w:tr w:rsidR="000B3C5C" w14:paraId="1389027C" w14:textId="77777777">
        <w:trPr>
          <w:trHeight w:val="1109"/>
        </w:trPr>
        <w:tc>
          <w:tcPr>
            <w:tcW w:w="4223" w:type="dxa"/>
            <w:tcBorders>
              <w:top w:val="single" w:sz="4" w:space="0" w:color="000000"/>
              <w:left w:val="nil"/>
              <w:bottom w:val="single" w:sz="4" w:space="0" w:color="000000"/>
              <w:right w:val="nil"/>
            </w:tcBorders>
          </w:tcPr>
          <w:p w14:paraId="79FEFF65" w14:textId="77777777" w:rsidR="000B3C5C" w:rsidRDefault="00ED192D">
            <w:pPr>
              <w:spacing w:after="0" w:line="259" w:lineRule="auto"/>
              <w:ind w:left="0" w:right="98" w:firstLine="0"/>
              <w:jc w:val="center"/>
            </w:pPr>
            <w:r>
              <w:rPr>
                <w:rFonts w:ascii="Arial" w:eastAsia="Arial" w:hAnsi="Arial" w:cs="Arial"/>
                <w:b/>
                <w:sz w:val="20"/>
              </w:rPr>
              <w:t xml:space="preserve"> </w:t>
            </w:r>
          </w:p>
        </w:tc>
        <w:tc>
          <w:tcPr>
            <w:tcW w:w="1471" w:type="dxa"/>
            <w:tcBorders>
              <w:top w:val="single" w:sz="4" w:space="0" w:color="000000"/>
              <w:left w:val="nil"/>
              <w:bottom w:val="single" w:sz="4" w:space="0" w:color="000000"/>
              <w:right w:val="nil"/>
            </w:tcBorders>
          </w:tcPr>
          <w:p w14:paraId="4698B050" w14:textId="77777777" w:rsidR="000B3C5C" w:rsidRDefault="00ED192D">
            <w:pPr>
              <w:spacing w:after="0" w:line="259" w:lineRule="auto"/>
              <w:ind w:left="226" w:firstLine="0"/>
            </w:pPr>
            <w:r>
              <w:rPr>
                <w:rFonts w:ascii="Arial" w:eastAsia="Arial" w:hAnsi="Arial" w:cs="Arial"/>
                <w:b/>
                <w:sz w:val="20"/>
              </w:rPr>
              <w:t xml:space="preserve">RANO </w:t>
            </w:r>
          </w:p>
        </w:tc>
        <w:tc>
          <w:tcPr>
            <w:tcW w:w="1018" w:type="dxa"/>
            <w:tcBorders>
              <w:top w:val="single" w:sz="4" w:space="0" w:color="000000"/>
              <w:left w:val="nil"/>
              <w:bottom w:val="single" w:sz="4" w:space="0" w:color="000000"/>
              <w:right w:val="nil"/>
            </w:tcBorders>
          </w:tcPr>
          <w:p w14:paraId="6AB0D92F" w14:textId="77777777" w:rsidR="000B3C5C" w:rsidRDefault="00ED192D">
            <w:pPr>
              <w:spacing w:after="0" w:line="259" w:lineRule="auto"/>
              <w:ind w:left="144" w:firstLine="0"/>
            </w:pPr>
            <w:r>
              <w:rPr>
                <w:rFonts w:ascii="Arial" w:eastAsia="Arial" w:hAnsi="Arial" w:cs="Arial"/>
                <w:b/>
                <w:sz w:val="20"/>
              </w:rPr>
              <w:t xml:space="preserve">irRC </w:t>
            </w:r>
          </w:p>
        </w:tc>
        <w:tc>
          <w:tcPr>
            <w:tcW w:w="1551" w:type="dxa"/>
            <w:tcBorders>
              <w:top w:val="single" w:sz="4" w:space="0" w:color="000000"/>
              <w:left w:val="nil"/>
              <w:bottom w:val="single" w:sz="4" w:space="0" w:color="000000"/>
              <w:right w:val="nil"/>
            </w:tcBorders>
          </w:tcPr>
          <w:p w14:paraId="1D88BE09" w14:textId="77777777" w:rsidR="000B3C5C" w:rsidRDefault="00ED192D">
            <w:pPr>
              <w:spacing w:after="43" w:line="259" w:lineRule="auto"/>
              <w:ind w:left="319" w:firstLine="0"/>
            </w:pPr>
            <w:r>
              <w:rPr>
                <w:rFonts w:ascii="Arial" w:eastAsia="Arial" w:hAnsi="Arial" w:cs="Arial"/>
                <w:b/>
                <w:sz w:val="20"/>
              </w:rPr>
              <w:t xml:space="preserve">iRANO </w:t>
            </w:r>
          </w:p>
          <w:p w14:paraId="21EF3092" w14:textId="77777777" w:rsidR="000B3C5C" w:rsidRDefault="00ED192D">
            <w:pPr>
              <w:spacing w:after="2" w:line="239" w:lineRule="auto"/>
              <w:ind w:left="163" w:hanging="43"/>
            </w:pPr>
            <w:r>
              <w:rPr>
                <w:rFonts w:ascii="Arial" w:eastAsia="Arial" w:hAnsi="Arial" w:cs="Arial"/>
                <w:b/>
                <w:sz w:val="20"/>
              </w:rPr>
              <w:t xml:space="preserve">(if ≤6 months after start of </w:t>
            </w:r>
          </w:p>
          <w:p w14:paraId="70270796" w14:textId="77777777" w:rsidR="000B3C5C" w:rsidRDefault="00ED192D">
            <w:pPr>
              <w:spacing w:after="0" w:line="259" w:lineRule="auto"/>
              <w:ind w:left="0" w:firstLine="0"/>
            </w:pPr>
            <w:r>
              <w:rPr>
                <w:rFonts w:ascii="Arial" w:eastAsia="Arial" w:hAnsi="Arial" w:cs="Arial"/>
                <w:b/>
                <w:sz w:val="20"/>
              </w:rPr>
              <w:t xml:space="preserve">immunotherapy) </w:t>
            </w:r>
          </w:p>
        </w:tc>
        <w:tc>
          <w:tcPr>
            <w:tcW w:w="1423" w:type="dxa"/>
            <w:tcBorders>
              <w:top w:val="single" w:sz="4" w:space="0" w:color="000000"/>
              <w:left w:val="nil"/>
              <w:bottom w:val="single" w:sz="4" w:space="0" w:color="000000"/>
              <w:right w:val="nil"/>
            </w:tcBorders>
          </w:tcPr>
          <w:p w14:paraId="245AE853" w14:textId="77777777" w:rsidR="000B3C5C" w:rsidRDefault="00ED192D">
            <w:pPr>
              <w:spacing w:after="43" w:line="259" w:lineRule="auto"/>
              <w:ind w:left="0" w:right="49" w:firstLine="0"/>
              <w:jc w:val="center"/>
            </w:pPr>
            <w:r>
              <w:rPr>
                <w:rFonts w:ascii="Arial" w:eastAsia="Arial" w:hAnsi="Arial" w:cs="Arial"/>
                <w:b/>
                <w:sz w:val="20"/>
              </w:rPr>
              <w:t xml:space="preserve">iRANO </w:t>
            </w:r>
          </w:p>
          <w:p w14:paraId="4E8F821B" w14:textId="77777777" w:rsidR="000B3C5C" w:rsidRDefault="00ED192D">
            <w:pPr>
              <w:spacing w:after="2" w:line="239" w:lineRule="auto"/>
              <w:ind w:left="163" w:hanging="36"/>
            </w:pPr>
            <w:r>
              <w:rPr>
                <w:rFonts w:ascii="Arial" w:eastAsia="Arial" w:hAnsi="Arial" w:cs="Arial"/>
                <w:b/>
                <w:sz w:val="20"/>
              </w:rPr>
              <w:t xml:space="preserve">(if &gt;6 months after start of </w:t>
            </w:r>
          </w:p>
          <w:p w14:paraId="727F2A5C" w14:textId="77777777" w:rsidR="000B3C5C" w:rsidRDefault="00ED192D">
            <w:pPr>
              <w:spacing w:after="0" w:line="259" w:lineRule="auto"/>
              <w:ind w:left="0" w:firstLine="0"/>
            </w:pPr>
            <w:r>
              <w:rPr>
                <w:rFonts w:ascii="Arial" w:eastAsia="Arial" w:hAnsi="Arial" w:cs="Arial"/>
                <w:b/>
                <w:sz w:val="20"/>
              </w:rPr>
              <w:t xml:space="preserve">immunotherapy) </w:t>
            </w:r>
          </w:p>
        </w:tc>
      </w:tr>
      <w:tr w:rsidR="000B3C5C" w14:paraId="1849DAF0" w14:textId="77777777">
        <w:trPr>
          <w:trHeight w:val="605"/>
        </w:trPr>
        <w:tc>
          <w:tcPr>
            <w:tcW w:w="4223" w:type="dxa"/>
            <w:tcBorders>
              <w:top w:val="single" w:sz="4" w:space="0" w:color="000000"/>
              <w:left w:val="nil"/>
              <w:bottom w:val="nil"/>
              <w:right w:val="nil"/>
            </w:tcBorders>
          </w:tcPr>
          <w:p w14:paraId="0A311AA7" w14:textId="77777777" w:rsidR="000B3C5C" w:rsidRDefault="00ED192D">
            <w:pPr>
              <w:spacing w:after="0" w:line="259" w:lineRule="auto"/>
              <w:ind w:left="178" w:right="109" w:firstLine="46"/>
            </w:pPr>
            <w:r>
              <w:rPr>
                <w:rFonts w:ascii="Arial" w:eastAsia="Arial" w:hAnsi="Arial" w:cs="Arial"/>
                <w:sz w:val="20"/>
              </w:rPr>
              <w:t xml:space="preserve">Is a repeat scan required to confirm radiographic PD for patients without significant clinical decline? </w:t>
            </w:r>
          </w:p>
        </w:tc>
        <w:tc>
          <w:tcPr>
            <w:tcW w:w="1471" w:type="dxa"/>
            <w:tcBorders>
              <w:top w:val="single" w:sz="4" w:space="0" w:color="000000"/>
              <w:left w:val="nil"/>
              <w:bottom w:val="nil"/>
              <w:right w:val="nil"/>
            </w:tcBorders>
          </w:tcPr>
          <w:p w14:paraId="18D836B6" w14:textId="77777777" w:rsidR="000B3C5C" w:rsidRDefault="00ED192D">
            <w:pPr>
              <w:spacing w:after="0" w:line="259" w:lineRule="auto"/>
              <w:ind w:left="415" w:firstLine="0"/>
            </w:pPr>
            <w:r>
              <w:rPr>
                <w:rFonts w:ascii="Arial" w:eastAsia="Arial" w:hAnsi="Arial" w:cs="Arial"/>
                <w:sz w:val="20"/>
              </w:rPr>
              <w:t xml:space="preserve">No </w:t>
            </w:r>
          </w:p>
        </w:tc>
        <w:tc>
          <w:tcPr>
            <w:tcW w:w="1018" w:type="dxa"/>
            <w:tcBorders>
              <w:top w:val="single" w:sz="4" w:space="0" w:color="000000"/>
              <w:left w:val="nil"/>
              <w:bottom w:val="nil"/>
              <w:right w:val="nil"/>
            </w:tcBorders>
          </w:tcPr>
          <w:p w14:paraId="39B7A6E1" w14:textId="77777777" w:rsidR="000B3C5C" w:rsidRDefault="00ED192D">
            <w:pPr>
              <w:spacing w:after="0" w:line="259" w:lineRule="auto"/>
              <w:ind w:left="214" w:firstLine="0"/>
            </w:pPr>
            <w:r>
              <w:rPr>
                <w:rFonts w:ascii="Arial" w:eastAsia="Arial" w:hAnsi="Arial" w:cs="Arial"/>
                <w:sz w:val="20"/>
              </w:rPr>
              <w:t xml:space="preserve">Yes </w:t>
            </w:r>
          </w:p>
        </w:tc>
        <w:tc>
          <w:tcPr>
            <w:tcW w:w="1551" w:type="dxa"/>
            <w:tcBorders>
              <w:top w:val="single" w:sz="4" w:space="0" w:color="000000"/>
              <w:left w:val="nil"/>
              <w:bottom w:val="nil"/>
              <w:right w:val="nil"/>
            </w:tcBorders>
          </w:tcPr>
          <w:p w14:paraId="5589D982" w14:textId="77777777" w:rsidR="000B3C5C" w:rsidRDefault="00ED192D">
            <w:pPr>
              <w:spacing w:after="0" w:line="259" w:lineRule="auto"/>
              <w:ind w:left="499" w:firstLine="0"/>
            </w:pPr>
            <w:r>
              <w:rPr>
                <w:rFonts w:ascii="Arial" w:eastAsia="Arial" w:hAnsi="Arial" w:cs="Arial"/>
                <w:sz w:val="20"/>
              </w:rPr>
              <w:t xml:space="preserve">Yes </w:t>
            </w:r>
          </w:p>
        </w:tc>
        <w:tc>
          <w:tcPr>
            <w:tcW w:w="1423" w:type="dxa"/>
            <w:tcBorders>
              <w:top w:val="single" w:sz="4" w:space="0" w:color="000000"/>
              <w:left w:val="nil"/>
              <w:bottom w:val="nil"/>
              <w:right w:val="nil"/>
            </w:tcBorders>
          </w:tcPr>
          <w:p w14:paraId="246A2CEA" w14:textId="77777777" w:rsidR="000B3C5C" w:rsidRDefault="00ED192D">
            <w:pPr>
              <w:spacing w:after="0" w:line="259" w:lineRule="auto"/>
              <w:ind w:left="0" w:right="46" w:firstLine="0"/>
              <w:jc w:val="center"/>
            </w:pPr>
            <w:r>
              <w:rPr>
                <w:rFonts w:ascii="Arial" w:eastAsia="Arial" w:hAnsi="Arial" w:cs="Arial"/>
                <w:sz w:val="20"/>
              </w:rPr>
              <w:t xml:space="preserve">No </w:t>
            </w:r>
          </w:p>
        </w:tc>
      </w:tr>
      <w:tr w:rsidR="000B3C5C" w14:paraId="6DBDD4A3" w14:textId="77777777">
        <w:trPr>
          <w:trHeight w:val="578"/>
        </w:trPr>
        <w:tc>
          <w:tcPr>
            <w:tcW w:w="4223" w:type="dxa"/>
            <w:tcBorders>
              <w:top w:val="nil"/>
              <w:left w:val="nil"/>
              <w:bottom w:val="nil"/>
              <w:right w:val="nil"/>
            </w:tcBorders>
          </w:tcPr>
          <w:p w14:paraId="6460D911" w14:textId="77777777" w:rsidR="000B3C5C" w:rsidRDefault="00ED192D">
            <w:pPr>
              <w:spacing w:after="0" w:line="259" w:lineRule="auto"/>
              <w:ind w:left="314" w:right="30" w:hanging="204"/>
            </w:pPr>
            <w:r>
              <w:rPr>
                <w:rFonts w:ascii="Arial" w:eastAsia="Arial" w:hAnsi="Arial" w:cs="Arial"/>
                <w:sz w:val="20"/>
              </w:rPr>
              <w:t xml:space="preserve">Minimal time interval for confirmation of progression for patients without significant clinical decline? </w:t>
            </w:r>
          </w:p>
        </w:tc>
        <w:tc>
          <w:tcPr>
            <w:tcW w:w="1471" w:type="dxa"/>
            <w:tcBorders>
              <w:top w:val="nil"/>
              <w:left w:val="nil"/>
              <w:bottom w:val="nil"/>
              <w:right w:val="nil"/>
            </w:tcBorders>
          </w:tcPr>
          <w:p w14:paraId="72743DA2" w14:textId="77777777" w:rsidR="000B3C5C" w:rsidRDefault="00ED192D">
            <w:pPr>
              <w:spacing w:after="0" w:line="259" w:lineRule="auto"/>
              <w:ind w:left="0" w:firstLine="0"/>
            </w:pPr>
            <w:r>
              <w:rPr>
                <w:rFonts w:ascii="Arial" w:eastAsia="Arial" w:hAnsi="Arial" w:cs="Arial"/>
                <w:sz w:val="20"/>
              </w:rPr>
              <w:t xml:space="preserve">Not applicable </w:t>
            </w:r>
          </w:p>
        </w:tc>
        <w:tc>
          <w:tcPr>
            <w:tcW w:w="1018" w:type="dxa"/>
            <w:tcBorders>
              <w:top w:val="nil"/>
              <w:left w:val="nil"/>
              <w:bottom w:val="nil"/>
              <w:right w:val="nil"/>
            </w:tcBorders>
          </w:tcPr>
          <w:p w14:paraId="706D7599" w14:textId="77777777" w:rsidR="000B3C5C" w:rsidRDefault="00ED192D">
            <w:pPr>
              <w:spacing w:after="0" w:line="259" w:lineRule="auto"/>
              <w:ind w:left="0" w:firstLine="0"/>
            </w:pPr>
            <w:r>
              <w:rPr>
                <w:rFonts w:ascii="Arial" w:eastAsia="Arial" w:hAnsi="Arial" w:cs="Arial"/>
                <w:sz w:val="20"/>
              </w:rPr>
              <w:t xml:space="preserve">≥4 weeks </w:t>
            </w:r>
          </w:p>
        </w:tc>
        <w:tc>
          <w:tcPr>
            <w:tcW w:w="1551" w:type="dxa"/>
            <w:tcBorders>
              <w:top w:val="nil"/>
              <w:left w:val="nil"/>
              <w:bottom w:val="nil"/>
              <w:right w:val="nil"/>
            </w:tcBorders>
          </w:tcPr>
          <w:p w14:paraId="32455144" w14:textId="77777777" w:rsidR="000B3C5C" w:rsidRDefault="00ED192D">
            <w:pPr>
              <w:spacing w:after="0" w:line="259" w:lineRule="auto"/>
              <w:ind w:left="250" w:firstLine="0"/>
            </w:pPr>
            <w:r>
              <w:rPr>
                <w:rFonts w:ascii="Arial" w:eastAsia="Arial" w:hAnsi="Arial" w:cs="Arial"/>
                <w:sz w:val="20"/>
              </w:rPr>
              <w:t xml:space="preserve">≥3 months </w:t>
            </w:r>
          </w:p>
        </w:tc>
        <w:tc>
          <w:tcPr>
            <w:tcW w:w="1423" w:type="dxa"/>
            <w:tcBorders>
              <w:top w:val="nil"/>
              <w:left w:val="nil"/>
              <w:bottom w:val="nil"/>
              <w:right w:val="nil"/>
            </w:tcBorders>
          </w:tcPr>
          <w:p w14:paraId="284B59B9" w14:textId="77777777" w:rsidR="000B3C5C" w:rsidRDefault="00ED192D">
            <w:pPr>
              <w:spacing w:after="0" w:line="259" w:lineRule="auto"/>
              <w:ind w:left="122" w:firstLine="0"/>
            </w:pPr>
            <w:r>
              <w:rPr>
                <w:rFonts w:ascii="Arial" w:eastAsia="Arial" w:hAnsi="Arial" w:cs="Arial"/>
                <w:sz w:val="20"/>
              </w:rPr>
              <w:t xml:space="preserve">Not applicable </w:t>
            </w:r>
          </w:p>
        </w:tc>
      </w:tr>
      <w:tr w:rsidR="000B3C5C" w14:paraId="4EC6E0C9" w14:textId="77777777">
        <w:trPr>
          <w:trHeight w:val="809"/>
        </w:trPr>
        <w:tc>
          <w:tcPr>
            <w:tcW w:w="4223" w:type="dxa"/>
            <w:tcBorders>
              <w:top w:val="nil"/>
              <w:left w:val="nil"/>
              <w:bottom w:val="nil"/>
              <w:right w:val="nil"/>
            </w:tcBorders>
          </w:tcPr>
          <w:p w14:paraId="26936787" w14:textId="77777777" w:rsidR="000B3C5C" w:rsidRDefault="00ED192D">
            <w:pPr>
              <w:spacing w:after="0" w:line="259" w:lineRule="auto"/>
              <w:ind w:left="187" w:firstLine="34"/>
            </w:pPr>
            <w:r>
              <w:rPr>
                <w:rFonts w:ascii="Arial" w:eastAsia="Arial" w:hAnsi="Arial" w:cs="Arial"/>
                <w:sz w:val="20"/>
              </w:rPr>
              <w:t xml:space="preserve">Is further immunotherapy treatment allowed after initial radiographic PD (if clinically stable) pending progression confirmation? </w:t>
            </w:r>
          </w:p>
        </w:tc>
        <w:tc>
          <w:tcPr>
            <w:tcW w:w="1471" w:type="dxa"/>
            <w:tcBorders>
              <w:top w:val="nil"/>
              <w:left w:val="nil"/>
              <w:bottom w:val="nil"/>
              <w:right w:val="nil"/>
            </w:tcBorders>
          </w:tcPr>
          <w:p w14:paraId="7FF778AF" w14:textId="77777777" w:rsidR="000B3C5C" w:rsidRDefault="00ED192D">
            <w:pPr>
              <w:spacing w:after="0" w:line="259" w:lineRule="auto"/>
              <w:ind w:left="0" w:firstLine="0"/>
            </w:pPr>
            <w:r>
              <w:rPr>
                <w:rFonts w:ascii="Arial" w:eastAsia="Arial" w:hAnsi="Arial" w:cs="Arial"/>
                <w:sz w:val="20"/>
              </w:rPr>
              <w:t xml:space="preserve">Not applicable </w:t>
            </w:r>
          </w:p>
        </w:tc>
        <w:tc>
          <w:tcPr>
            <w:tcW w:w="1018" w:type="dxa"/>
            <w:tcBorders>
              <w:top w:val="nil"/>
              <w:left w:val="nil"/>
              <w:bottom w:val="nil"/>
              <w:right w:val="nil"/>
            </w:tcBorders>
          </w:tcPr>
          <w:p w14:paraId="53DDDF30" w14:textId="77777777" w:rsidR="000B3C5C" w:rsidRDefault="00ED192D">
            <w:pPr>
              <w:spacing w:after="0" w:line="259" w:lineRule="auto"/>
              <w:ind w:left="214" w:firstLine="0"/>
            </w:pPr>
            <w:r>
              <w:rPr>
                <w:rFonts w:ascii="Arial" w:eastAsia="Arial" w:hAnsi="Arial" w:cs="Arial"/>
                <w:sz w:val="20"/>
              </w:rPr>
              <w:t xml:space="preserve">Yes </w:t>
            </w:r>
          </w:p>
        </w:tc>
        <w:tc>
          <w:tcPr>
            <w:tcW w:w="1551" w:type="dxa"/>
            <w:tcBorders>
              <w:top w:val="nil"/>
              <w:left w:val="nil"/>
              <w:bottom w:val="nil"/>
              <w:right w:val="nil"/>
            </w:tcBorders>
          </w:tcPr>
          <w:p w14:paraId="01C819D2" w14:textId="77777777" w:rsidR="000B3C5C" w:rsidRDefault="00ED192D">
            <w:pPr>
              <w:spacing w:after="0" w:line="259" w:lineRule="auto"/>
              <w:ind w:left="499" w:firstLine="0"/>
            </w:pPr>
            <w:r>
              <w:rPr>
                <w:rFonts w:ascii="Arial" w:eastAsia="Arial" w:hAnsi="Arial" w:cs="Arial"/>
                <w:sz w:val="20"/>
              </w:rPr>
              <w:t xml:space="preserve">Yes </w:t>
            </w:r>
          </w:p>
        </w:tc>
        <w:tc>
          <w:tcPr>
            <w:tcW w:w="1423" w:type="dxa"/>
            <w:tcBorders>
              <w:top w:val="nil"/>
              <w:left w:val="nil"/>
              <w:bottom w:val="nil"/>
              <w:right w:val="nil"/>
            </w:tcBorders>
          </w:tcPr>
          <w:p w14:paraId="7493378C" w14:textId="77777777" w:rsidR="000B3C5C" w:rsidRDefault="00ED192D">
            <w:pPr>
              <w:spacing w:after="0" w:line="259" w:lineRule="auto"/>
              <w:ind w:left="122" w:firstLine="0"/>
            </w:pPr>
            <w:r>
              <w:rPr>
                <w:rFonts w:ascii="Arial" w:eastAsia="Arial" w:hAnsi="Arial" w:cs="Arial"/>
                <w:sz w:val="20"/>
              </w:rPr>
              <w:t xml:space="preserve">Not applicable </w:t>
            </w:r>
          </w:p>
        </w:tc>
      </w:tr>
      <w:tr w:rsidR="000B3C5C" w14:paraId="631B2038" w14:textId="77777777">
        <w:trPr>
          <w:trHeight w:val="343"/>
        </w:trPr>
        <w:tc>
          <w:tcPr>
            <w:tcW w:w="4223" w:type="dxa"/>
            <w:tcBorders>
              <w:top w:val="nil"/>
              <w:left w:val="nil"/>
              <w:bottom w:val="single" w:sz="12" w:space="0" w:color="000000"/>
              <w:right w:val="nil"/>
            </w:tcBorders>
          </w:tcPr>
          <w:p w14:paraId="3EAA5137" w14:textId="77777777" w:rsidR="000B3C5C" w:rsidRDefault="00ED192D">
            <w:pPr>
              <w:spacing w:after="0" w:line="259" w:lineRule="auto"/>
              <w:ind w:left="888" w:firstLine="0"/>
            </w:pPr>
            <w:r>
              <w:rPr>
                <w:rFonts w:ascii="Arial" w:eastAsia="Arial" w:hAnsi="Arial" w:cs="Arial"/>
                <w:sz w:val="20"/>
              </w:rPr>
              <w:t xml:space="preserve">Does a new lesion define PD? </w:t>
            </w:r>
          </w:p>
        </w:tc>
        <w:tc>
          <w:tcPr>
            <w:tcW w:w="1471" w:type="dxa"/>
            <w:tcBorders>
              <w:top w:val="nil"/>
              <w:left w:val="nil"/>
              <w:bottom w:val="single" w:sz="12" w:space="0" w:color="000000"/>
              <w:right w:val="nil"/>
            </w:tcBorders>
          </w:tcPr>
          <w:p w14:paraId="26FA8EC9" w14:textId="77777777" w:rsidR="000B3C5C" w:rsidRDefault="00ED192D">
            <w:pPr>
              <w:spacing w:after="0" w:line="259" w:lineRule="auto"/>
              <w:ind w:left="377" w:firstLine="0"/>
            </w:pPr>
            <w:r>
              <w:rPr>
                <w:rFonts w:ascii="Arial" w:eastAsia="Arial" w:hAnsi="Arial" w:cs="Arial"/>
                <w:sz w:val="20"/>
              </w:rPr>
              <w:t xml:space="preserve">Yes </w:t>
            </w:r>
          </w:p>
        </w:tc>
        <w:tc>
          <w:tcPr>
            <w:tcW w:w="1018" w:type="dxa"/>
            <w:tcBorders>
              <w:top w:val="nil"/>
              <w:left w:val="nil"/>
              <w:bottom w:val="single" w:sz="12" w:space="0" w:color="000000"/>
              <w:right w:val="nil"/>
            </w:tcBorders>
          </w:tcPr>
          <w:p w14:paraId="75448CC2" w14:textId="77777777" w:rsidR="000B3C5C" w:rsidRDefault="00ED192D">
            <w:pPr>
              <w:spacing w:after="0" w:line="259" w:lineRule="auto"/>
              <w:ind w:left="250" w:firstLine="0"/>
            </w:pPr>
            <w:r>
              <w:rPr>
                <w:rFonts w:ascii="Arial" w:eastAsia="Arial" w:hAnsi="Arial" w:cs="Arial"/>
                <w:sz w:val="20"/>
              </w:rPr>
              <w:t xml:space="preserve">No </w:t>
            </w:r>
          </w:p>
        </w:tc>
        <w:tc>
          <w:tcPr>
            <w:tcW w:w="1551" w:type="dxa"/>
            <w:tcBorders>
              <w:top w:val="nil"/>
              <w:left w:val="nil"/>
              <w:bottom w:val="single" w:sz="12" w:space="0" w:color="000000"/>
              <w:right w:val="nil"/>
            </w:tcBorders>
          </w:tcPr>
          <w:p w14:paraId="61D8E337" w14:textId="77777777" w:rsidR="000B3C5C" w:rsidRDefault="00ED192D">
            <w:pPr>
              <w:spacing w:after="0" w:line="259" w:lineRule="auto"/>
              <w:ind w:left="538" w:firstLine="0"/>
            </w:pPr>
            <w:r>
              <w:rPr>
                <w:rFonts w:ascii="Arial" w:eastAsia="Arial" w:hAnsi="Arial" w:cs="Arial"/>
                <w:sz w:val="20"/>
              </w:rPr>
              <w:t xml:space="preserve">No </w:t>
            </w:r>
          </w:p>
        </w:tc>
        <w:tc>
          <w:tcPr>
            <w:tcW w:w="1423" w:type="dxa"/>
            <w:tcBorders>
              <w:top w:val="nil"/>
              <w:left w:val="nil"/>
              <w:bottom w:val="single" w:sz="12" w:space="0" w:color="000000"/>
              <w:right w:val="nil"/>
            </w:tcBorders>
          </w:tcPr>
          <w:p w14:paraId="58918EAB" w14:textId="77777777" w:rsidR="000B3C5C" w:rsidRDefault="00ED192D">
            <w:pPr>
              <w:spacing w:after="0" w:line="259" w:lineRule="auto"/>
              <w:ind w:left="0" w:right="51" w:firstLine="0"/>
              <w:jc w:val="center"/>
            </w:pPr>
            <w:r>
              <w:rPr>
                <w:rFonts w:ascii="Arial" w:eastAsia="Arial" w:hAnsi="Arial" w:cs="Arial"/>
                <w:sz w:val="20"/>
              </w:rPr>
              <w:t xml:space="preserve">Yes </w:t>
            </w:r>
          </w:p>
        </w:tc>
      </w:tr>
    </w:tbl>
    <w:p w14:paraId="22AFE5FA" w14:textId="77777777" w:rsidR="000B3C5C" w:rsidRDefault="00ED192D">
      <w:pPr>
        <w:spacing w:after="0" w:line="259" w:lineRule="auto"/>
        <w:ind w:left="0" w:firstLine="0"/>
      </w:pPr>
      <w:r>
        <w:rPr>
          <w:rFonts w:ascii="Arial" w:eastAsia="Arial" w:hAnsi="Arial" w:cs="Arial"/>
          <w:sz w:val="18"/>
        </w:rPr>
        <w:t xml:space="preserve"> </w:t>
      </w:r>
      <w:r>
        <w:br w:type="page"/>
      </w:r>
    </w:p>
    <w:p w14:paraId="5116754C" w14:textId="77777777" w:rsidR="000B3C5C" w:rsidRDefault="00ED192D">
      <w:pPr>
        <w:spacing w:after="0" w:line="249" w:lineRule="auto"/>
        <w:ind w:left="664" w:hanging="679"/>
      </w:pPr>
      <w:r>
        <w:rPr>
          <w:rFonts w:ascii="Arial" w:eastAsia="Arial" w:hAnsi="Arial" w:cs="Arial"/>
          <w:b/>
          <w:sz w:val="22"/>
        </w:rPr>
        <w:t xml:space="preserve">10.19 </w:t>
      </w:r>
      <w:r>
        <w:rPr>
          <w:rFonts w:ascii="Arial" w:eastAsia="Arial" w:hAnsi="Arial" w:cs="Arial"/>
          <w:b/>
          <w:sz w:val="22"/>
        </w:rPr>
        <w:t xml:space="preserve">APPENDIX 19: CLUSTER OF DIFFERENTIATION 38 BLOOD TEST INTERFERENCE </w:t>
      </w:r>
    </w:p>
    <w:p w14:paraId="659EB767" w14:textId="77777777" w:rsidR="000B3C5C" w:rsidRDefault="00ED192D">
      <w:pPr>
        <w:pStyle w:val="Heading3"/>
        <w:spacing w:after="0"/>
        <w:ind w:left="664" w:hanging="679"/>
      </w:pPr>
      <w:r>
        <w:t xml:space="preserve">GUIDELINE AABB2016  </w:t>
      </w:r>
    </w:p>
    <w:p w14:paraId="14EEDF9C" w14:textId="77777777" w:rsidR="000B3C5C" w:rsidRDefault="00ED192D">
      <w:pPr>
        <w:spacing w:after="0" w:line="259" w:lineRule="auto"/>
        <w:ind w:left="246" w:firstLine="0"/>
      </w:pPr>
      <w:r>
        <w:rPr>
          <w:rFonts w:ascii="Calibri" w:eastAsia="Calibri" w:hAnsi="Calibri" w:cs="Calibri"/>
          <w:noProof/>
          <w:sz w:val="22"/>
        </w:rPr>
        <mc:AlternateContent>
          <mc:Choice Requires="wpg">
            <w:drawing>
              <wp:inline distT="0" distB="0" distL="0" distR="0" wp14:anchorId="093BEE63" wp14:editId="5B34FDA4">
                <wp:extent cx="5738559" cy="7139505"/>
                <wp:effectExtent l="0" t="0" r="0" b="0"/>
                <wp:docPr id="286938" name="Group 286938"/>
                <wp:cNvGraphicFramePr/>
                <a:graphic xmlns:a="http://schemas.openxmlformats.org/drawingml/2006/main">
                  <a:graphicData uri="http://schemas.microsoft.com/office/word/2010/wordprocessingGroup">
                    <wpg:wgp>
                      <wpg:cNvGrpSpPr/>
                      <wpg:grpSpPr>
                        <a:xfrm>
                          <a:off x="0" y="0"/>
                          <a:ext cx="5738559" cy="7139505"/>
                          <a:chOff x="0" y="0"/>
                          <a:chExt cx="5738559" cy="7139505"/>
                        </a:xfrm>
                      </wpg:grpSpPr>
                      <wps:wsp>
                        <wps:cNvPr id="30349" name="Rectangle 30349"/>
                        <wps:cNvSpPr/>
                        <wps:spPr>
                          <a:xfrm>
                            <a:off x="5700459" y="7000871"/>
                            <a:ext cx="50673" cy="184382"/>
                          </a:xfrm>
                          <a:prstGeom prst="rect">
                            <a:avLst/>
                          </a:prstGeom>
                          <a:ln>
                            <a:noFill/>
                          </a:ln>
                        </wps:spPr>
                        <wps:txbx>
                          <w:txbxContent>
                            <w:p w14:paraId="4C685D83" w14:textId="77777777" w:rsidR="000B3C5C" w:rsidRDefault="00ED192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0352" name="Picture 30352"/>
                          <pic:cNvPicPr/>
                        </pic:nvPicPr>
                        <pic:blipFill>
                          <a:blip r:embed="rId48"/>
                          <a:stretch>
                            <a:fillRect/>
                          </a:stretch>
                        </pic:blipFill>
                        <pic:spPr>
                          <a:xfrm>
                            <a:off x="0" y="0"/>
                            <a:ext cx="5701031" cy="7100570"/>
                          </a:xfrm>
                          <a:prstGeom prst="rect">
                            <a:avLst/>
                          </a:prstGeom>
                        </pic:spPr>
                      </pic:pic>
                      <wps:wsp>
                        <wps:cNvPr id="315888" name="Shape 315888"/>
                        <wps:cNvSpPr/>
                        <wps:spPr>
                          <a:xfrm>
                            <a:off x="507573" y="1814878"/>
                            <a:ext cx="3244342" cy="251384"/>
                          </a:xfrm>
                          <a:custGeom>
                            <a:avLst/>
                            <a:gdLst/>
                            <a:ahLst/>
                            <a:cxnLst/>
                            <a:rect l="0" t="0" r="0" b="0"/>
                            <a:pathLst>
                              <a:path w="3244342" h="251384">
                                <a:moveTo>
                                  <a:pt x="0" y="0"/>
                                </a:moveTo>
                                <a:lnTo>
                                  <a:pt x="3244342" y="0"/>
                                </a:lnTo>
                                <a:lnTo>
                                  <a:pt x="3244342" y="251384"/>
                                </a:lnTo>
                                <a:lnTo>
                                  <a:pt x="0" y="251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938" style="width:451.855pt;height:562.166pt;mso-position-horizontal-relative:char;mso-position-vertical-relative:line" coordsize="57385,71395">
                <v:rect id="Rectangle 30349" style="position:absolute;width:506;height:1843;left:57004;top:70008;" filled="f" stroked="f">
                  <v:textbox inset="0,0,0,0">
                    <w:txbxContent>
                      <w:p>
                        <w:pPr>
                          <w:spacing w:before="0" w:after="160" w:line="259" w:lineRule="auto"/>
                          <w:ind w:left="0" w:firstLine="0"/>
                        </w:pPr>
                        <w:r>
                          <w:rPr/>
                          <w:t xml:space="preserve"> </w:t>
                        </w:r>
                      </w:p>
                    </w:txbxContent>
                  </v:textbox>
                </v:rect>
                <v:shape id="Picture 30352" style="position:absolute;width:57010;height:71005;left:0;top:0;" filled="f">
                  <v:imagedata r:id="rId54"/>
                </v:shape>
                <v:shape id="Shape 315889" style="position:absolute;width:32443;height:2513;left:5075;top:18148;" coordsize="3244342,251384" path="m0,0l3244342,0l3244342,251384l0,251384l0,0">
                  <v:stroke weight="0pt" endcap="flat" joinstyle="miter" miterlimit="10" on="false" color="#000000" opacity="0"/>
                  <v:fill on="true" color="#000000"/>
                </v:shape>
              </v:group>
            </w:pict>
          </mc:Fallback>
        </mc:AlternateContent>
      </w:r>
    </w:p>
    <w:p w14:paraId="2B051A72" w14:textId="77777777" w:rsidR="000B3C5C" w:rsidRDefault="00ED192D">
      <w:pPr>
        <w:spacing w:after="163" w:line="259" w:lineRule="auto"/>
        <w:ind w:left="0" w:right="29" w:firstLine="0"/>
        <w:jc w:val="right"/>
      </w:pPr>
      <w:r>
        <w:rPr>
          <w:noProof/>
        </w:rPr>
        <w:drawing>
          <wp:inline distT="0" distB="0" distL="0" distR="0" wp14:anchorId="1AF366D4" wp14:editId="06BC9C39">
            <wp:extent cx="5947410" cy="7267575"/>
            <wp:effectExtent l="0" t="0" r="0" b="0"/>
            <wp:docPr id="30387" name="Picture 30387"/>
            <wp:cNvGraphicFramePr/>
            <a:graphic xmlns:a="http://schemas.openxmlformats.org/drawingml/2006/main">
              <a:graphicData uri="http://schemas.openxmlformats.org/drawingml/2006/picture">
                <pic:pic xmlns:pic="http://schemas.openxmlformats.org/drawingml/2006/picture">
                  <pic:nvPicPr>
                    <pic:cNvPr id="30387" name="Picture 30387"/>
                    <pic:cNvPicPr/>
                  </pic:nvPicPr>
                  <pic:blipFill>
                    <a:blip r:embed="rId55"/>
                    <a:stretch>
                      <a:fillRect/>
                    </a:stretch>
                  </pic:blipFill>
                  <pic:spPr>
                    <a:xfrm>
                      <a:off x="0" y="0"/>
                      <a:ext cx="5947410" cy="7267575"/>
                    </a:xfrm>
                    <a:prstGeom prst="rect">
                      <a:avLst/>
                    </a:prstGeom>
                  </pic:spPr>
                </pic:pic>
              </a:graphicData>
            </a:graphic>
          </wp:inline>
        </w:drawing>
      </w:r>
      <w:r>
        <w:t xml:space="preserve"> </w:t>
      </w:r>
    </w:p>
    <w:p w14:paraId="7DD458C8" w14:textId="77777777" w:rsidR="000B3C5C" w:rsidRDefault="00ED192D">
      <w:pPr>
        <w:spacing w:after="0" w:line="259" w:lineRule="auto"/>
        <w:ind w:left="0" w:firstLine="0"/>
      </w:pPr>
      <w:r>
        <w:t xml:space="preserve"> </w:t>
      </w:r>
    </w:p>
    <w:p w14:paraId="565EFAE6" w14:textId="77777777" w:rsidR="000B3C5C" w:rsidRDefault="00ED192D">
      <w:pPr>
        <w:spacing w:after="163" w:line="259" w:lineRule="auto"/>
        <w:ind w:left="0" w:firstLine="0"/>
        <w:jc w:val="right"/>
      </w:pPr>
      <w:r>
        <w:rPr>
          <w:noProof/>
        </w:rPr>
        <w:drawing>
          <wp:inline distT="0" distB="0" distL="0" distR="0" wp14:anchorId="0CC1FBF2" wp14:editId="08EB2019">
            <wp:extent cx="5979160" cy="7410450"/>
            <wp:effectExtent l="0" t="0" r="0" b="0"/>
            <wp:docPr id="30420" name="Picture 30420"/>
            <wp:cNvGraphicFramePr/>
            <a:graphic xmlns:a="http://schemas.openxmlformats.org/drawingml/2006/main">
              <a:graphicData uri="http://schemas.openxmlformats.org/drawingml/2006/picture">
                <pic:pic xmlns:pic="http://schemas.openxmlformats.org/drawingml/2006/picture">
                  <pic:nvPicPr>
                    <pic:cNvPr id="30420" name="Picture 30420"/>
                    <pic:cNvPicPr/>
                  </pic:nvPicPr>
                  <pic:blipFill>
                    <a:blip r:embed="rId56"/>
                    <a:stretch>
                      <a:fillRect/>
                    </a:stretch>
                  </pic:blipFill>
                  <pic:spPr>
                    <a:xfrm>
                      <a:off x="0" y="0"/>
                      <a:ext cx="5979160" cy="7410450"/>
                    </a:xfrm>
                    <a:prstGeom prst="rect">
                      <a:avLst/>
                    </a:prstGeom>
                  </pic:spPr>
                </pic:pic>
              </a:graphicData>
            </a:graphic>
          </wp:inline>
        </w:drawing>
      </w:r>
      <w:r>
        <w:t xml:space="preserve"> </w:t>
      </w:r>
    </w:p>
    <w:p w14:paraId="14CC2858" w14:textId="77777777" w:rsidR="000B3C5C" w:rsidRDefault="00ED192D">
      <w:pPr>
        <w:spacing w:after="216" w:line="259" w:lineRule="auto"/>
        <w:ind w:left="0" w:firstLine="0"/>
      </w:pPr>
      <w:r>
        <w:t xml:space="preserve"> </w:t>
      </w:r>
    </w:p>
    <w:p w14:paraId="773462D3" w14:textId="77777777" w:rsidR="000B3C5C" w:rsidRDefault="00ED192D">
      <w:pPr>
        <w:spacing w:after="0" w:line="259" w:lineRule="auto"/>
        <w:ind w:left="0" w:firstLine="0"/>
      </w:pPr>
      <w:r>
        <w:t xml:space="preserve"> </w:t>
      </w:r>
    </w:p>
    <w:p w14:paraId="2FC034F6" w14:textId="77777777" w:rsidR="000B3C5C" w:rsidRDefault="00ED192D">
      <w:pPr>
        <w:spacing w:after="0" w:line="259" w:lineRule="auto"/>
        <w:ind w:left="25" w:firstLine="0"/>
        <w:jc w:val="both"/>
      </w:pPr>
      <w:r>
        <w:rPr>
          <w:noProof/>
        </w:rPr>
        <w:drawing>
          <wp:inline distT="0" distB="0" distL="0" distR="0" wp14:anchorId="3F3B26DD" wp14:editId="5B4EC693">
            <wp:extent cx="5979160" cy="7172325"/>
            <wp:effectExtent l="0" t="0" r="0" b="0"/>
            <wp:docPr id="30451" name="Picture 30451"/>
            <wp:cNvGraphicFramePr/>
            <a:graphic xmlns:a="http://schemas.openxmlformats.org/drawingml/2006/main">
              <a:graphicData uri="http://schemas.openxmlformats.org/drawingml/2006/picture">
                <pic:pic xmlns:pic="http://schemas.openxmlformats.org/drawingml/2006/picture">
                  <pic:nvPicPr>
                    <pic:cNvPr id="30451" name="Picture 30451"/>
                    <pic:cNvPicPr/>
                  </pic:nvPicPr>
                  <pic:blipFill>
                    <a:blip r:embed="rId57"/>
                    <a:stretch>
                      <a:fillRect/>
                    </a:stretch>
                  </pic:blipFill>
                  <pic:spPr>
                    <a:xfrm>
                      <a:off x="0" y="0"/>
                      <a:ext cx="5979160" cy="7172325"/>
                    </a:xfrm>
                    <a:prstGeom prst="rect">
                      <a:avLst/>
                    </a:prstGeom>
                  </pic:spPr>
                </pic:pic>
              </a:graphicData>
            </a:graphic>
          </wp:inline>
        </w:drawing>
      </w:r>
      <w:r>
        <w:t xml:space="preserve"> </w:t>
      </w:r>
    </w:p>
    <w:p w14:paraId="7BBC8207" w14:textId="77777777" w:rsidR="000B3C5C" w:rsidRDefault="00ED192D">
      <w:pPr>
        <w:pStyle w:val="Heading3"/>
        <w:spacing w:after="273"/>
        <w:ind w:left="-5"/>
      </w:pPr>
      <w:r>
        <w:t xml:space="preserve">10.20 APPENDIX 20: MODIFICATION OF DIET IN RENAL DISEASE (MDRD) EQUATION  </w:t>
      </w:r>
    </w:p>
    <w:p w14:paraId="09D53D62" w14:textId="77777777" w:rsidR="000B3C5C" w:rsidRDefault="00ED192D">
      <w:pPr>
        <w:spacing w:after="452"/>
        <w:ind w:left="-3" w:right="14"/>
      </w:pPr>
      <w:r>
        <w:t>Glomerular filtration rate (mL/min/1.73 m</w:t>
      </w:r>
      <w:r>
        <w:rPr>
          <w:vertAlign w:val="superscript"/>
        </w:rPr>
        <w:t>2</w:t>
      </w:r>
      <w:r>
        <w:t xml:space="preserve">) = 175 × (Serum Creatinine)-1.154 × (Age)-0.203 × (0.742 if Female) × (1.212 if African American). </w:t>
      </w:r>
    </w:p>
    <w:p w14:paraId="54A08F39" w14:textId="77777777" w:rsidR="000B3C5C" w:rsidRDefault="00ED192D">
      <w:pPr>
        <w:spacing w:after="249" w:line="249" w:lineRule="auto"/>
        <w:ind w:left="-5"/>
      </w:pPr>
      <w:r>
        <w:rPr>
          <w:rFonts w:ascii="Arial" w:eastAsia="Arial" w:hAnsi="Arial" w:cs="Arial"/>
          <w:b/>
          <w:sz w:val="22"/>
        </w:rPr>
        <w:t xml:space="preserve">10.21 APPENDIX 21: MANAGEMENT OF ATEZOLIZUMAB-SPECIFIC ADVERSE EVENTS  </w:t>
      </w:r>
    </w:p>
    <w:p w14:paraId="2EA36782" w14:textId="77777777" w:rsidR="000B3C5C" w:rsidRDefault="00ED192D">
      <w:pPr>
        <w:pStyle w:val="Heading3"/>
        <w:spacing w:after="231"/>
        <w:ind w:left="-5" w:right="51"/>
      </w:pPr>
      <w:r>
        <w:rPr>
          <w:rFonts w:ascii="Times New Roman" w:eastAsia="Times New Roman" w:hAnsi="Times New Roman" w:cs="Times New Roman"/>
          <w:sz w:val="24"/>
        </w:rPr>
        <w:t xml:space="preserve">Pulmonary Events </w:t>
      </w:r>
    </w:p>
    <w:p w14:paraId="4DC6ABFC" w14:textId="77777777" w:rsidR="000B3C5C" w:rsidRDefault="00ED192D">
      <w:pPr>
        <w:spacing w:after="314"/>
        <w:ind w:left="-3" w:right="14"/>
      </w:pPr>
      <w:r>
        <w:t xml:space="preserve">All pulmonary events should be thoroughly evaluated for other commonly reported etiologies such as pneumonia or other infection, lymphangitic carcinomatosis, pulmonary embolism, heart failure, chronic obstructive pulmonary disease, or pulmonary hypertension. Management guidelines for pulmonary events are provided in </w:t>
      </w:r>
      <w:r>
        <w:rPr>
          <w:color w:val="0000FF"/>
        </w:rPr>
        <w:t>Table 17</w:t>
      </w:r>
      <w:r>
        <w:t xml:space="preserve">. </w:t>
      </w:r>
    </w:p>
    <w:p w14:paraId="59C0C081" w14:textId="77777777" w:rsidR="000B3C5C" w:rsidRDefault="00ED192D">
      <w:pPr>
        <w:pStyle w:val="Heading4"/>
        <w:spacing w:after="3" w:line="259" w:lineRule="auto"/>
        <w:ind w:left="915"/>
      </w:pPr>
      <w:r>
        <w:rPr>
          <w:sz w:val="20"/>
        </w:rPr>
        <w:t xml:space="preserve">Table 17 - Management Guidelines for Pulmonary Events, Including Pneumonitis  </w:t>
      </w:r>
    </w:p>
    <w:tbl>
      <w:tblPr>
        <w:tblStyle w:val="TableGrid"/>
        <w:tblW w:w="9523" w:type="dxa"/>
        <w:tblInd w:w="-26" w:type="dxa"/>
        <w:tblCellMar>
          <w:top w:w="44" w:type="dxa"/>
          <w:left w:w="0" w:type="dxa"/>
          <w:bottom w:w="25" w:type="dxa"/>
          <w:right w:w="68" w:type="dxa"/>
        </w:tblCellMar>
        <w:tblLook w:val="04A0" w:firstRow="1" w:lastRow="0" w:firstColumn="1" w:lastColumn="0" w:noHBand="0" w:noVBand="1"/>
      </w:tblPr>
      <w:tblGrid>
        <w:gridCol w:w="1294"/>
        <w:gridCol w:w="2290"/>
        <w:gridCol w:w="2499"/>
        <w:gridCol w:w="3440"/>
      </w:tblGrid>
      <w:tr w:rsidR="000B3C5C" w14:paraId="3B657083" w14:textId="77777777">
        <w:trPr>
          <w:trHeight w:val="509"/>
        </w:trPr>
        <w:tc>
          <w:tcPr>
            <w:tcW w:w="1294" w:type="dxa"/>
            <w:tcBorders>
              <w:top w:val="single" w:sz="4" w:space="0" w:color="000000"/>
              <w:left w:val="nil"/>
              <w:bottom w:val="single" w:sz="4" w:space="0" w:color="000000"/>
              <w:right w:val="nil"/>
            </w:tcBorders>
            <w:vAlign w:val="bottom"/>
          </w:tcPr>
          <w:p w14:paraId="52A60C86" w14:textId="77777777" w:rsidR="000B3C5C" w:rsidRDefault="00ED192D">
            <w:pPr>
              <w:spacing w:after="0" w:line="259" w:lineRule="auto"/>
              <w:ind w:left="0" w:right="63" w:firstLine="0"/>
              <w:jc w:val="center"/>
            </w:pPr>
            <w:r>
              <w:rPr>
                <w:rFonts w:ascii="Arial" w:eastAsia="Arial" w:hAnsi="Arial" w:cs="Arial"/>
                <w:b/>
                <w:sz w:val="20"/>
              </w:rPr>
              <w:t xml:space="preserve">Event </w:t>
            </w:r>
          </w:p>
        </w:tc>
        <w:tc>
          <w:tcPr>
            <w:tcW w:w="2290" w:type="dxa"/>
            <w:tcBorders>
              <w:top w:val="single" w:sz="4" w:space="0" w:color="000000"/>
              <w:left w:val="nil"/>
              <w:bottom w:val="single" w:sz="4" w:space="0" w:color="000000"/>
              <w:right w:val="nil"/>
            </w:tcBorders>
          </w:tcPr>
          <w:p w14:paraId="473B4D97" w14:textId="77777777" w:rsidR="000B3C5C" w:rsidRDefault="00ED192D">
            <w:pPr>
              <w:spacing w:after="0" w:line="259" w:lineRule="auto"/>
              <w:ind w:left="397" w:firstLine="94"/>
            </w:pPr>
            <w:r>
              <w:rPr>
                <w:rFonts w:ascii="Arial" w:eastAsia="Arial" w:hAnsi="Arial" w:cs="Arial"/>
                <w:b/>
                <w:sz w:val="20"/>
              </w:rPr>
              <w:t xml:space="preserve">Isatuximab management  </w:t>
            </w:r>
          </w:p>
        </w:tc>
        <w:tc>
          <w:tcPr>
            <w:tcW w:w="2499" w:type="dxa"/>
            <w:tcBorders>
              <w:top w:val="single" w:sz="4" w:space="0" w:color="000000"/>
              <w:left w:val="nil"/>
              <w:bottom w:val="single" w:sz="4" w:space="0" w:color="000000"/>
              <w:right w:val="nil"/>
            </w:tcBorders>
          </w:tcPr>
          <w:p w14:paraId="491C7CB0" w14:textId="77777777" w:rsidR="000B3C5C" w:rsidRDefault="00ED192D">
            <w:pPr>
              <w:spacing w:after="0" w:line="259" w:lineRule="auto"/>
              <w:ind w:left="506" w:hanging="26"/>
            </w:pPr>
            <w:r>
              <w:rPr>
                <w:rFonts w:ascii="Arial" w:eastAsia="Arial" w:hAnsi="Arial" w:cs="Arial"/>
                <w:b/>
                <w:sz w:val="20"/>
              </w:rPr>
              <w:t xml:space="preserve">Atezolizumab management </w:t>
            </w:r>
          </w:p>
        </w:tc>
        <w:tc>
          <w:tcPr>
            <w:tcW w:w="3440" w:type="dxa"/>
            <w:tcBorders>
              <w:top w:val="single" w:sz="4" w:space="0" w:color="000000"/>
              <w:left w:val="nil"/>
              <w:bottom w:val="single" w:sz="4" w:space="0" w:color="000000"/>
              <w:right w:val="nil"/>
            </w:tcBorders>
            <w:vAlign w:val="bottom"/>
          </w:tcPr>
          <w:p w14:paraId="64E835D1" w14:textId="77777777" w:rsidR="000B3C5C" w:rsidRDefault="00ED192D">
            <w:pPr>
              <w:spacing w:after="0" w:line="259" w:lineRule="auto"/>
              <w:ind w:left="0" w:right="49" w:firstLine="0"/>
              <w:jc w:val="center"/>
            </w:pPr>
            <w:r>
              <w:rPr>
                <w:rFonts w:ascii="Arial" w:eastAsia="Arial" w:hAnsi="Arial" w:cs="Arial"/>
                <w:b/>
                <w:sz w:val="20"/>
              </w:rPr>
              <w:t xml:space="preserve">Action and guidance </w:t>
            </w:r>
          </w:p>
        </w:tc>
      </w:tr>
      <w:tr w:rsidR="000B3C5C" w14:paraId="2AE26D95" w14:textId="77777777">
        <w:trPr>
          <w:trHeight w:val="1021"/>
        </w:trPr>
        <w:tc>
          <w:tcPr>
            <w:tcW w:w="1294" w:type="dxa"/>
            <w:tcBorders>
              <w:top w:val="single" w:sz="4" w:space="0" w:color="000000"/>
              <w:left w:val="nil"/>
              <w:bottom w:val="nil"/>
              <w:right w:val="nil"/>
            </w:tcBorders>
          </w:tcPr>
          <w:p w14:paraId="3D9A2669" w14:textId="77777777" w:rsidR="000B3C5C" w:rsidRDefault="00ED192D">
            <w:pPr>
              <w:spacing w:after="0" w:line="241" w:lineRule="auto"/>
              <w:ind w:left="358" w:hanging="168"/>
            </w:pPr>
            <w:r>
              <w:rPr>
                <w:rFonts w:ascii="Arial" w:eastAsia="Arial" w:hAnsi="Arial" w:cs="Arial"/>
                <w:sz w:val="20"/>
              </w:rPr>
              <w:t xml:space="preserve">Pulmonary event, </w:t>
            </w:r>
          </w:p>
          <w:p w14:paraId="5DC0554C" w14:textId="77777777" w:rsidR="000B3C5C" w:rsidRDefault="00ED192D">
            <w:pPr>
              <w:spacing w:after="0" w:line="259" w:lineRule="auto"/>
              <w:ind w:left="0" w:right="63" w:firstLine="0"/>
              <w:jc w:val="center"/>
            </w:pPr>
            <w:r>
              <w:rPr>
                <w:rFonts w:ascii="Arial" w:eastAsia="Arial" w:hAnsi="Arial" w:cs="Arial"/>
                <w:sz w:val="20"/>
              </w:rPr>
              <w:t xml:space="preserve">Grade 1  </w:t>
            </w:r>
          </w:p>
        </w:tc>
        <w:tc>
          <w:tcPr>
            <w:tcW w:w="2290" w:type="dxa"/>
            <w:tcBorders>
              <w:top w:val="single" w:sz="4" w:space="0" w:color="000000"/>
              <w:left w:val="nil"/>
              <w:bottom w:val="nil"/>
              <w:right w:val="nil"/>
            </w:tcBorders>
          </w:tcPr>
          <w:p w14:paraId="36952591" w14:textId="77777777" w:rsidR="000B3C5C" w:rsidRDefault="00ED192D">
            <w:pPr>
              <w:spacing w:after="0" w:line="259" w:lineRule="auto"/>
              <w:ind w:left="327" w:firstLine="0"/>
            </w:pPr>
            <w:r>
              <w:rPr>
                <w:rFonts w:ascii="Arial" w:eastAsia="Arial" w:hAnsi="Arial" w:cs="Arial"/>
                <w:sz w:val="20"/>
              </w:rPr>
              <w:t xml:space="preserve">No change in dose </w:t>
            </w:r>
          </w:p>
        </w:tc>
        <w:tc>
          <w:tcPr>
            <w:tcW w:w="2499" w:type="dxa"/>
            <w:tcBorders>
              <w:top w:val="single" w:sz="4" w:space="0" w:color="000000"/>
              <w:left w:val="nil"/>
              <w:bottom w:val="nil"/>
              <w:right w:val="nil"/>
            </w:tcBorders>
          </w:tcPr>
          <w:p w14:paraId="12CF072B" w14:textId="77777777" w:rsidR="000B3C5C" w:rsidRDefault="00ED192D">
            <w:pPr>
              <w:spacing w:after="0" w:line="259" w:lineRule="auto"/>
              <w:ind w:left="440" w:firstLine="0"/>
            </w:pPr>
            <w:r>
              <w:rPr>
                <w:rFonts w:ascii="Arial" w:eastAsia="Arial" w:hAnsi="Arial" w:cs="Arial"/>
                <w:sz w:val="20"/>
              </w:rPr>
              <w:t xml:space="preserve">No change in dose </w:t>
            </w:r>
          </w:p>
        </w:tc>
        <w:tc>
          <w:tcPr>
            <w:tcW w:w="3440" w:type="dxa"/>
            <w:tcBorders>
              <w:top w:val="single" w:sz="4" w:space="0" w:color="000000"/>
              <w:left w:val="nil"/>
              <w:bottom w:val="nil"/>
              <w:right w:val="nil"/>
            </w:tcBorders>
          </w:tcPr>
          <w:p w14:paraId="2B52A7C8" w14:textId="77777777" w:rsidR="000B3C5C" w:rsidRDefault="00ED192D">
            <w:pPr>
              <w:spacing w:after="2" w:line="259" w:lineRule="auto"/>
              <w:ind w:left="0" w:right="49" w:firstLine="0"/>
              <w:jc w:val="center"/>
            </w:pPr>
            <w:r>
              <w:rPr>
                <w:rFonts w:ascii="Arial" w:eastAsia="Arial" w:hAnsi="Arial" w:cs="Arial"/>
                <w:sz w:val="20"/>
              </w:rPr>
              <w:t xml:space="preserve">Monitor closely </w:t>
            </w:r>
          </w:p>
          <w:p w14:paraId="1CFB6F1D" w14:textId="77777777" w:rsidR="000B3C5C" w:rsidRDefault="00ED192D">
            <w:pPr>
              <w:spacing w:after="2" w:line="259" w:lineRule="auto"/>
              <w:ind w:left="0" w:right="52" w:firstLine="0"/>
              <w:jc w:val="center"/>
            </w:pPr>
            <w:r>
              <w:rPr>
                <w:rFonts w:ascii="Arial" w:eastAsia="Arial" w:hAnsi="Arial" w:cs="Arial"/>
                <w:sz w:val="20"/>
              </w:rPr>
              <w:t xml:space="preserve">Re-evaluate on serial imaging. </w:t>
            </w:r>
          </w:p>
          <w:p w14:paraId="74E25BA3" w14:textId="77777777" w:rsidR="000B3C5C" w:rsidRDefault="00ED192D">
            <w:pPr>
              <w:spacing w:after="0" w:line="259" w:lineRule="auto"/>
              <w:ind w:left="1304" w:hanging="1018"/>
            </w:pPr>
            <w:r>
              <w:rPr>
                <w:rFonts w:ascii="Arial" w:eastAsia="Arial" w:hAnsi="Arial" w:cs="Arial"/>
                <w:sz w:val="20"/>
              </w:rPr>
              <w:t xml:space="preserve">Consider patient referral to pulmonary specialist. </w:t>
            </w:r>
          </w:p>
        </w:tc>
      </w:tr>
      <w:tr w:rsidR="000B3C5C" w14:paraId="6C718EC8" w14:textId="77777777">
        <w:trPr>
          <w:trHeight w:val="2060"/>
        </w:trPr>
        <w:tc>
          <w:tcPr>
            <w:tcW w:w="1294" w:type="dxa"/>
            <w:tcBorders>
              <w:top w:val="nil"/>
              <w:left w:val="nil"/>
              <w:bottom w:val="nil"/>
              <w:right w:val="nil"/>
            </w:tcBorders>
          </w:tcPr>
          <w:p w14:paraId="4B92C039" w14:textId="77777777" w:rsidR="000B3C5C" w:rsidRDefault="00ED192D">
            <w:pPr>
              <w:spacing w:after="0" w:line="241" w:lineRule="auto"/>
              <w:ind w:left="358" w:hanging="168"/>
            </w:pPr>
            <w:r>
              <w:rPr>
                <w:rFonts w:ascii="Arial" w:eastAsia="Arial" w:hAnsi="Arial" w:cs="Arial"/>
                <w:sz w:val="20"/>
              </w:rPr>
              <w:t xml:space="preserve">Pulmonary event, </w:t>
            </w:r>
          </w:p>
          <w:p w14:paraId="57E53567" w14:textId="77777777" w:rsidR="000B3C5C" w:rsidRDefault="00ED192D">
            <w:pPr>
              <w:spacing w:after="0" w:line="259" w:lineRule="auto"/>
              <w:ind w:left="0" w:right="63" w:firstLine="0"/>
              <w:jc w:val="center"/>
            </w:pPr>
            <w:r>
              <w:rPr>
                <w:rFonts w:ascii="Arial" w:eastAsia="Arial" w:hAnsi="Arial" w:cs="Arial"/>
                <w:sz w:val="20"/>
              </w:rPr>
              <w:t xml:space="preserve">Grade 2 </w:t>
            </w:r>
          </w:p>
        </w:tc>
        <w:tc>
          <w:tcPr>
            <w:tcW w:w="2290" w:type="dxa"/>
            <w:tcBorders>
              <w:top w:val="nil"/>
              <w:left w:val="nil"/>
              <w:bottom w:val="nil"/>
              <w:right w:val="nil"/>
            </w:tcBorders>
          </w:tcPr>
          <w:p w14:paraId="0F3EA370" w14:textId="77777777" w:rsidR="000B3C5C" w:rsidRDefault="00ED192D">
            <w:pPr>
              <w:spacing w:after="1" w:line="240" w:lineRule="auto"/>
              <w:ind w:left="53" w:firstLine="103"/>
            </w:pPr>
            <w:r>
              <w:rPr>
                <w:rFonts w:ascii="Arial" w:eastAsia="Arial" w:hAnsi="Arial" w:cs="Arial"/>
                <w:sz w:val="20"/>
              </w:rPr>
              <w:t xml:space="preserve">Delay or omit dose until resolves to Grade ≤1 </w:t>
            </w:r>
            <w:r>
              <w:rPr>
                <w:rFonts w:ascii="Arial" w:eastAsia="Arial" w:hAnsi="Arial" w:cs="Arial"/>
                <w:sz w:val="20"/>
              </w:rPr>
              <w:t xml:space="preserve">for a maximum of 2 weeks </w:t>
            </w:r>
          </w:p>
          <w:p w14:paraId="7110AC31" w14:textId="77777777" w:rsidR="000B3C5C" w:rsidRDefault="00ED192D">
            <w:pPr>
              <w:spacing w:after="0" w:line="259" w:lineRule="auto"/>
              <w:ind w:left="322"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499" w:type="dxa"/>
            <w:tcBorders>
              <w:top w:val="nil"/>
              <w:left w:val="nil"/>
              <w:bottom w:val="nil"/>
              <w:right w:val="nil"/>
            </w:tcBorders>
          </w:tcPr>
          <w:p w14:paraId="27AACFF5" w14:textId="77777777" w:rsidR="000B3C5C" w:rsidRDefault="00ED192D">
            <w:pPr>
              <w:spacing w:after="0" w:line="259" w:lineRule="auto"/>
              <w:ind w:left="115" w:firstLine="0"/>
            </w:pPr>
            <w:r>
              <w:rPr>
                <w:rFonts w:ascii="Arial" w:eastAsia="Arial" w:hAnsi="Arial" w:cs="Arial"/>
                <w:sz w:val="20"/>
              </w:rPr>
              <w:t>Delay cycle until Grade ≤1</w:t>
            </w:r>
            <w:r>
              <w:rPr>
                <w:rFonts w:ascii="Arial" w:eastAsia="Arial" w:hAnsi="Arial" w:cs="Arial"/>
                <w:i/>
                <w:color w:val="0000FF"/>
                <w:sz w:val="28"/>
                <w:vertAlign w:val="superscript"/>
              </w:rPr>
              <w:t>a</w:t>
            </w:r>
            <w:r>
              <w:rPr>
                <w:rFonts w:ascii="Arial" w:eastAsia="Arial" w:hAnsi="Arial" w:cs="Arial"/>
                <w:sz w:val="20"/>
              </w:rPr>
              <w:t xml:space="preserve"> </w:t>
            </w:r>
          </w:p>
          <w:p w14:paraId="5EF8C318" w14:textId="77777777" w:rsidR="000B3C5C" w:rsidRDefault="00ED192D">
            <w:pPr>
              <w:spacing w:after="35" w:line="245" w:lineRule="auto"/>
              <w:ind w:left="45" w:hanging="26"/>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a</w:t>
            </w:r>
            <w:r>
              <w:rPr>
                <w:rFonts w:ascii="Arial" w:eastAsia="Arial" w:hAnsi="Arial" w:cs="Arial"/>
                <w:sz w:val="20"/>
              </w:rPr>
              <w:t xml:space="preserve"> And isatuximab </w:t>
            </w:r>
            <w:r>
              <w:rPr>
                <w:rFonts w:ascii="Arial" w:eastAsia="Arial" w:hAnsi="Arial" w:cs="Arial"/>
                <w:sz w:val="20"/>
                <w:vertAlign w:val="superscript"/>
              </w:rPr>
              <w:t xml:space="preserve"> </w:t>
            </w:r>
          </w:p>
          <w:p w14:paraId="08614870" w14:textId="77777777" w:rsidR="000B3C5C" w:rsidRDefault="00ED192D">
            <w:pPr>
              <w:spacing w:after="0" w:line="259" w:lineRule="auto"/>
              <w:ind w:left="139" w:firstLine="0"/>
            </w:pPr>
            <w:r>
              <w:rPr>
                <w:rFonts w:ascii="Arial" w:eastAsia="Arial" w:hAnsi="Arial" w:cs="Arial"/>
                <w:sz w:val="20"/>
              </w:rPr>
              <w:t xml:space="preserve">If event does not resolve to </w:t>
            </w:r>
          </w:p>
          <w:p w14:paraId="1724A690" w14:textId="77777777" w:rsidR="000B3C5C" w:rsidRDefault="00ED192D">
            <w:pPr>
              <w:spacing w:after="0" w:line="259" w:lineRule="auto"/>
              <w:ind w:left="43" w:hanging="43"/>
            </w:pPr>
            <w:r>
              <w:rPr>
                <w:rFonts w:ascii="Arial" w:eastAsia="Arial" w:hAnsi="Arial" w:cs="Arial"/>
                <w:sz w:val="20"/>
              </w:rPr>
              <w:t>Grade 1 or better, permanently discontinue atezolizumab and resume isatuximab</w:t>
            </w:r>
            <w:r>
              <w:rPr>
                <w:rFonts w:ascii="Arial" w:eastAsia="Arial" w:hAnsi="Arial" w:cs="Arial"/>
                <w:i/>
                <w:color w:val="0000FF"/>
                <w:sz w:val="28"/>
                <w:vertAlign w:val="superscript"/>
              </w:rPr>
              <w:t>b</w:t>
            </w:r>
            <w:r>
              <w:rPr>
                <w:rFonts w:ascii="Arial" w:eastAsia="Arial" w:hAnsi="Arial" w:cs="Arial"/>
                <w:sz w:val="20"/>
              </w:rPr>
              <w:t xml:space="preserve"> </w:t>
            </w:r>
          </w:p>
        </w:tc>
        <w:tc>
          <w:tcPr>
            <w:tcW w:w="3440" w:type="dxa"/>
            <w:tcBorders>
              <w:top w:val="nil"/>
              <w:left w:val="nil"/>
              <w:bottom w:val="nil"/>
              <w:right w:val="nil"/>
            </w:tcBorders>
          </w:tcPr>
          <w:p w14:paraId="7416ACCA" w14:textId="77777777" w:rsidR="000B3C5C" w:rsidRDefault="00ED192D">
            <w:pPr>
              <w:spacing w:after="34" w:line="241" w:lineRule="auto"/>
              <w:ind w:left="487" w:hanging="319"/>
            </w:pPr>
            <w:r>
              <w:rPr>
                <w:rFonts w:ascii="Arial" w:eastAsia="Arial" w:hAnsi="Arial" w:cs="Arial"/>
                <w:sz w:val="20"/>
              </w:rPr>
              <w:t xml:space="preserve">Refer patient to pulmonary and infectious disease specialists and consider bronchoscopy or BAL. </w:t>
            </w:r>
          </w:p>
          <w:p w14:paraId="24EFB05B" w14:textId="77777777" w:rsidR="000B3C5C" w:rsidRDefault="00ED192D">
            <w:pPr>
              <w:spacing w:after="87" w:line="244" w:lineRule="auto"/>
              <w:ind w:left="742" w:hanging="588"/>
              <w:jc w:val="both"/>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oral prednisone or equivalent. </w:t>
            </w:r>
          </w:p>
          <w:p w14:paraId="1A4D46FD" w14:textId="77777777" w:rsidR="000B3C5C" w:rsidRDefault="00ED192D">
            <w:pPr>
              <w:spacing w:after="0" w:line="259" w:lineRule="auto"/>
              <w:ind w:left="0" w:right="49" w:firstLine="0"/>
              <w:jc w:val="center"/>
            </w:pPr>
            <w:r>
              <w:rPr>
                <w:rFonts w:ascii="Arial" w:eastAsia="Arial" w:hAnsi="Arial" w:cs="Arial"/>
                <w:sz w:val="20"/>
              </w:rPr>
              <w:t>Contact Medical Monitor</w:t>
            </w:r>
            <w:r>
              <w:rPr>
                <w:rFonts w:ascii="Arial" w:eastAsia="Arial" w:hAnsi="Arial" w:cs="Arial"/>
                <w:i/>
                <w:color w:val="0000FF"/>
                <w:sz w:val="28"/>
                <w:vertAlign w:val="superscript"/>
              </w:rPr>
              <w:t>b</w:t>
            </w:r>
            <w:r>
              <w:rPr>
                <w:rFonts w:ascii="Arial" w:eastAsia="Arial" w:hAnsi="Arial" w:cs="Arial"/>
                <w:sz w:val="20"/>
              </w:rPr>
              <w:t xml:space="preserve"> </w:t>
            </w:r>
          </w:p>
          <w:p w14:paraId="21A906AB" w14:textId="77777777" w:rsidR="000B3C5C" w:rsidRDefault="00ED192D">
            <w:pPr>
              <w:spacing w:after="0" w:line="259" w:lineRule="auto"/>
              <w:ind w:left="1440" w:hanging="1387"/>
            </w:pPr>
            <w:r>
              <w:rPr>
                <w:rFonts w:ascii="Arial" w:eastAsia="Arial" w:hAnsi="Arial" w:cs="Arial"/>
                <w:sz w:val="20"/>
              </w:rPr>
              <w:t xml:space="preserve">For recurrent events, treat as a Grade 3 or 4 event. </w:t>
            </w:r>
          </w:p>
        </w:tc>
      </w:tr>
      <w:tr w:rsidR="000B3C5C" w14:paraId="08917213" w14:textId="77777777">
        <w:trPr>
          <w:trHeight w:val="2522"/>
        </w:trPr>
        <w:tc>
          <w:tcPr>
            <w:tcW w:w="1294" w:type="dxa"/>
            <w:tcBorders>
              <w:top w:val="nil"/>
              <w:left w:val="nil"/>
              <w:bottom w:val="single" w:sz="4" w:space="0" w:color="000000"/>
              <w:right w:val="nil"/>
            </w:tcBorders>
          </w:tcPr>
          <w:p w14:paraId="5B7F857E" w14:textId="77777777" w:rsidR="000B3C5C" w:rsidRDefault="00ED192D">
            <w:pPr>
              <w:spacing w:after="0" w:line="241" w:lineRule="auto"/>
              <w:ind w:left="358" w:hanging="168"/>
            </w:pPr>
            <w:r>
              <w:rPr>
                <w:rFonts w:ascii="Arial" w:eastAsia="Arial" w:hAnsi="Arial" w:cs="Arial"/>
                <w:sz w:val="20"/>
              </w:rPr>
              <w:t xml:space="preserve">Pulmonary event, </w:t>
            </w:r>
          </w:p>
          <w:p w14:paraId="46310FC2" w14:textId="77777777" w:rsidR="000B3C5C" w:rsidRDefault="00ED192D">
            <w:pPr>
              <w:spacing w:after="0" w:line="259" w:lineRule="auto"/>
              <w:ind w:left="120" w:firstLine="0"/>
            </w:pPr>
            <w:r>
              <w:rPr>
                <w:rFonts w:ascii="Arial" w:eastAsia="Arial" w:hAnsi="Arial" w:cs="Arial"/>
                <w:sz w:val="20"/>
              </w:rPr>
              <w:t xml:space="preserve">Grade 3 or 4 </w:t>
            </w:r>
          </w:p>
        </w:tc>
        <w:tc>
          <w:tcPr>
            <w:tcW w:w="2290" w:type="dxa"/>
            <w:tcBorders>
              <w:top w:val="nil"/>
              <w:left w:val="nil"/>
              <w:bottom w:val="single" w:sz="4" w:space="0" w:color="000000"/>
              <w:right w:val="nil"/>
            </w:tcBorders>
          </w:tcPr>
          <w:p w14:paraId="63366F46" w14:textId="77777777" w:rsidR="000B3C5C" w:rsidRDefault="00ED192D">
            <w:pPr>
              <w:spacing w:after="0" w:line="241" w:lineRule="auto"/>
              <w:ind w:left="26" w:firstLine="161"/>
            </w:pPr>
            <w:r>
              <w:rPr>
                <w:rFonts w:ascii="Arial" w:eastAsia="Arial" w:hAnsi="Arial" w:cs="Arial"/>
                <w:sz w:val="20"/>
              </w:rPr>
              <w:t xml:space="preserve">Grade 3: Delay or omit isatuximab until resolves to </w:t>
            </w:r>
          </w:p>
          <w:p w14:paraId="3A57BC8D" w14:textId="77777777" w:rsidR="000B3C5C" w:rsidRDefault="00ED192D">
            <w:pPr>
              <w:spacing w:after="0" w:line="259" w:lineRule="auto"/>
              <w:ind w:left="2" w:firstLine="0"/>
            </w:pPr>
            <w:r>
              <w:rPr>
                <w:rFonts w:ascii="Arial" w:eastAsia="Arial" w:hAnsi="Arial" w:cs="Arial"/>
                <w:sz w:val="20"/>
              </w:rPr>
              <w:t xml:space="preserve">Grade ≤1 for a maximum of </w:t>
            </w:r>
          </w:p>
          <w:p w14:paraId="52E94B2F" w14:textId="77777777" w:rsidR="000B3C5C" w:rsidRDefault="00ED192D">
            <w:pPr>
              <w:spacing w:after="2" w:line="259" w:lineRule="auto"/>
              <w:ind w:left="0" w:firstLine="0"/>
            </w:pPr>
            <w:r>
              <w:rPr>
                <w:rFonts w:ascii="Arial" w:eastAsia="Arial" w:hAnsi="Arial" w:cs="Arial"/>
                <w:sz w:val="20"/>
              </w:rPr>
              <w:t xml:space="preserve">2 weeks (see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p w14:paraId="5AF61B5F" w14:textId="77777777" w:rsidR="000B3C5C" w:rsidRDefault="00ED192D">
            <w:pPr>
              <w:spacing w:after="2" w:line="259" w:lineRule="auto"/>
              <w:ind w:left="0" w:right="155" w:firstLine="0"/>
              <w:jc w:val="center"/>
            </w:pPr>
            <w:r>
              <w:rPr>
                <w:rFonts w:ascii="Arial" w:eastAsia="Arial" w:hAnsi="Arial" w:cs="Arial"/>
                <w:sz w:val="20"/>
              </w:rPr>
              <w:t xml:space="preserve"> </w:t>
            </w:r>
          </w:p>
          <w:p w14:paraId="2E84E86D" w14:textId="77777777" w:rsidR="000B3C5C" w:rsidRDefault="00ED192D">
            <w:pPr>
              <w:spacing w:after="0" w:line="259" w:lineRule="auto"/>
              <w:ind w:left="619" w:hanging="365"/>
            </w:pPr>
            <w:r>
              <w:rPr>
                <w:rFonts w:ascii="Arial" w:eastAsia="Arial" w:hAnsi="Arial" w:cs="Arial"/>
                <w:sz w:val="20"/>
              </w:rPr>
              <w:t xml:space="preserve">Grade 4: discontinue isatuximab </w:t>
            </w:r>
          </w:p>
        </w:tc>
        <w:tc>
          <w:tcPr>
            <w:tcW w:w="2499" w:type="dxa"/>
            <w:tcBorders>
              <w:top w:val="nil"/>
              <w:left w:val="nil"/>
              <w:bottom w:val="single" w:sz="4" w:space="0" w:color="000000"/>
              <w:right w:val="nil"/>
            </w:tcBorders>
          </w:tcPr>
          <w:p w14:paraId="3BD55A11" w14:textId="77777777" w:rsidR="000B3C5C" w:rsidRDefault="00ED192D">
            <w:pPr>
              <w:spacing w:after="0" w:line="259" w:lineRule="auto"/>
              <w:ind w:left="166" w:firstLine="0"/>
            </w:pPr>
            <w:r>
              <w:rPr>
                <w:rFonts w:ascii="Arial" w:eastAsia="Arial" w:hAnsi="Arial" w:cs="Arial"/>
                <w:sz w:val="20"/>
              </w:rPr>
              <w:t xml:space="preserve"> </w:t>
            </w:r>
            <w:r>
              <w:rPr>
                <w:rFonts w:ascii="Arial" w:eastAsia="Arial" w:hAnsi="Arial" w:cs="Arial"/>
                <w:sz w:val="20"/>
              </w:rPr>
              <w:t xml:space="preserve">Discontinue atezolizumab </w:t>
            </w:r>
          </w:p>
        </w:tc>
        <w:tc>
          <w:tcPr>
            <w:tcW w:w="3440" w:type="dxa"/>
            <w:tcBorders>
              <w:top w:val="nil"/>
              <w:left w:val="nil"/>
              <w:bottom w:val="single" w:sz="4" w:space="0" w:color="000000"/>
              <w:right w:val="nil"/>
            </w:tcBorders>
          </w:tcPr>
          <w:p w14:paraId="02ED080F" w14:textId="77777777" w:rsidR="000B3C5C" w:rsidRDefault="00ED192D">
            <w:pPr>
              <w:spacing w:after="0" w:line="259" w:lineRule="auto"/>
              <w:ind w:left="0" w:right="48"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5A5ADEAC" w14:textId="77777777" w:rsidR="000B3C5C" w:rsidRDefault="00ED192D">
            <w:pPr>
              <w:spacing w:after="17" w:line="259" w:lineRule="auto"/>
              <w:ind w:left="218" w:firstLine="0"/>
            </w:pPr>
            <w:r>
              <w:rPr>
                <w:rFonts w:ascii="Arial" w:eastAsia="Arial" w:hAnsi="Arial" w:cs="Arial"/>
                <w:sz w:val="20"/>
              </w:rPr>
              <w:t xml:space="preserve">Bronchoscopy or BAL is recommended. </w:t>
            </w:r>
          </w:p>
          <w:p w14:paraId="6B1D414E" w14:textId="77777777" w:rsidR="000B3C5C" w:rsidRDefault="00ED192D">
            <w:pPr>
              <w:spacing w:after="15" w:line="243" w:lineRule="auto"/>
              <w:ind w:left="764" w:hanging="610"/>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oral prednisone or equivalent </w:t>
            </w:r>
          </w:p>
          <w:p w14:paraId="5C5F2F7E" w14:textId="77777777" w:rsidR="000B3C5C" w:rsidRDefault="00ED192D">
            <w:pPr>
              <w:spacing w:after="19" w:line="241" w:lineRule="auto"/>
              <w:ind w:left="0" w:firstLine="168"/>
            </w:pPr>
            <w:r>
              <w:rPr>
                <w:rFonts w:ascii="Arial" w:eastAsia="Arial" w:hAnsi="Arial" w:cs="Arial"/>
                <w:sz w:val="20"/>
              </w:rPr>
              <w:t xml:space="preserve">If event does not improve within 48 hours after initiating corticosteroids, consider adding an immunosuppressive agent </w:t>
            </w:r>
          </w:p>
          <w:p w14:paraId="4AADCCAA" w14:textId="77777777" w:rsidR="000B3C5C" w:rsidRDefault="00ED192D">
            <w:pPr>
              <w:spacing w:after="0" w:line="259" w:lineRule="auto"/>
              <w:ind w:left="579" w:hanging="485"/>
            </w:pPr>
            <w:r>
              <w:rPr>
                <w:rFonts w:ascii="Arial" w:eastAsia="Arial" w:hAnsi="Arial" w:cs="Arial"/>
                <w:sz w:val="20"/>
              </w:rPr>
              <w:t xml:space="preserve">If event resolves to Grade 1 or better, taper corticosteroids over </w:t>
            </w:r>
            <w:r>
              <w:rPr>
                <w:rFonts w:ascii="Segoe UI Symbol" w:eastAsia="Segoe UI Symbol" w:hAnsi="Segoe UI Symbol" w:cs="Segoe UI Symbol"/>
                <w:sz w:val="20"/>
              </w:rPr>
              <w:t></w:t>
            </w:r>
            <w:r>
              <w:rPr>
                <w:rFonts w:ascii="Arial" w:eastAsia="Arial" w:hAnsi="Arial" w:cs="Arial"/>
                <w:sz w:val="20"/>
              </w:rPr>
              <w:t xml:space="preserve">1 month </w:t>
            </w:r>
          </w:p>
        </w:tc>
      </w:tr>
    </w:tbl>
    <w:p w14:paraId="4ED1EDFC" w14:textId="77777777" w:rsidR="000B3C5C" w:rsidRDefault="00ED192D">
      <w:pPr>
        <w:spacing w:after="12"/>
        <w:ind w:left="92" w:right="220"/>
      </w:pPr>
      <w:r>
        <w:rPr>
          <w:rFonts w:ascii="Arial" w:eastAsia="Arial" w:hAnsi="Arial" w:cs="Arial"/>
          <w:i/>
          <w:sz w:val="18"/>
        </w:rPr>
        <w:t xml:space="preserve">a </w:t>
      </w:r>
      <w:r>
        <w:rPr>
          <w:rFonts w:ascii="Arial" w:eastAsia="Arial" w:hAnsi="Arial" w:cs="Arial"/>
          <w:sz w:val="18"/>
        </w:rPr>
        <w:t xml:space="preserve">Atezolizumab may be withheld for a longer period of time (ie, </w:t>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12 weeks after event onset) to allow for corticosteroids (if initiated) to be reduced to </w:t>
      </w:r>
      <w:r>
        <w:rPr>
          <w:rFonts w:ascii="Segoe UI Symbol" w:eastAsia="Segoe UI Symbol" w:hAnsi="Segoe UI Symbol" w:cs="Segoe UI Symbol"/>
          <w:sz w:val="18"/>
        </w:rPr>
        <w:t></w:t>
      </w:r>
      <w:r>
        <w:rPr>
          <w:rFonts w:ascii="Arial" w:eastAsia="Arial" w:hAnsi="Arial" w:cs="Arial"/>
          <w:sz w:val="18"/>
        </w:rPr>
        <w:t xml:space="preserve"> 10 mg/day oral prednisone or equivalent.  The acceptable length of the extended period of time must be agreed upon by the investigator and the Medical Monitor. </w:t>
      </w:r>
      <w:r>
        <w:rPr>
          <w:rFonts w:ascii="Arial" w:eastAsia="Arial" w:hAnsi="Arial" w:cs="Arial"/>
          <w:i/>
          <w:sz w:val="18"/>
        </w:rPr>
        <w:t xml:space="preserve">b </w:t>
      </w:r>
      <w:r>
        <w:rPr>
          <w:rFonts w:ascii="Arial" w:eastAsia="Arial" w:hAnsi="Arial" w:cs="Arial"/>
          <w:sz w:val="18"/>
        </w:rPr>
        <w:t xml:space="preserve">If corticosteroids have been initiated, they must be tapered over </w:t>
      </w:r>
      <w:r>
        <w:rPr>
          <w:rFonts w:ascii="Segoe UI Symbol" w:eastAsia="Segoe UI Symbol" w:hAnsi="Segoe UI Symbol" w:cs="Segoe UI Symbol"/>
          <w:sz w:val="18"/>
        </w:rPr>
        <w:t></w:t>
      </w:r>
      <w:r>
        <w:rPr>
          <w:rFonts w:ascii="Arial" w:eastAsia="Arial" w:hAnsi="Arial" w:cs="Arial"/>
          <w:sz w:val="18"/>
        </w:rPr>
        <w:t xml:space="preserve"> 1 month to </w:t>
      </w:r>
      <w:r>
        <w:rPr>
          <w:rFonts w:ascii="Segoe UI Symbol" w:eastAsia="Segoe UI Symbol" w:hAnsi="Segoe UI Symbol" w:cs="Segoe UI Symbol"/>
          <w:sz w:val="18"/>
        </w:rPr>
        <w:t></w:t>
      </w:r>
      <w:r>
        <w:rPr>
          <w:rFonts w:ascii="Arial" w:eastAsia="Arial" w:hAnsi="Arial" w:cs="Arial"/>
          <w:sz w:val="18"/>
        </w:rPr>
        <w:t xml:space="preserve"> 10 mg/day oral prednisone or equivalent before atezolizumab can be resumed. </w:t>
      </w:r>
    </w:p>
    <w:p w14:paraId="66A3C765" w14:textId="77777777" w:rsidR="000B3C5C" w:rsidRDefault="00ED192D">
      <w:pPr>
        <w:spacing w:after="12"/>
        <w:ind w:left="327" w:right="410" w:hanging="245"/>
      </w:pPr>
      <w:r>
        <w:rPr>
          <w:rFonts w:ascii="Arial" w:eastAsia="Arial" w:hAnsi="Arial" w:cs="Arial"/>
          <w:i/>
          <w:sz w:val="18"/>
        </w:rPr>
        <w:t xml:space="preserve">c </w:t>
      </w: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Abbreviation: BAL = bronchoscopic alveolar lavage </w:t>
      </w:r>
    </w:p>
    <w:p w14:paraId="34254848" w14:textId="77777777" w:rsidR="000B3C5C" w:rsidRDefault="00ED192D">
      <w:pPr>
        <w:pStyle w:val="Heading3"/>
        <w:spacing w:after="231"/>
        <w:ind w:left="-5" w:right="51"/>
      </w:pPr>
      <w:r>
        <w:rPr>
          <w:rFonts w:ascii="Times New Roman" w:eastAsia="Times New Roman" w:hAnsi="Times New Roman" w:cs="Times New Roman"/>
          <w:sz w:val="24"/>
        </w:rPr>
        <w:t xml:space="preserve">Hepatic Events </w:t>
      </w:r>
    </w:p>
    <w:p w14:paraId="1552BCCA" w14:textId="77777777" w:rsidR="000B3C5C" w:rsidRDefault="00ED192D">
      <w:pPr>
        <w:ind w:left="-3" w:right="14"/>
      </w:pPr>
      <w:r>
        <w:t xml:space="preserve">Eligible patients must have adequate liver function, as manifested by measurements of total bilirubin and hepatic transaminases, and liver function will be monitored throughout study treatment. Management guidelines for hepatic events are provided in </w:t>
      </w:r>
      <w:r>
        <w:rPr>
          <w:color w:val="0000FF"/>
        </w:rPr>
        <w:t>Table 18</w:t>
      </w:r>
      <w:r>
        <w:t xml:space="preserve">. </w:t>
      </w:r>
    </w:p>
    <w:p w14:paraId="22214190" w14:textId="77777777" w:rsidR="000B3C5C" w:rsidRDefault="00ED192D">
      <w:pPr>
        <w:spacing w:after="314"/>
        <w:ind w:left="-3" w:right="14"/>
      </w:pPr>
      <w:r>
        <w:t xml:space="preserve">For patients with elevated LFTs, concurrent medication, viral hepatitis, and toxic or neoplastic etiologies should be considered and addressed, as appropriate. </w:t>
      </w:r>
    </w:p>
    <w:p w14:paraId="70DD0348" w14:textId="77777777" w:rsidR="000B3C5C" w:rsidRDefault="00ED192D">
      <w:pPr>
        <w:pStyle w:val="Heading4"/>
        <w:spacing w:after="3" w:line="259" w:lineRule="auto"/>
        <w:ind w:left="2199"/>
      </w:pPr>
      <w:r>
        <w:rPr>
          <w:sz w:val="20"/>
        </w:rPr>
        <w:t xml:space="preserve">Table 18 - </w:t>
      </w:r>
      <w:r>
        <w:rPr>
          <w:sz w:val="20"/>
        </w:rPr>
        <w:t xml:space="preserve">Management Guidelines for Hepatic Events  </w:t>
      </w:r>
    </w:p>
    <w:tbl>
      <w:tblPr>
        <w:tblStyle w:val="TableGrid"/>
        <w:tblW w:w="9580" w:type="dxa"/>
        <w:tblInd w:w="-55" w:type="dxa"/>
        <w:tblCellMar>
          <w:top w:w="81" w:type="dxa"/>
          <w:left w:w="0" w:type="dxa"/>
          <w:bottom w:w="66" w:type="dxa"/>
          <w:right w:w="78" w:type="dxa"/>
        </w:tblCellMar>
        <w:tblLook w:val="04A0" w:firstRow="1" w:lastRow="0" w:firstColumn="1" w:lastColumn="0" w:noHBand="0" w:noVBand="1"/>
      </w:tblPr>
      <w:tblGrid>
        <w:gridCol w:w="1246"/>
        <w:gridCol w:w="1846"/>
        <w:gridCol w:w="2489"/>
        <w:gridCol w:w="3999"/>
      </w:tblGrid>
      <w:tr w:rsidR="000B3C5C" w14:paraId="7B0CCB22" w14:textId="77777777">
        <w:trPr>
          <w:trHeight w:val="591"/>
        </w:trPr>
        <w:tc>
          <w:tcPr>
            <w:tcW w:w="1246" w:type="dxa"/>
            <w:tcBorders>
              <w:top w:val="single" w:sz="4" w:space="0" w:color="000000"/>
              <w:left w:val="nil"/>
              <w:bottom w:val="single" w:sz="4" w:space="0" w:color="000000"/>
              <w:right w:val="nil"/>
            </w:tcBorders>
            <w:vAlign w:val="bottom"/>
          </w:tcPr>
          <w:p w14:paraId="69D3D66B" w14:textId="77777777" w:rsidR="000B3C5C" w:rsidRDefault="00ED192D">
            <w:pPr>
              <w:spacing w:after="0" w:line="259" w:lineRule="auto"/>
              <w:ind w:left="0" w:right="28" w:firstLine="0"/>
              <w:jc w:val="center"/>
            </w:pPr>
            <w:r>
              <w:rPr>
                <w:rFonts w:ascii="Arial" w:eastAsia="Arial" w:hAnsi="Arial" w:cs="Arial"/>
                <w:b/>
                <w:sz w:val="20"/>
              </w:rPr>
              <w:t xml:space="preserve">Event </w:t>
            </w:r>
          </w:p>
        </w:tc>
        <w:tc>
          <w:tcPr>
            <w:tcW w:w="1846" w:type="dxa"/>
            <w:tcBorders>
              <w:top w:val="single" w:sz="4" w:space="0" w:color="000000"/>
              <w:left w:val="nil"/>
              <w:bottom w:val="single" w:sz="4" w:space="0" w:color="000000"/>
              <w:right w:val="nil"/>
            </w:tcBorders>
          </w:tcPr>
          <w:p w14:paraId="7ED5AB0C" w14:textId="77777777" w:rsidR="000B3C5C" w:rsidRDefault="00ED192D">
            <w:pPr>
              <w:spacing w:after="0" w:line="259" w:lineRule="auto"/>
              <w:ind w:left="173" w:firstLine="96"/>
            </w:pPr>
            <w:r>
              <w:rPr>
                <w:rFonts w:ascii="Arial" w:eastAsia="Arial" w:hAnsi="Arial" w:cs="Arial"/>
                <w:b/>
                <w:sz w:val="20"/>
              </w:rPr>
              <w:t xml:space="preserve">Isatuximab management </w:t>
            </w:r>
          </w:p>
        </w:tc>
        <w:tc>
          <w:tcPr>
            <w:tcW w:w="2489" w:type="dxa"/>
            <w:tcBorders>
              <w:top w:val="single" w:sz="4" w:space="0" w:color="000000"/>
              <w:left w:val="nil"/>
              <w:bottom w:val="single" w:sz="4" w:space="0" w:color="000000"/>
              <w:right w:val="nil"/>
            </w:tcBorders>
          </w:tcPr>
          <w:p w14:paraId="660FE5F1" w14:textId="77777777" w:rsidR="000B3C5C" w:rsidRDefault="00ED192D">
            <w:pPr>
              <w:spacing w:after="0" w:line="259" w:lineRule="auto"/>
              <w:ind w:left="487" w:hanging="26"/>
            </w:pPr>
            <w:r>
              <w:rPr>
                <w:rFonts w:ascii="Arial" w:eastAsia="Arial" w:hAnsi="Arial" w:cs="Arial"/>
                <w:b/>
                <w:sz w:val="20"/>
              </w:rPr>
              <w:t xml:space="preserve">Atezolizumab management </w:t>
            </w:r>
          </w:p>
        </w:tc>
        <w:tc>
          <w:tcPr>
            <w:tcW w:w="3999" w:type="dxa"/>
            <w:tcBorders>
              <w:top w:val="single" w:sz="4" w:space="0" w:color="000000"/>
              <w:left w:val="nil"/>
              <w:bottom w:val="single" w:sz="4" w:space="0" w:color="000000"/>
              <w:right w:val="nil"/>
            </w:tcBorders>
            <w:vAlign w:val="bottom"/>
          </w:tcPr>
          <w:p w14:paraId="0AF52EB0" w14:textId="77777777" w:rsidR="000B3C5C" w:rsidRDefault="00ED192D">
            <w:pPr>
              <w:spacing w:after="0" w:line="259" w:lineRule="auto"/>
              <w:ind w:left="0" w:right="45" w:firstLine="0"/>
              <w:jc w:val="center"/>
            </w:pPr>
            <w:r>
              <w:rPr>
                <w:rFonts w:ascii="Arial" w:eastAsia="Arial" w:hAnsi="Arial" w:cs="Arial"/>
                <w:b/>
                <w:sz w:val="20"/>
              </w:rPr>
              <w:t xml:space="preserve">Action and guidance </w:t>
            </w:r>
          </w:p>
        </w:tc>
      </w:tr>
      <w:tr w:rsidR="000B3C5C" w14:paraId="4548FA05" w14:textId="77777777">
        <w:trPr>
          <w:trHeight w:val="833"/>
        </w:trPr>
        <w:tc>
          <w:tcPr>
            <w:tcW w:w="1246" w:type="dxa"/>
            <w:tcBorders>
              <w:top w:val="single" w:sz="4" w:space="0" w:color="000000"/>
              <w:left w:val="nil"/>
              <w:bottom w:val="nil"/>
              <w:right w:val="nil"/>
            </w:tcBorders>
          </w:tcPr>
          <w:p w14:paraId="34D9D635" w14:textId="77777777" w:rsidR="000B3C5C" w:rsidRDefault="00ED192D">
            <w:pPr>
              <w:spacing w:after="0" w:line="241" w:lineRule="auto"/>
              <w:ind w:left="348" w:hanging="55"/>
            </w:pPr>
            <w:r>
              <w:rPr>
                <w:rFonts w:ascii="Arial" w:eastAsia="Arial" w:hAnsi="Arial" w:cs="Arial"/>
                <w:sz w:val="20"/>
              </w:rPr>
              <w:t xml:space="preserve">Hepatic event, </w:t>
            </w:r>
          </w:p>
          <w:p w14:paraId="23FB76AA" w14:textId="77777777" w:rsidR="000B3C5C" w:rsidRDefault="00ED192D">
            <w:pPr>
              <w:spacing w:after="0" w:line="259" w:lineRule="auto"/>
              <w:ind w:left="0" w:right="28" w:firstLine="0"/>
              <w:jc w:val="center"/>
            </w:pPr>
            <w:r>
              <w:rPr>
                <w:rFonts w:ascii="Arial" w:eastAsia="Arial" w:hAnsi="Arial" w:cs="Arial"/>
                <w:sz w:val="20"/>
              </w:rPr>
              <w:t xml:space="preserve">Grade 1 </w:t>
            </w:r>
          </w:p>
        </w:tc>
        <w:tc>
          <w:tcPr>
            <w:tcW w:w="1846" w:type="dxa"/>
            <w:tcBorders>
              <w:top w:val="single" w:sz="4" w:space="0" w:color="000000"/>
              <w:left w:val="nil"/>
              <w:bottom w:val="nil"/>
              <w:right w:val="nil"/>
            </w:tcBorders>
          </w:tcPr>
          <w:p w14:paraId="01040F35" w14:textId="77777777" w:rsidR="000B3C5C" w:rsidRDefault="00ED192D">
            <w:pPr>
              <w:spacing w:after="0" w:line="259" w:lineRule="auto"/>
              <w:ind w:left="106" w:firstLine="0"/>
            </w:pPr>
            <w:r>
              <w:rPr>
                <w:rFonts w:ascii="Arial" w:eastAsia="Arial" w:hAnsi="Arial" w:cs="Arial"/>
                <w:sz w:val="20"/>
              </w:rPr>
              <w:t xml:space="preserve">No change in dose </w:t>
            </w:r>
          </w:p>
        </w:tc>
        <w:tc>
          <w:tcPr>
            <w:tcW w:w="2489" w:type="dxa"/>
            <w:tcBorders>
              <w:top w:val="single" w:sz="4" w:space="0" w:color="000000"/>
              <w:left w:val="nil"/>
              <w:bottom w:val="nil"/>
              <w:right w:val="nil"/>
            </w:tcBorders>
          </w:tcPr>
          <w:p w14:paraId="13C8279E" w14:textId="77777777" w:rsidR="000B3C5C" w:rsidRDefault="00ED192D">
            <w:pPr>
              <w:spacing w:after="0" w:line="259" w:lineRule="auto"/>
              <w:ind w:left="420" w:firstLine="0"/>
            </w:pPr>
            <w:r>
              <w:rPr>
                <w:rFonts w:ascii="Arial" w:eastAsia="Arial" w:hAnsi="Arial" w:cs="Arial"/>
                <w:sz w:val="20"/>
              </w:rPr>
              <w:t xml:space="preserve">No change in dose </w:t>
            </w:r>
          </w:p>
        </w:tc>
        <w:tc>
          <w:tcPr>
            <w:tcW w:w="3999" w:type="dxa"/>
            <w:tcBorders>
              <w:top w:val="single" w:sz="4" w:space="0" w:color="000000"/>
              <w:left w:val="nil"/>
              <w:bottom w:val="nil"/>
              <w:right w:val="nil"/>
            </w:tcBorders>
          </w:tcPr>
          <w:p w14:paraId="00A49732" w14:textId="77777777" w:rsidR="000B3C5C" w:rsidRDefault="00ED192D">
            <w:pPr>
              <w:spacing w:after="0" w:line="259" w:lineRule="auto"/>
              <w:ind w:left="1752" w:hanging="1613"/>
            </w:pPr>
            <w:r>
              <w:rPr>
                <w:rFonts w:ascii="Arial" w:eastAsia="Arial" w:hAnsi="Arial" w:cs="Arial"/>
                <w:sz w:val="20"/>
              </w:rPr>
              <w:t xml:space="preserve">Monitor LFTs until values resolve to within normal limits </w:t>
            </w:r>
          </w:p>
        </w:tc>
      </w:tr>
      <w:tr w:rsidR="000B3C5C" w14:paraId="1C08B2EA" w14:textId="77777777">
        <w:trPr>
          <w:trHeight w:val="2414"/>
        </w:trPr>
        <w:tc>
          <w:tcPr>
            <w:tcW w:w="1246" w:type="dxa"/>
            <w:tcBorders>
              <w:top w:val="nil"/>
              <w:left w:val="nil"/>
              <w:bottom w:val="single" w:sz="4" w:space="0" w:color="000000"/>
              <w:right w:val="nil"/>
            </w:tcBorders>
          </w:tcPr>
          <w:p w14:paraId="1BAC7164" w14:textId="77777777" w:rsidR="000B3C5C" w:rsidRDefault="00ED192D">
            <w:pPr>
              <w:spacing w:after="0" w:line="241" w:lineRule="auto"/>
              <w:ind w:left="348" w:hanging="55"/>
            </w:pPr>
            <w:r>
              <w:rPr>
                <w:rFonts w:ascii="Arial" w:eastAsia="Arial" w:hAnsi="Arial" w:cs="Arial"/>
                <w:sz w:val="20"/>
              </w:rPr>
              <w:t xml:space="preserve">Hepatic event, </w:t>
            </w:r>
          </w:p>
          <w:p w14:paraId="4186CF50" w14:textId="77777777" w:rsidR="000B3C5C" w:rsidRDefault="00ED192D">
            <w:pPr>
              <w:spacing w:after="0" w:line="259" w:lineRule="auto"/>
              <w:ind w:left="0" w:right="28" w:firstLine="0"/>
              <w:jc w:val="center"/>
            </w:pPr>
            <w:r>
              <w:rPr>
                <w:rFonts w:ascii="Arial" w:eastAsia="Arial" w:hAnsi="Arial" w:cs="Arial"/>
                <w:sz w:val="20"/>
              </w:rPr>
              <w:t xml:space="preserve">Grade 2 </w:t>
            </w:r>
          </w:p>
        </w:tc>
        <w:tc>
          <w:tcPr>
            <w:tcW w:w="1846" w:type="dxa"/>
            <w:tcBorders>
              <w:top w:val="nil"/>
              <w:left w:val="nil"/>
              <w:bottom w:val="single" w:sz="4" w:space="0" w:color="000000"/>
              <w:right w:val="nil"/>
            </w:tcBorders>
          </w:tcPr>
          <w:p w14:paraId="6BCBFC90" w14:textId="77777777" w:rsidR="000B3C5C" w:rsidRDefault="00ED192D">
            <w:pPr>
              <w:spacing w:after="0" w:line="259" w:lineRule="auto"/>
              <w:ind w:left="106" w:firstLine="0"/>
            </w:pPr>
            <w:r>
              <w:rPr>
                <w:rFonts w:ascii="Arial" w:eastAsia="Arial" w:hAnsi="Arial" w:cs="Arial"/>
                <w:sz w:val="20"/>
              </w:rPr>
              <w:t xml:space="preserve">No change in dose </w:t>
            </w:r>
          </w:p>
        </w:tc>
        <w:tc>
          <w:tcPr>
            <w:tcW w:w="2489" w:type="dxa"/>
            <w:tcBorders>
              <w:top w:val="nil"/>
              <w:left w:val="nil"/>
              <w:bottom w:val="single" w:sz="4" w:space="0" w:color="000000"/>
              <w:right w:val="nil"/>
            </w:tcBorders>
          </w:tcPr>
          <w:p w14:paraId="0BA50B9D" w14:textId="77777777" w:rsidR="000B3C5C" w:rsidRDefault="00ED192D">
            <w:pPr>
              <w:spacing w:after="50" w:line="259" w:lineRule="auto"/>
              <w:ind w:left="139" w:firstLine="0"/>
            </w:pPr>
            <w:r>
              <w:rPr>
                <w:rFonts w:ascii="Arial" w:eastAsia="Arial" w:hAnsi="Arial" w:cs="Arial"/>
                <w:sz w:val="20"/>
              </w:rPr>
              <w:t xml:space="preserve">Withhold or omit dose until </w:t>
            </w:r>
          </w:p>
          <w:p w14:paraId="55BB3DB5" w14:textId="77777777" w:rsidR="000B3C5C" w:rsidRDefault="00ED192D">
            <w:pPr>
              <w:spacing w:after="0" w:line="259" w:lineRule="auto"/>
              <w:ind w:left="711" w:firstLine="0"/>
            </w:pPr>
            <w:r>
              <w:rPr>
                <w:rFonts w:ascii="Arial" w:eastAsia="Arial" w:hAnsi="Arial" w:cs="Arial"/>
                <w:sz w:val="20"/>
              </w:rPr>
              <w:t>Grade ≤1</w:t>
            </w:r>
            <w:r>
              <w:rPr>
                <w:rFonts w:ascii="Arial" w:eastAsia="Arial" w:hAnsi="Arial" w:cs="Arial"/>
                <w:i/>
                <w:color w:val="0000FF"/>
                <w:sz w:val="28"/>
                <w:vertAlign w:val="superscript"/>
              </w:rPr>
              <w:t>a</w:t>
            </w:r>
            <w:r>
              <w:rPr>
                <w:rFonts w:ascii="Arial" w:eastAsia="Arial" w:hAnsi="Arial" w:cs="Arial"/>
                <w:sz w:val="20"/>
              </w:rPr>
              <w:t xml:space="preserve"> </w:t>
            </w:r>
          </w:p>
          <w:p w14:paraId="0B3B2106" w14:textId="77777777" w:rsidR="000B3C5C" w:rsidRDefault="00ED192D">
            <w:pPr>
              <w:spacing w:after="15" w:line="223" w:lineRule="auto"/>
              <w:ind w:left="26" w:hanging="26"/>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766E959A" w14:textId="77777777" w:rsidR="000B3C5C" w:rsidRDefault="00ED192D">
            <w:pPr>
              <w:spacing w:after="0" w:line="259" w:lineRule="auto"/>
              <w:ind w:left="120" w:firstLine="0"/>
            </w:pPr>
            <w:r>
              <w:rPr>
                <w:rFonts w:ascii="Arial" w:eastAsia="Arial" w:hAnsi="Arial" w:cs="Arial"/>
                <w:sz w:val="20"/>
              </w:rPr>
              <w:t xml:space="preserve">If event does not resolve to </w:t>
            </w:r>
          </w:p>
          <w:p w14:paraId="0B6E3E84" w14:textId="77777777" w:rsidR="000B3C5C" w:rsidRDefault="00ED192D">
            <w:pPr>
              <w:spacing w:after="2" w:line="239" w:lineRule="auto"/>
              <w:ind w:left="166" w:firstLine="103"/>
            </w:pPr>
            <w:r>
              <w:rPr>
                <w:rFonts w:ascii="Arial" w:eastAsia="Arial" w:hAnsi="Arial" w:cs="Arial"/>
                <w:sz w:val="20"/>
              </w:rPr>
              <w:t xml:space="preserve">Grade 1 or better while withholding atezolizumab, </w:t>
            </w:r>
          </w:p>
          <w:p w14:paraId="1F611450" w14:textId="77777777" w:rsidR="000B3C5C" w:rsidRDefault="00ED192D">
            <w:pPr>
              <w:spacing w:after="0" w:line="259" w:lineRule="auto"/>
              <w:ind w:left="583" w:hanging="367"/>
            </w:pPr>
            <w:r>
              <w:rPr>
                <w:rFonts w:ascii="Arial" w:eastAsia="Arial" w:hAnsi="Arial" w:cs="Arial"/>
                <w:sz w:val="20"/>
              </w:rPr>
              <w:t>permanently discontinue atezolizumab</w:t>
            </w:r>
            <w:r>
              <w:rPr>
                <w:rFonts w:ascii="Arial" w:eastAsia="Arial" w:hAnsi="Arial" w:cs="Arial"/>
                <w:i/>
                <w:color w:val="0000FF"/>
                <w:sz w:val="28"/>
                <w:vertAlign w:val="superscript"/>
              </w:rPr>
              <w:t>c</w:t>
            </w:r>
            <w:r>
              <w:rPr>
                <w:rFonts w:ascii="Arial" w:eastAsia="Arial" w:hAnsi="Arial" w:cs="Arial"/>
                <w:sz w:val="20"/>
              </w:rPr>
              <w:t xml:space="preserve"> </w:t>
            </w:r>
          </w:p>
        </w:tc>
        <w:tc>
          <w:tcPr>
            <w:tcW w:w="3999" w:type="dxa"/>
            <w:tcBorders>
              <w:top w:val="nil"/>
              <w:left w:val="nil"/>
              <w:bottom w:val="single" w:sz="4" w:space="0" w:color="000000"/>
              <w:right w:val="nil"/>
            </w:tcBorders>
          </w:tcPr>
          <w:p w14:paraId="6A550A0A" w14:textId="77777777" w:rsidR="000B3C5C" w:rsidRDefault="00ED192D">
            <w:pPr>
              <w:spacing w:after="41" w:line="259" w:lineRule="auto"/>
              <w:ind w:left="0" w:right="47" w:firstLine="0"/>
              <w:jc w:val="center"/>
            </w:pPr>
            <w:r>
              <w:rPr>
                <w:rFonts w:ascii="Arial" w:eastAsia="Arial" w:hAnsi="Arial" w:cs="Arial"/>
                <w:sz w:val="20"/>
              </w:rPr>
              <w:t xml:space="preserve">All events: </w:t>
            </w:r>
          </w:p>
          <w:p w14:paraId="5B6F1EB0" w14:textId="77777777" w:rsidR="000B3C5C" w:rsidRDefault="00ED192D">
            <w:pPr>
              <w:spacing w:after="58" w:line="241" w:lineRule="auto"/>
              <w:ind w:left="1703" w:hanging="1669"/>
            </w:pPr>
            <w:r>
              <w:rPr>
                <w:rFonts w:ascii="Arial" w:eastAsia="Arial" w:hAnsi="Arial" w:cs="Arial"/>
                <w:sz w:val="20"/>
              </w:rPr>
              <w:t xml:space="preserve">Monitor LFTs more frequently until return to baseline values </w:t>
            </w:r>
          </w:p>
          <w:p w14:paraId="50F925D8" w14:textId="77777777" w:rsidR="000B3C5C" w:rsidRDefault="00ED192D">
            <w:pPr>
              <w:spacing w:after="58" w:line="259" w:lineRule="auto"/>
              <w:ind w:left="0" w:right="48" w:firstLine="0"/>
              <w:jc w:val="center"/>
            </w:pPr>
            <w:r>
              <w:rPr>
                <w:rFonts w:ascii="Arial" w:eastAsia="Arial" w:hAnsi="Arial" w:cs="Arial"/>
                <w:sz w:val="20"/>
              </w:rPr>
              <w:t xml:space="preserve">Events of &gt;5 days’ duration: </w:t>
            </w:r>
          </w:p>
          <w:p w14:paraId="012DBC7E" w14:textId="77777777" w:rsidR="000B3C5C" w:rsidRDefault="00ED192D">
            <w:pPr>
              <w:spacing w:after="128" w:line="243" w:lineRule="auto"/>
              <w:ind w:left="1469" w:hanging="1469"/>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oral prednisone or equivalent </w:t>
            </w:r>
          </w:p>
          <w:p w14:paraId="52A4EC43" w14:textId="77777777" w:rsidR="000B3C5C" w:rsidRDefault="00ED192D">
            <w:pPr>
              <w:spacing w:after="0" w:line="259" w:lineRule="auto"/>
              <w:ind w:left="0" w:right="44"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78A69F41" w14:textId="77777777">
        <w:trPr>
          <w:trHeight w:val="2967"/>
        </w:trPr>
        <w:tc>
          <w:tcPr>
            <w:tcW w:w="1246" w:type="dxa"/>
            <w:tcBorders>
              <w:top w:val="single" w:sz="4" w:space="0" w:color="000000"/>
              <w:left w:val="nil"/>
              <w:bottom w:val="single" w:sz="4" w:space="0" w:color="000000"/>
              <w:right w:val="nil"/>
            </w:tcBorders>
          </w:tcPr>
          <w:p w14:paraId="14C48185" w14:textId="77777777" w:rsidR="000B3C5C" w:rsidRDefault="00ED192D">
            <w:pPr>
              <w:spacing w:after="2" w:line="239" w:lineRule="auto"/>
              <w:ind w:left="348" w:hanging="55"/>
            </w:pPr>
            <w:r>
              <w:rPr>
                <w:rFonts w:ascii="Arial" w:eastAsia="Arial" w:hAnsi="Arial" w:cs="Arial"/>
                <w:sz w:val="20"/>
              </w:rPr>
              <w:t xml:space="preserve">Hepatic event, </w:t>
            </w:r>
          </w:p>
          <w:p w14:paraId="51A97BDF" w14:textId="77777777" w:rsidR="000B3C5C" w:rsidRDefault="00ED192D">
            <w:pPr>
              <w:spacing w:after="0" w:line="259" w:lineRule="auto"/>
              <w:ind w:left="110" w:firstLine="0"/>
            </w:pPr>
            <w:r>
              <w:rPr>
                <w:rFonts w:ascii="Arial" w:eastAsia="Arial" w:hAnsi="Arial" w:cs="Arial"/>
                <w:sz w:val="20"/>
              </w:rPr>
              <w:t xml:space="preserve">Grade 3 or 4 </w:t>
            </w:r>
          </w:p>
        </w:tc>
        <w:tc>
          <w:tcPr>
            <w:tcW w:w="1846" w:type="dxa"/>
            <w:tcBorders>
              <w:top w:val="single" w:sz="4" w:space="0" w:color="000000"/>
              <w:left w:val="nil"/>
              <w:bottom w:val="single" w:sz="4" w:space="0" w:color="000000"/>
              <w:right w:val="nil"/>
            </w:tcBorders>
          </w:tcPr>
          <w:p w14:paraId="6E01E876" w14:textId="77777777" w:rsidR="000B3C5C" w:rsidRDefault="00ED192D">
            <w:pPr>
              <w:spacing w:after="2" w:line="240" w:lineRule="auto"/>
              <w:ind w:left="0" w:right="138" w:firstLine="0"/>
            </w:pPr>
            <w:r>
              <w:rPr>
                <w:rFonts w:ascii="Arial" w:eastAsia="Arial" w:hAnsi="Arial" w:cs="Arial"/>
                <w:sz w:val="20"/>
              </w:rPr>
              <w:t xml:space="preserve"> Delay or omit isatuximab until Grade ≤2 for a maximum of 2 weeks </w:t>
            </w:r>
          </w:p>
          <w:p w14:paraId="5A3FD786" w14:textId="77777777" w:rsidR="000B3C5C" w:rsidRDefault="00ED192D">
            <w:pPr>
              <w:spacing w:after="0" w:line="259" w:lineRule="auto"/>
              <w:ind w:left="0"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489" w:type="dxa"/>
            <w:tcBorders>
              <w:top w:val="single" w:sz="4" w:space="0" w:color="000000"/>
              <w:left w:val="nil"/>
              <w:bottom w:val="single" w:sz="4" w:space="0" w:color="000000"/>
              <w:right w:val="nil"/>
            </w:tcBorders>
          </w:tcPr>
          <w:p w14:paraId="5E3C15A8" w14:textId="77777777" w:rsidR="000B3C5C" w:rsidRDefault="00ED192D">
            <w:pPr>
              <w:spacing w:after="0" w:line="259" w:lineRule="auto"/>
              <w:ind w:left="168" w:firstLine="0"/>
            </w:pPr>
            <w:r>
              <w:rPr>
                <w:rFonts w:ascii="Arial" w:eastAsia="Arial" w:hAnsi="Arial" w:cs="Arial"/>
                <w:sz w:val="20"/>
              </w:rPr>
              <w:t xml:space="preserve">Discontinue atezolizumab </w:t>
            </w:r>
          </w:p>
        </w:tc>
        <w:tc>
          <w:tcPr>
            <w:tcW w:w="3999" w:type="dxa"/>
            <w:tcBorders>
              <w:top w:val="single" w:sz="4" w:space="0" w:color="000000"/>
              <w:left w:val="nil"/>
              <w:bottom w:val="single" w:sz="4" w:space="0" w:color="000000"/>
              <w:right w:val="nil"/>
            </w:tcBorders>
          </w:tcPr>
          <w:p w14:paraId="4217B00A" w14:textId="77777777" w:rsidR="000B3C5C" w:rsidRDefault="00ED192D">
            <w:pPr>
              <w:spacing w:after="0" w:line="259" w:lineRule="auto"/>
              <w:ind w:left="0" w:right="44"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21C93997" w14:textId="77777777" w:rsidR="000B3C5C" w:rsidRDefault="00ED192D">
            <w:pPr>
              <w:spacing w:after="75" w:line="241" w:lineRule="auto"/>
              <w:ind w:left="22" w:firstLine="12"/>
            </w:pPr>
            <w:r>
              <w:rPr>
                <w:rFonts w:ascii="Arial" w:eastAsia="Arial" w:hAnsi="Arial" w:cs="Arial"/>
                <w:sz w:val="20"/>
              </w:rPr>
              <w:t xml:space="preserve">Consider patient referral to gastrointestinal specialist for evaluation and liver biopsy to establish etiology of hepatic injury </w:t>
            </w:r>
          </w:p>
          <w:p w14:paraId="3FB3140C" w14:textId="77777777" w:rsidR="000B3C5C" w:rsidRDefault="00ED192D">
            <w:pPr>
              <w:spacing w:after="56" w:line="243" w:lineRule="auto"/>
              <w:ind w:left="1469" w:hanging="1469"/>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oral prednisone or equivalent </w:t>
            </w:r>
          </w:p>
          <w:p w14:paraId="5414E10E" w14:textId="77777777" w:rsidR="000B3C5C" w:rsidRDefault="00ED192D">
            <w:pPr>
              <w:spacing w:after="58" w:line="241" w:lineRule="auto"/>
              <w:ind w:left="349" w:right="303" w:hanging="92"/>
              <w:jc w:val="both"/>
            </w:pPr>
            <w:r>
              <w:rPr>
                <w:rFonts w:ascii="Arial" w:eastAsia="Arial" w:hAnsi="Arial" w:cs="Arial"/>
                <w:sz w:val="20"/>
              </w:rPr>
              <w:t xml:space="preserve">If event does not improve within 48 hours after initiating corticosteroids, consider adding an immunosuppressive agent </w:t>
            </w:r>
          </w:p>
          <w:p w14:paraId="400AC7FA" w14:textId="77777777" w:rsidR="000B3C5C" w:rsidRDefault="00ED192D">
            <w:pPr>
              <w:spacing w:after="0" w:line="259" w:lineRule="auto"/>
              <w:ind w:left="855" w:hanging="485"/>
            </w:pPr>
            <w:r>
              <w:rPr>
                <w:rFonts w:ascii="Arial" w:eastAsia="Arial" w:hAnsi="Arial" w:cs="Arial"/>
                <w:sz w:val="20"/>
              </w:rPr>
              <w:t xml:space="preserve">If event resolves to Grade 1 or better, taper corticosteroids over </w:t>
            </w:r>
            <w:r>
              <w:rPr>
                <w:rFonts w:ascii="Segoe UI Symbol" w:eastAsia="Segoe UI Symbol" w:hAnsi="Segoe UI Symbol" w:cs="Segoe UI Symbol"/>
                <w:sz w:val="20"/>
              </w:rPr>
              <w:t></w:t>
            </w:r>
            <w:r>
              <w:rPr>
                <w:rFonts w:ascii="Arial" w:eastAsia="Arial" w:hAnsi="Arial" w:cs="Arial"/>
                <w:sz w:val="20"/>
              </w:rPr>
              <w:t xml:space="preserve">1 month </w:t>
            </w:r>
          </w:p>
        </w:tc>
      </w:tr>
    </w:tbl>
    <w:p w14:paraId="2B386DDC" w14:textId="77777777" w:rsidR="000B3C5C" w:rsidRDefault="00ED192D">
      <w:pPr>
        <w:spacing w:after="12"/>
        <w:ind w:left="-5" w:right="247"/>
      </w:pPr>
      <w:r>
        <w:rPr>
          <w:rFonts w:ascii="Arial" w:eastAsia="Arial" w:hAnsi="Arial" w:cs="Arial"/>
          <w:i/>
          <w:sz w:val="18"/>
        </w:rPr>
        <w:t xml:space="preserve">a </w:t>
      </w:r>
      <w:r>
        <w:rPr>
          <w:rFonts w:ascii="Arial" w:eastAsia="Arial" w:hAnsi="Arial" w:cs="Arial"/>
          <w:sz w:val="18"/>
        </w:rPr>
        <w:t xml:space="preserve">Atezolizumab may be withheld for a longer period of time (ie, </w:t>
      </w:r>
      <w:r>
        <w:rPr>
          <w:rFonts w:ascii="Segoe UI Symbol" w:eastAsia="Segoe UI Symbol" w:hAnsi="Segoe UI Symbol" w:cs="Segoe UI Symbol"/>
          <w:sz w:val="18"/>
        </w:rPr>
        <w:t></w:t>
      </w:r>
      <w:r>
        <w:rPr>
          <w:rFonts w:ascii="Arial" w:eastAsia="Arial" w:hAnsi="Arial" w:cs="Arial"/>
          <w:sz w:val="18"/>
        </w:rPr>
        <w:t xml:space="preserve"> 12 weeks after event onset) to allow for corticosteroids (if initiated) to be reduced to </w:t>
      </w:r>
      <w:r>
        <w:rPr>
          <w:rFonts w:ascii="Segoe UI Symbol" w:eastAsia="Segoe UI Symbol" w:hAnsi="Segoe UI Symbol" w:cs="Segoe UI Symbol"/>
          <w:sz w:val="18"/>
        </w:rPr>
        <w:t></w:t>
      </w:r>
      <w:r>
        <w:rPr>
          <w:rFonts w:ascii="Arial" w:eastAsia="Arial" w:hAnsi="Arial" w:cs="Arial"/>
          <w:sz w:val="18"/>
        </w:rPr>
        <w:t xml:space="preserve"> 10 mg/day oral prednisone or equivalent.  The acceptable length of the extended period of time must be agreed upon by the investigator and the Medical Monitor. </w:t>
      </w:r>
      <w:r>
        <w:rPr>
          <w:rFonts w:ascii="Arial" w:eastAsia="Arial" w:hAnsi="Arial" w:cs="Arial"/>
          <w:i/>
          <w:sz w:val="18"/>
        </w:rPr>
        <w:t xml:space="preserve">b </w:t>
      </w:r>
      <w:r>
        <w:rPr>
          <w:rFonts w:ascii="Arial" w:eastAsia="Arial" w:hAnsi="Arial" w:cs="Arial"/>
          <w:sz w:val="18"/>
        </w:rPr>
        <w:t xml:space="preserve">If corticosteroids have been initiated, they must be tapered over </w:t>
      </w:r>
      <w:r>
        <w:rPr>
          <w:rFonts w:ascii="Segoe UI Symbol" w:eastAsia="Segoe UI Symbol" w:hAnsi="Segoe UI Symbol" w:cs="Segoe UI Symbol"/>
          <w:sz w:val="18"/>
        </w:rPr>
        <w:t></w:t>
      </w:r>
      <w:r>
        <w:rPr>
          <w:rFonts w:ascii="Arial" w:eastAsia="Arial" w:hAnsi="Arial" w:cs="Arial"/>
          <w:sz w:val="18"/>
        </w:rPr>
        <w:t xml:space="preserve"> 1 month to </w:t>
      </w:r>
      <w:r>
        <w:rPr>
          <w:rFonts w:ascii="Segoe UI Symbol" w:eastAsia="Segoe UI Symbol" w:hAnsi="Segoe UI Symbol" w:cs="Segoe UI Symbol"/>
          <w:sz w:val="18"/>
        </w:rPr>
        <w:t></w:t>
      </w:r>
      <w:r>
        <w:rPr>
          <w:rFonts w:ascii="Arial" w:eastAsia="Arial" w:hAnsi="Arial" w:cs="Arial"/>
          <w:sz w:val="18"/>
        </w:rPr>
        <w:t xml:space="preserve"> 10 mg/day oral prednisone or equivalent before atezolizumab can be resumed. </w:t>
      </w:r>
    </w:p>
    <w:p w14:paraId="2EDB6452" w14:textId="77777777" w:rsidR="000B3C5C" w:rsidRDefault="00ED192D">
      <w:pPr>
        <w:spacing w:after="12"/>
        <w:ind w:left="-5" w:right="436"/>
      </w:pPr>
      <w:r>
        <w:rPr>
          <w:rFonts w:ascii="Arial" w:eastAsia="Arial" w:hAnsi="Arial" w:cs="Arial"/>
          <w:i/>
          <w:sz w:val="18"/>
        </w:rPr>
        <w:t xml:space="preserve">c </w:t>
      </w: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Abbreviation: LFT = liver function tests. </w:t>
      </w:r>
    </w:p>
    <w:p w14:paraId="31A457A3" w14:textId="77777777" w:rsidR="000B3C5C" w:rsidRDefault="00ED192D">
      <w:pPr>
        <w:pStyle w:val="Heading3"/>
        <w:spacing w:after="231"/>
        <w:ind w:left="-5" w:right="51"/>
      </w:pPr>
      <w:r>
        <w:rPr>
          <w:rFonts w:ascii="Times New Roman" w:eastAsia="Times New Roman" w:hAnsi="Times New Roman" w:cs="Times New Roman"/>
          <w:sz w:val="24"/>
        </w:rPr>
        <w:t xml:space="preserve">Gastrointestinal Events </w:t>
      </w:r>
    </w:p>
    <w:p w14:paraId="08C2C463" w14:textId="77777777" w:rsidR="000B3C5C" w:rsidRDefault="00ED192D">
      <w:pPr>
        <w:ind w:left="-3" w:right="14"/>
      </w:pPr>
      <w:r>
        <w:t xml:space="preserve">Management guidelines for diarrhea or colitis are provided in </w:t>
      </w:r>
      <w:r>
        <w:rPr>
          <w:color w:val="0000FF"/>
        </w:rPr>
        <w:t>Table 19</w:t>
      </w:r>
      <w:r>
        <w:t xml:space="preserve">. </w:t>
      </w:r>
    </w:p>
    <w:p w14:paraId="32F4B7F9" w14:textId="77777777" w:rsidR="000B3C5C" w:rsidRDefault="00ED192D">
      <w:pPr>
        <w:spacing w:after="314"/>
        <w:ind w:left="-3" w:right="14"/>
      </w:pPr>
      <w:r>
        <w:t xml:space="preserve">All events of diarrhea or colitis should be thoroughly evaluated for other more common etiologies.  </w:t>
      </w:r>
    </w:p>
    <w:p w14:paraId="71429329" w14:textId="77777777" w:rsidR="000B3C5C" w:rsidRDefault="00ED192D">
      <w:pPr>
        <w:spacing w:after="4" w:line="250" w:lineRule="auto"/>
        <w:ind w:left="15" w:right="45"/>
        <w:jc w:val="center"/>
      </w:pPr>
      <w:r>
        <w:rPr>
          <w:rFonts w:ascii="Arial" w:eastAsia="Arial" w:hAnsi="Arial" w:cs="Arial"/>
          <w:b/>
          <w:sz w:val="20"/>
        </w:rPr>
        <w:t xml:space="preserve">Table 19 - Management Guidelines for Gastrointestinal Events (Diarrhea or Colitis)  </w:t>
      </w:r>
    </w:p>
    <w:tbl>
      <w:tblPr>
        <w:tblStyle w:val="TableGrid"/>
        <w:tblW w:w="9686" w:type="dxa"/>
        <w:tblInd w:w="-108" w:type="dxa"/>
        <w:tblCellMar>
          <w:top w:w="44" w:type="dxa"/>
          <w:left w:w="0" w:type="dxa"/>
          <w:bottom w:w="25" w:type="dxa"/>
          <w:right w:w="68" w:type="dxa"/>
        </w:tblCellMar>
        <w:tblLook w:val="04A0" w:firstRow="1" w:lastRow="0" w:firstColumn="1" w:lastColumn="0" w:noHBand="0" w:noVBand="1"/>
      </w:tblPr>
      <w:tblGrid>
        <w:gridCol w:w="1498"/>
        <w:gridCol w:w="1808"/>
        <w:gridCol w:w="2859"/>
        <w:gridCol w:w="3521"/>
      </w:tblGrid>
      <w:tr w:rsidR="000B3C5C" w14:paraId="5E6F8D01" w14:textId="77777777">
        <w:trPr>
          <w:trHeight w:val="509"/>
        </w:trPr>
        <w:tc>
          <w:tcPr>
            <w:tcW w:w="1498" w:type="dxa"/>
            <w:tcBorders>
              <w:top w:val="single" w:sz="4" w:space="0" w:color="000000"/>
              <w:left w:val="nil"/>
              <w:bottom w:val="single" w:sz="4" w:space="0" w:color="000000"/>
              <w:right w:val="nil"/>
            </w:tcBorders>
            <w:vAlign w:val="bottom"/>
          </w:tcPr>
          <w:p w14:paraId="22148595" w14:textId="77777777" w:rsidR="000B3C5C" w:rsidRDefault="00ED192D">
            <w:pPr>
              <w:spacing w:after="0" w:line="259" w:lineRule="auto"/>
              <w:ind w:left="0" w:right="65" w:firstLine="0"/>
              <w:jc w:val="center"/>
            </w:pPr>
            <w:r>
              <w:rPr>
                <w:rFonts w:ascii="Arial" w:eastAsia="Arial" w:hAnsi="Arial" w:cs="Arial"/>
                <w:b/>
                <w:sz w:val="20"/>
              </w:rPr>
              <w:t xml:space="preserve">Event </w:t>
            </w:r>
          </w:p>
        </w:tc>
        <w:tc>
          <w:tcPr>
            <w:tcW w:w="1808" w:type="dxa"/>
            <w:tcBorders>
              <w:top w:val="single" w:sz="4" w:space="0" w:color="000000"/>
              <w:left w:val="nil"/>
              <w:bottom w:val="single" w:sz="4" w:space="0" w:color="000000"/>
              <w:right w:val="nil"/>
            </w:tcBorders>
          </w:tcPr>
          <w:p w14:paraId="08555802" w14:textId="77777777" w:rsidR="000B3C5C" w:rsidRDefault="00ED192D">
            <w:pPr>
              <w:spacing w:after="0" w:line="259" w:lineRule="auto"/>
              <w:ind w:left="154" w:firstLine="94"/>
            </w:pPr>
            <w:r>
              <w:rPr>
                <w:rFonts w:ascii="Arial" w:eastAsia="Arial" w:hAnsi="Arial" w:cs="Arial"/>
                <w:b/>
                <w:sz w:val="20"/>
              </w:rPr>
              <w:t xml:space="preserve">Isatuximab management </w:t>
            </w:r>
          </w:p>
        </w:tc>
        <w:tc>
          <w:tcPr>
            <w:tcW w:w="2859" w:type="dxa"/>
            <w:tcBorders>
              <w:top w:val="single" w:sz="4" w:space="0" w:color="000000"/>
              <w:left w:val="nil"/>
              <w:bottom w:val="single" w:sz="4" w:space="0" w:color="000000"/>
              <w:right w:val="nil"/>
            </w:tcBorders>
          </w:tcPr>
          <w:p w14:paraId="4D1E0504" w14:textId="77777777" w:rsidR="000B3C5C" w:rsidRDefault="00ED192D">
            <w:pPr>
              <w:spacing w:after="0" w:line="259" w:lineRule="auto"/>
              <w:ind w:left="14" w:firstLine="0"/>
            </w:pPr>
            <w:r>
              <w:rPr>
                <w:rFonts w:ascii="Arial" w:eastAsia="Arial" w:hAnsi="Arial" w:cs="Arial"/>
                <w:b/>
                <w:sz w:val="20"/>
              </w:rPr>
              <w:t xml:space="preserve">Atezolizumab management </w:t>
            </w:r>
          </w:p>
        </w:tc>
        <w:tc>
          <w:tcPr>
            <w:tcW w:w="3521" w:type="dxa"/>
            <w:tcBorders>
              <w:top w:val="single" w:sz="4" w:space="0" w:color="000000"/>
              <w:left w:val="nil"/>
              <w:bottom w:val="single" w:sz="4" w:space="0" w:color="000000"/>
              <w:right w:val="nil"/>
            </w:tcBorders>
            <w:vAlign w:val="bottom"/>
          </w:tcPr>
          <w:p w14:paraId="13B33E73" w14:textId="77777777" w:rsidR="000B3C5C" w:rsidRDefault="00ED192D">
            <w:pPr>
              <w:spacing w:after="0" w:line="259" w:lineRule="auto"/>
              <w:ind w:left="0" w:right="48" w:firstLine="0"/>
              <w:jc w:val="center"/>
            </w:pPr>
            <w:r>
              <w:rPr>
                <w:rFonts w:ascii="Arial" w:eastAsia="Arial" w:hAnsi="Arial" w:cs="Arial"/>
                <w:b/>
                <w:sz w:val="20"/>
              </w:rPr>
              <w:t xml:space="preserve">Action and guidance </w:t>
            </w:r>
          </w:p>
        </w:tc>
      </w:tr>
      <w:tr w:rsidR="000B3C5C" w14:paraId="7A2CFB5C" w14:textId="77777777">
        <w:trPr>
          <w:trHeight w:val="1038"/>
        </w:trPr>
        <w:tc>
          <w:tcPr>
            <w:tcW w:w="1498" w:type="dxa"/>
            <w:tcBorders>
              <w:top w:val="single" w:sz="4" w:space="0" w:color="000000"/>
              <w:left w:val="nil"/>
              <w:bottom w:val="nil"/>
              <w:right w:val="nil"/>
            </w:tcBorders>
          </w:tcPr>
          <w:p w14:paraId="78814749" w14:textId="77777777" w:rsidR="000B3C5C" w:rsidRDefault="00ED192D">
            <w:pPr>
              <w:spacing w:after="0" w:line="259" w:lineRule="auto"/>
              <w:ind w:left="137" w:firstLine="137"/>
            </w:pPr>
            <w:r>
              <w:rPr>
                <w:rFonts w:ascii="Arial" w:eastAsia="Arial" w:hAnsi="Arial" w:cs="Arial"/>
                <w:sz w:val="20"/>
              </w:rPr>
              <w:t xml:space="preserve">Diarrhea or colitis, Grade 1 </w:t>
            </w:r>
          </w:p>
        </w:tc>
        <w:tc>
          <w:tcPr>
            <w:tcW w:w="1808" w:type="dxa"/>
            <w:tcBorders>
              <w:top w:val="single" w:sz="4" w:space="0" w:color="000000"/>
              <w:left w:val="nil"/>
              <w:bottom w:val="nil"/>
              <w:right w:val="nil"/>
            </w:tcBorders>
          </w:tcPr>
          <w:p w14:paraId="1298B941" w14:textId="77777777" w:rsidR="000B3C5C" w:rsidRDefault="00ED192D">
            <w:pPr>
              <w:spacing w:after="0" w:line="259" w:lineRule="auto"/>
              <w:ind w:left="86" w:firstLine="0"/>
            </w:pPr>
            <w:r>
              <w:rPr>
                <w:rFonts w:ascii="Arial" w:eastAsia="Arial" w:hAnsi="Arial" w:cs="Arial"/>
                <w:sz w:val="20"/>
              </w:rPr>
              <w:t xml:space="preserve">No change in dose </w:t>
            </w:r>
          </w:p>
        </w:tc>
        <w:tc>
          <w:tcPr>
            <w:tcW w:w="2859" w:type="dxa"/>
            <w:tcBorders>
              <w:top w:val="single" w:sz="4" w:space="0" w:color="000000"/>
              <w:left w:val="nil"/>
              <w:bottom w:val="nil"/>
              <w:right w:val="nil"/>
            </w:tcBorders>
          </w:tcPr>
          <w:p w14:paraId="08079E26" w14:textId="77777777" w:rsidR="000B3C5C" w:rsidRDefault="00ED192D">
            <w:pPr>
              <w:spacing w:after="0" w:line="259" w:lineRule="auto"/>
              <w:ind w:left="620" w:firstLine="0"/>
            </w:pPr>
            <w:r>
              <w:rPr>
                <w:rFonts w:ascii="Arial" w:eastAsia="Arial" w:hAnsi="Arial" w:cs="Arial"/>
                <w:sz w:val="20"/>
              </w:rPr>
              <w:t xml:space="preserve">No change in dose </w:t>
            </w:r>
          </w:p>
        </w:tc>
        <w:tc>
          <w:tcPr>
            <w:tcW w:w="3521" w:type="dxa"/>
            <w:tcBorders>
              <w:top w:val="single" w:sz="4" w:space="0" w:color="000000"/>
              <w:left w:val="nil"/>
              <w:bottom w:val="nil"/>
              <w:right w:val="nil"/>
            </w:tcBorders>
          </w:tcPr>
          <w:p w14:paraId="274ADFBD" w14:textId="77777777" w:rsidR="000B3C5C" w:rsidRDefault="00ED192D">
            <w:pPr>
              <w:spacing w:after="2" w:line="259" w:lineRule="auto"/>
              <w:ind w:left="0" w:right="48" w:firstLine="0"/>
              <w:jc w:val="center"/>
            </w:pPr>
            <w:r>
              <w:rPr>
                <w:rFonts w:ascii="Arial" w:eastAsia="Arial" w:hAnsi="Arial" w:cs="Arial"/>
                <w:sz w:val="20"/>
              </w:rPr>
              <w:t xml:space="preserve">Initiate symptomatic treatment </w:t>
            </w:r>
          </w:p>
          <w:p w14:paraId="7E761785" w14:textId="77777777" w:rsidR="000B3C5C" w:rsidRDefault="00ED192D">
            <w:pPr>
              <w:spacing w:after="8" w:line="223" w:lineRule="auto"/>
              <w:ind w:left="1025" w:hanging="816"/>
            </w:pPr>
            <w:r>
              <w:rPr>
                <w:rFonts w:ascii="Arial" w:eastAsia="Arial" w:hAnsi="Arial" w:cs="Arial"/>
                <w:sz w:val="20"/>
              </w:rPr>
              <w:t xml:space="preserve">Endoscopy is recommended if symptoms persist for </w:t>
            </w:r>
            <w:r>
              <w:rPr>
                <w:rFonts w:ascii="Segoe UI Symbol" w:eastAsia="Segoe UI Symbol" w:hAnsi="Segoe UI Symbol" w:cs="Segoe UI Symbol"/>
                <w:sz w:val="20"/>
              </w:rPr>
              <w:t></w:t>
            </w:r>
            <w:r>
              <w:rPr>
                <w:rFonts w:ascii="Arial" w:eastAsia="Arial" w:hAnsi="Arial" w:cs="Arial"/>
                <w:sz w:val="20"/>
              </w:rPr>
              <w:t xml:space="preserve">7 days </w:t>
            </w:r>
          </w:p>
          <w:p w14:paraId="13713C8F" w14:textId="77777777" w:rsidR="000B3C5C" w:rsidRDefault="00ED192D">
            <w:pPr>
              <w:spacing w:after="0" w:line="259" w:lineRule="auto"/>
              <w:ind w:left="0" w:right="48" w:firstLine="0"/>
              <w:jc w:val="center"/>
            </w:pPr>
            <w:r>
              <w:rPr>
                <w:rFonts w:ascii="Arial" w:eastAsia="Arial" w:hAnsi="Arial" w:cs="Arial"/>
                <w:sz w:val="20"/>
              </w:rPr>
              <w:t xml:space="preserve">Monitor closely </w:t>
            </w:r>
          </w:p>
        </w:tc>
      </w:tr>
      <w:tr w:rsidR="000B3C5C" w14:paraId="0E8834E9" w14:textId="77777777">
        <w:trPr>
          <w:trHeight w:val="2039"/>
        </w:trPr>
        <w:tc>
          <w:tcPr>
            <w:tcW w:w="1498" w:type="dxa"/>
            <w:tcBorders>
              <w:top w:val="nil"/>
              <w:left w:val="nil"/>
              <w:bottom w:val="nil"/>
              <w:right w:val="nil"/>
            </w:tcBorders>
          </w:tcPr>
          <w:p w14:paraId="2AB3E837" w14:textId="77777777" w:rsidR="000B3C5C" w:rsidRDefault="00ED192D">
            <w:pPr>
              <w:spacing w:after="0" w:line="259" w:lineRule="auto"/>
              <w:ind w:left="137" w:firstLine="137"/>
            </w:pPr>
            <w:r>
              <w:rPr>
                <w:rFonts w:ascii="Arial" w:eastAsia="Arial" w:hAnsi="Arial" w:cs="Arial"/>
                <w:sz w:val="20"/>
              </w:rPr>
              <w:t xml:space="preserve">Diarrhea or colitis, Grade 2 </w:t>
            </w:r>
          </w:p>
        </w:tc>
        <w:tc>
          <w:tcPr>
            <w:tcW w:w="1808" w:type="dxa"/>
            <w:tcBorders>
              <w:top w:val="nil"/>
              <w:left w:val="nil"/>
              <w:bottom w:val="nil"/>
              <w:right w:val="nil"/>
            </w:tcBorders>
          </w:tcPr>
          <w:p w14:paraId="52E0601E" w14:textId="77777777" w:rsidR="000B3C5C" w:rsidRDefault="00ED192D">
            <w:pPr>
              <w:spacing w:after="2" w:line="239" w:lineRule="auto"/>
              <w:ind w:left="82" w:firstLine="5"/>
            </w:pPr>
            <w:r>
              <w:rPr>
                <w:rFonts w:ascii="Arial" w:eastAsia="Arial" w:hAnsi="Arial" w:cs="Arial"/>
                <w:sz w:val="20"/>
              </w:rPr>
              <w:t xml:space="preserve">Delay or omit dose until ≤Grade1 for a </w:t>
            </w:r>
          </w:p>
          <w:p w14:paraId="04D44C73" w14:textId="77777777" w:rsidR="000B3C5C" w:rsidRDefault="00ED192D">
            <w:pPr>
              <w:spacing w:after="0" w:line="259" w:lineRule="auto"/>
              <w:ind w:left="0" w:firstLine="0"/>
            </w:pPr>
            <w:r>
              <w:rPr>
                <w:rFonts w:ascii="Arial" w:eastAsia="Arial" w:hAnsi="Arial" w:cs="Arial"/>
                <w:sz w:val="20"/>
              </w:rPr>
              <w:t xml:space="preserve">maximum of 2 weeks </w:t>
            </w:r>
          </w:p>
          <w:p w14:paraId="5F857A51" w14:textId="77777777" w:rsidR="000B3C5C" w:rsidRDefault="00ED192D">
            <w:pPr>
              <w:spacing w:after="0" w:line="259" w:lineRule="auto"/>
              <w:ind w:left="82"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859" w:type="dxa"/>
            <w:tcBorders>
              <w:top w:val="nil"/>
              <w:left w:val="nil"/>
              <w:bottom w:val="nil"/>
              <w:right w:val="nil"/>
            </w:tcBorders>
          </w:tcPr>
          <w:p w14:paraId="1EB26B84" w14:textId="77777777" w:rsidR="000B3C5C" w:rsidRDefault="00ED192D">
            <w:pPr>
              <w:spacing w:after="0" w:line="259" w:lineRule="auto"/>
              <w:ind w:left="295" w:firstLine="0"/>
            </w:pPr>
            <w:r>
              <w:rPr>
                <w:rFonts w:ascii="Arial" w:eastAsia="Arial" w:hAnsi="Arial" w:cs="Arial"/>
                <w:sz w:val="20"/>
              </w:rPr>
              <w:t>Delay cycle until Grade ≤1</w:t>
            </w:r>
            <w:r>
              <w:rPr>
                <w:rFonts w:ascii="Arial" w:eastAsia="Arial" w:hAnsi="Arial" w:cs="Arial"/>
                <w:i/>
                <w:color w:val="0000FF"/>
                <w:sz w:val="28"/>
                <w:vertAlign w:val="superscript"/>
              </w:rPr>
              <w:t>a</w:t>
            </w:r>
            <w:r>
              <w:rPr>
                <w:rFonts w:ascii="Arial" w:eastAsia="Arial" w:hAnsi="Arial" w:cs="Arial"/>
                <w:sz w:val="20"/>
              </w:rPr>
              <w:t xml:space="preserve"> </w:t>
            </w:r>
          </w:p>
          <w:p w14:paraId="3DD3649F" w14:textId="77777777" w:rsidR="000B3C5C" w:rsidRDefault="00ED192D">
            <w:pPr>
              <w:spacing w:after="0" w:line="230" w:lineRule="auto"/>
              <w:ind w:left="110" w:firstLine="91"/>
            </w:pPr>
            <w:r>
              <w:rPr>
                <w:rFonts w:ascii="Arial" w:eastAsia="Arial" w:hAnsi="Arial" w:cs="Arial"/>
                <w:sz w:val="20"/>
              </w:rPr>
              <w:t>If event resolves to Grade 1 or better, resume atezolizumab and isatuximab</w:t>
            </w:r>
            <w:r>
              <w:rPr>
                <w:rFonts w:ascii="Arial" w:eastAsia="Arial" w:hAnsi="Arial" w:cs="Arial"/>
                <w:i/>
                <w:color w:val="0000FF"/>
                <w:sz w:val="28"/>
                <w:vertAlign w:val="superscript"/>
              </w:rPr>
              <w:t>b</w:t>
            </w:r>
            <w:r>
              <w:rPr>
                <w:rFonts w:ascii="Arial" w:eastAsia="Arial" w:hAnsi="Arial" w:cs="Arial"/>
                <w:sz w:val="20"/>
              </w:rPr>
              <w:t xml:space="preserve"> </w:t>
            </w:r>
          </w:p>
          <w:p w14:paraId="71C7EE0B" w14:textId="77777777" w:rsidR="000B3C5C" w:rsidRDefault="00ED192D">
            <w:pPr>
              <w:spacing w:after="64" w:line="240" w:lineRule="auto"/>
              <w:ind w:left="65" w:hanging="65"/>
            </w:pPr>
            <w:r>
              <w:rPr>
                <w:rFonts w:ascii="Arial" w:eastAsia="Arial" w:hAnsi="Arial" w:cs="Arial"/>
                <w:sz w:val="20"/>
              </w:rPr>
              <w:t xml:space="preserve">If event does not resolve to Grade 1 or better, permanently discontinue atezolizumab and resume </w:t>
            </w:r>
          </w:p>
          <w:p w14:paraId="1E040460" w14:textId="77777777" w:rsidR="000B3C5C" w:rsidRDefault="00ED192D">
            <w:pPr>
              <w:spacing w:after="0" w:line="259" w:lineRule="auto"/>
              <w:ind w:left="0" w:right="182" w:firstLine="0"/>
              <w:jc w:val="center"/>
            </w:pPr>
            <w:r>
              <w:rPr>
                <w:rFonts w:ascii="Arial" w:eastAsia="Arial" w:hAnsi="Arial" w:cs="Arial"/>
                <w:sz w:val="20"/>
              </w:rPr>
              <w:t>isatuximab</w:t>
            </w:r>
            <w:r>
              <w:rPr>
                <w:rFonts w:ascii="Arial" w:eastAsia="Arial" w:hAnsi="Arial" w:cs="Arial"/>
                <w:i/>
                <w:color w:val="0000FF"/>
                <w:sz w:val="28"/>
                <w:vertAlign w:val="superscript"/>
              </w:rPr>
              <w:t>c</w:t>
            </w:r>
            <w:r>
              <w:rPr>
                <w:rFonts w:ascii="Arial" w:eastAsia="Arial" w:hAnsi="Arial" w:cs="Arial"/>
                <w:sz w:val="20"/>
              </w:rPr>
              <w:t xml:space="preserve"> </w:t>
            </w:r>
          </w:p>
        </w:tc>
        <w:tc>
          <w:tcPr>
            <w:tcW w:w="3521" w:type="dxa"/>
            <w:tcBorders>
              <w:top w:val="nil"/>
              <w:left w:val="nil"/>
              <w:bottom w:val="nil"/>
              <w:right w:val="nil"/>
            </w:tcBorders>
          </w:tcPr>
          <w:p w14:paraId="1B288B67" w14:textId="77777777" w:rsidR="000B3C5C" w:rsidRDefault="00ED192D">
            <w:pPr>
              <w:spacing w:after="2" w:line="259" w:lineRule="auto"/>
              <w:ind w:left="0" w:right="51" w:firstLine="0"/>
              <w:jc w:val="center"/>
            </w:pPr>
            <w:r>
              <w:rPr>
                <w:rFonts w:ascii="Arial" w:eastAsia="Arial" w:hAnsi="Arial" w:cs="Arial"/>
                <w:sz w:val="20"/>
              </w:rPr>
              <w:t xml:space="preserve">Initiate symptomatic treatment. </w:t>
            </w:r>
          </w:p>
          <w:p w14:paraId="7D78AE8E" w14:textId="77777777" w:rsidR="000B3C5C" w:rsidRDefault="00ED192D">
            <w:pPr>
              <w:spacing w:after="17" w:line="241" w:lineRule="auto"/>
              <w:ind w:left="1178" w:hanging="655"/>
            </w:pPr>
            <w:r>
              <w:rPr>
                <w:rFonts w:ascii="Arial" w:eastAsia="Arial" w:hAnsi="Arial" w:cs="Arial"/>
                <w:sz w:val="20"/>
              </w:rPr>
              <w:t xml:space="preserve">Patient referral to GI specialist is recommended </w:t>
            </w:r>
          </w:p>
          <w:p w14:paraId="19CD6A03" w14:textId="77777777" w:rsidR="000B3C5C" w:rsidRDefault="00ED192D">
            <w:pPr>
              <w:spacing w:after="15" w:line="241" w:lineRule="auto"/>
              <w:ind w:left="377" w:firstLine="67"/>
            </w:pPr>
            <w:r>
              <w:rPr>
                <w:rFonts w:ascii="Arial" w:eastAsia="Arial" w:hAnsi="Arial" w:cs="Arial"/>
                <w:sz w:val="20"/>
              </w:rPr>
              <w:t xml:space="preserve">For recurrent events or events that persist 5 days, initiate treatment with </w:t>
            </w:r>
          </w:p>
          <w:p w14:paraId="7868A245" w14:textId="77777777" w:rsidR="000B3C5C" w:rsidRDefault="00ED192D">
            <w:pPr>
              <w:spacing w:after="35" w:line="259" w:lineRule="auto"/>
              <w:ind w:left="77" w:firstLine="0"/>
            </w:pPr>
            <w:r>
              <w:rPr>
                <w:rFonts w:ascii="Arial" w:eastAsia="Arial" w:hAnsi="Arial" w:cs="Arial"/>
                <w:sz w:val="20"/>
              </w:rPr>
              <w:t>1</w:t>
            </w:r>
            <w:r>
              <w:rPr>
                <w:rFonts w:ascii="Segoe UI Symbol" w:eastAsia="Segoe UI Symbol" w:hAnsi="Segoe UI Symbol" w:cs="Segoe UI Symbol"/>
                <w:sz w:val="20"/>
              </w:rPr>
              <w:t>−</w:t>
            </w:r>
            <w:r>
              <w:rPr>
                <w:rFonts w:ascii="Arial" w:eastAsia="Arial" w:hAnsi="Arial" w:cs="Arial"/>
                <w:sz w:val="20"/>
              </w:rPr>
              <w:t xml:space="preserve">2 mg/kg/day oral prednisone or equivalent </w:t>
            </w:r>
          </w:p>
          <w:p w14:paraId="61261F36" w14:textId="77777777" w:rsidR="000B3C5C" w:rsidRDefault="00ED192D">
            <w:pPr>
              <w:spacing w:after="0" w:line="259" w:lineRule="auto"/>
              <w:ind w:left="0" w:right="47"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70453BD7" w14:textId="77777777">
        <w:trPr>
          <w:trHeight w:val="2039"/>
        </w:trPr>
        <w:tc>
          <w:tcPr>
            <w:tcW w:w="1498" w:type="dxa"/>
            <w:tcBorders>
              <w:top w:val="nil"/>
              <w:left w:val="nil"/>
              <w:bottom w:val="nil"/>
              <w:right w:val="nil"/>
            </w:tcBorders>
          </w:tcPr>
          <w:p w14:paraId="1A627D67" w14:textId="77777777" w:rsidR="000B3C5C" w:rsidRDefault="00ED192D">
            <w:pPr>
              <w:spacing w:after="0" w:line="259" w:lineRule="auto"/>
              <w:ind w:left="137" w:firstLine="137"/>
            </w:pPr>
            <w:r>
              <w:rPr>
                <w:rFonts w:ascii="Arial" w:eastAsia="Arial" w:hAnsi="Arial" w:cs="Arial"/>
                <w:sz w:val="20"/>
              </w:rPr>
              <w:t xml:space="preserve">Diarrhea or colitis, Grade 3 </w:t>
            </w:r>
          </w:p>
        </w:tc>
        <w:tc>
          <w:tcPr>
            <w:tcW w:w="1808" w:type="dxa"/>
            <w:tcBorders>
              <w:top w:val="nil"/>
              <w:left w:val="nil"/>
              <w:bottom w:val="nil"/>
              <w:right w:val="nil"/>
            </w:tcBorders>
          </w:tcPr>
          <w:p w14:paraId="4F719915" w14:textId="77777777" w:rsidR="000B3C5C" w:rsidRDefault="00ED192D">
            <w:pPr>
              <w:spacing w:after="2" w:line="239" w:lineRule="auto"/>
              <w:ind w:left="58" w:firstLine="29"/>
            </w:pPr>
            <w:r>
              <w:rPr>
                <w:rFonts w:ascii="Arial" w:eastAsia="Arial" w:hAnsi="Arial" w:cs="Arial"/>
                <w:sz w:val="20"/>
              </w:rPr>
              <w:t xml:space="preserve">Delay or omit dose until ≤Grade 1 for a </w:t>
            </w:r>
          </w:p>
          <w:p w14:paraId="540A8B1A" w14:textId="77777777" w:rsidR="000B3C5C" w:rsidRDefault="00ED192D">
            <w:pPr>
              <w:spacing w:after="0" w:line="259" w:lineRule="auto"/>
              <w:ind w:left="0" w:firstLine="0"/>
            </w:pPr>
            <w:r>
              <w:rPr>
                <w:rFonts w:ascii="Arial" w:eastAsia="Arial" w:hAnsi="Arial" w:cs="Arial"/>
                <w:sz w:val="20"/>
              </w:rPr>
              <w:t xml:space="preserve">maximum of 2 weeks </w:t>
            </w:r>
          </w:p>
          <w:p w14:paraId="3387416F" w14:textId="77777777" w:rsidR="000B3C5C" w:rsidRDefault="00ED192D">
            <w:pPr>
              <w:spacing w:after="0" w:line="259" w:lineRule="auto"/>
              <w:ind w:left="82"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859" w:type="dxa"/>
            <w:tcBorders>
              <w:top w:val="nil"/>
              <w:left w:val="nil"/>
              <w:bottom w:val="nil"/>
              <w:right w:val="nil"/>
            </w:tcBorders>
          </w:tcPr>
          <w:p w14:paraId="66E602C2" w14:textId="77777777" w:rsidR="000B3C5C" w:rsidRDefault="00ED192D">
            <w:pPr>
              <w:spacing w:after="0" w:line="259" w:lineRule="auto"/>
              <w:ind w:left="283" w:firstLine="0"/>
            </w:pPr>
            <w:r>
              <w:rPr>
                <w:rFonts w:ascii="Arial" w:eastAsia="Arial" w:hAnsi="Arial" w:cs="Arial"/>
                <w:sz w:val="20"/>
              </w:rPr>
              <w:t xml:space="preserve"> Delay dose until Grade ≤1</w:t>
            </w:r>
            <w:r>
              <w:rPr>
                <w:rFonts w:ascii="Arial" w:eastAsia="Arial" w:hAnsi="Arial" w:cs="Arial"/>
                <w:i/>
                <w:color w:val="0000FF"/>
                <w:sz w:val="28"/>
                <w:vertAlign w:val="superscript"/>
              </w:rPr>
              <w:t>a</w:t>
            </w:r>
            <w:r>
              <w:rPr>
                <w:rFonts w:ascii="Arial" w:eastAsia="Arial" w:hAnsi="Arial" w:cs="Arial"/>
                <w:sz w:val="20"/>
              </w:rPr>
              <w:t xml:space="preserve"> </w:t>
            </w:r>
          </w:p>
          <w:p w14:paraId="2104B89A" w14:textId="77777777" w:rsidR="000B3C5C" w:rsidRDefault="00ED192D">
            <w:pPr>
              <w:spacing w:after="0" w:line="230" w:lineRule="auto"/>
              <w:ind w:left="110" w:firstLine="91"/>
            </w:pPr>
            <w:r>
              <w:rPr>
                <w:rFonts w:ascii="Arial" w:eastAsia="Arial" w:hAnsi="Arial" w:cs="Arial"/>
                <w:sz w:val="20"/>
              </w:rPr>
              <w:t>If event resolves to Grade 1 or better, resume atezolizumab and isatuximab</w:t>
            </w:r>
            <w:r>
              <w:rPr>
                <w:rFonts w:ascii="Arial" w:eastAsia="Arial" w:hAnsi="Arial" w:cs="Arial"/>
                <w:i/>
                <w:color w:val="0000FF"/>
                <w:sz w:val="28"/>
                <w:vertAlign w:val="superscript"/>
              </w:rPr>
              <w:t>b</w:t>
            </w:r>
            <w:r>
              <w:rPr>
                <w:rFonts w:ascii="Arial" w:eastAsia="Arial" w:hAnsi="Arial" w:cs="Arial"/>
                <w:sz w:val="20"/>
              </w:rPr>
              <w:t xml:space="preserve"> </w:t>
            </w:r>
          </w:p>
          <w:p w14:paraId="4D2AA38B" w14:textId="77777777" w:rsidR="000B3C5C" w:rsidRDefault="00ED192D">
            <w:pPr>
              <w:spacing w:after="64" w:line="240" w:lineRule="auto"/>
              <w:ind w:left="65" w:hanging="65"/>
            </w:pPr>
            <w:r>
              <w:rPr>
                <w:rFonts w:ascii="Arial" w:eastAsia="Arial" w:hAnsi="Arial" w:cs="Arial"/>
                <w:sz w:val="20"/>
              </w:rPr>
              <w:t xml:space="preserve">If event does not resolve to Grade 1 or better, permanently discontinue atezolizumab and resume </w:t>
            </w:r>
          </w:p>
          <w:p w14:paraId="77D0DCCA" w14:textId="77777777" w:rsidR="000B3C5C" w:rsidRDefault="00ED192D">
            <w:pPr>
              <w:spacing w:after="0" w:line="259" w:lineRule="auto"/>
              <w:ind w:left="0" w:right="182" w:firstLine="0"/>
              <w:jc w:val="center"/>
            </w:pPr>
            <w:r>
              <w:rPr>
                <w:rFonts w:ascii="Arial" w:eastAsia="Arial" w:hAnsi="Arial" w:cs="Arial"/>
                <w:sz w:val="20"/>
              </w:rPr>
              <w:t>isatuximab</w:t>
            </w:r>
            <w:r>
              <w:rPr>
                <w:rFonts w:ascii="Arial" w:eastAsia="Arial" w:hAnsi="Arial" w:cs="Arial"/>
                <w:i/>
                <w:color w:val="0000FF"/>
                <w:sz w:val="28"/>
                <w:vertAlign w:val="superscript"/>
              </w:rPr>
              <w:t>c</w:t>
            </w:r>
            <w:r>
              <w:rPr>
                <w:rFonts w:ascii="Arial" w:eastAsia="Arial" w:hAnsi="Arial" w:cs="Arial"/>
                <w:sz w:val="20"/>
              </w:rPr>
              <w:t xml:space="preserve"> </w:t>
            </w:r>
          </w:p>
        </w:tc>
        <w:tc>
          <w:tcPr>
            <w:tcW w:w="3521" w:type="dxa"/>
            <w:tcBorders>
              <w:top w:val="nil"/>
              <w:left w:val="nil"/>
              <w:bottom w:val="nil"/>
              <w:right w:val="nil"/>
            </w:tcBorders>
          </w:tcPr>
          <w:p w14:paraId="22B334A9" w14:textId="77777777" w:rsidR="000B3C5C" w:rsidRDefault="00ED192D">
            <w:pPr>
              <w:spacing w:after="31" w:line="241" w:lineRule="auto"/>
              <w:ind w:left="970" w:hanging="970"/>
            </w:pPr>
            <w:r>
              <w:rPr>
                <w:rFonts w:ascii="Arial" w:eastAsia="Arial" w:hAnsi="Arial" w:cs="Arial"/>
                <w:sz w:val="20"/>
              </w:rPr>
              <w:t xml:space="preserve">Refer patient to GI specialist for evaluation and confirmatory biopsy. </w:t>
            </w:r>
          </w:p>
          <w:p w14:paraId="4FF7F3DC" w14:textId="77777777" w:rsidR="000B3C5C" w:rsidRDefault="00ED192D">
            <w:pPr>
              <w:spacing w:after="94" w:line="236" w:lineRule="auto"/>
              <w:ind w:left="48" w:firstLine="206"/>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2 mg/kg/day IV methylprednisolone or equivalent and convert to 1</w:t>
            </w:r>
            <w:r>
              <w:rPr>
                <w:rFonts w:ascii="Segoe UI Symbol" w:eastAsia="Segoe UI Symbol" w:hAnsi="Segoe UI Symbol" w:cs="Segoe UI Symbol"/>
                <w:sz w:val="20"/>
              </w:rPr>
              <w:t>−</w:t>
            </w:r>
            <w:r>
              <w:rPr>
                <w:rFonts w:ascii="Arial" w:eastAsia="Arial" w:hAnsi="Arial" w:cs="Arial"/>
                <w:sz w:val="20"/>
              </w:rPr>
              <w:t xml:space="preserve">2 </w:t>
            </w:r>
            <w:r>
              <w:rPr>
                <w:rFonts w:ascii="Arial" w:eastAsia="Arial" w:hAnsi="Arial" w:cs="Arial"/>
                <w:sz w:val="20"/>
              </w:rPr>
              <w:t xml:space="preserve">mg/kg/day oral prednisone or equivalent upon improvement. </w:t>
            </w:r>
          </w:p>
          <w:p w14:paraId="76532F29" w14:textId="77777777" w:rsidR="000B3C5C" w:rsidRDefault="00ED192D">
            <w:pPr>
              <w:spacing w:after="0" w:line="259" w:lineRule="auto"/>
              <w:ind w:left="0" w:right="47"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0A671361" w14:textId="77777777">
        <w:trPr>
          <w:trHeight w:val="2952"/>
        </w:trPr>
        <w:tc>
          <w:tcPr>
            <w:tcW w:w="1498" w:type="dxa"/>
            <w:tcBorders>
              <w:top w:val="nil"/>
              <w:left w:val="nil"/>
              <w:bottom w:val="single" w:sz="4" w:space="0" w:color="000000"/>
              <w:right w:val="nil"/>
            </w:tcBorders>
          </w:tcPr>
          <w:p w14:paraId="2B15A25D" w14:textId="77777777" w:rsidR="000B3C5C" w:rsidRDefault="00ED192D">
            <w:pPr>
              <w:spacing w:after="0" w:line="259" w:lineRule="auto"/>
              <w:ind w:left="137" w:firstLine="137"/>
            </w:pPr>
            <w:r>
              <w:rPr>
                <w:rFonts w:ascii="Arial" w:eastAsia="Arial" w:hAnsi="Arial" w:cs="Arial"/>
                <w:sz w:val="20"/>
              </w:rPr>
              <w:t xml:space="preserve">Diarrhea or colitis, Grade 4 </w:t>
            </w:r>
          </w:p>
        </w:tc>
        <w:tc>
          <w:tcPr>
            <w:tcW w:w="1808" w:type="dxa"/>
            <w:tcBorders>
              <w:top w:val="nil"/>
              <w:left w:val="nil"/>
              <w:bottom w:val="single" w:sz="4" w:space="0" w:color="000000"/>
              <w:right w:val="nil"/>
            </w:tcBorders>
          </w:tcPr>
          <w:p w14:paraId="78029BFA" w14:textId="77777777" w:rsidR="000B3C5C" w:rsidRDefault="00ED192D">
            <w:pPr>
              <w:spacing w:after="0" w:line="259" w:lineRule="auto"/>
              <w:ind w:left="423" w:hanging="79"/>
            </w:pPr>
            <w:r>
              <w:rPr>
                <w:rFonts w:ascii="Arial" w:eastAsia="Arial" w:hAnsi="Arial" w:cs="Arial"/>
                <w:sz w:val="20"/>
              </w:rPr>
              <w:t xml:space="preserve">Discontinue treatment  </w:t>
            </w:r>
          </w:p>
        </w:tc>
        <w:tc>
          <w:tcPr>
            <w:tcW w:w="2859" w:type="dxa"/>
            <w:tcBorders>
              <w:top w:val="nil"/>
              <w:left w:val="nil"/>
              <w:bottom w:val="single" w:sz="4" w:space="0" w:color="000000"/>
              <w:right w:val="nil"/>
            </w:tcBorders>
          </w:tcPr>
          <w:p w14:paraId="1726CFFE" w14:textId="77777777" w:rsidR="000B3C5C" w:rsidRDefault="00ED192D">
            <w:pPr>
              <w:spacing w:after="0" w:line="259" w:lineRule="auto"/>
              <w:ind w:left="507" w:firstLine="0"/>
            </w:pPr>
            <w:r>
              <w:rPr>
                <w:rFonts w:ascii="Arial" w:eastAsia="Arial" w:hAnsi="Arial" w:cs="Arial"/>
                <w:sz w:val="20"/>
              </w:rPr>
              <w:t xml:space="preserve">Discontinue treatment </w:t>
            </w:r>
          </w:p>
        </w:tc>
        <w:tc>
          <w:tcPr>
            <w:tcW w:w="3521" w:type="dxa"/>
            <w:tcBorders>
              <w:top w:val="nil"/>
              <w:left w:val="nil"/>
              <w:bottom w:val="single" w:sz="4" w:space="0" w:color="000000"/>
              <w:right w:val="nil"/>
            </w:tcBorders>
          </w:tcPr>
          <w:p w14:paraId="4705F4A7" w14:textId="77777777" w:rsidR="000B3C5C" w:rsidRDefault="00ED192D">
            <w:pPr>
              <w:spacing w:after="0" w:line="259" w:lineRule="auto"/>
              <w:ind w:left="0" w:right="47"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4A87790B" w14:textId="77777777" w:rsidR="000B3C5C" w:rsidRDefault="00ED192D">
            <w:pPr>
              <w:spacing w:after="34" w:line="241" w:lineRule="auto"/>
              <w:ind w:left="996" w:hanging="996"/>
            </w:pPr>
            <w:r>
              <w:rPr>
                <w:rFonts w:ascii="Arial" w:eastAsia="Arial" w:hAnsi="Arial" w:cs="Arial"/>
                <w:sz w:val="20"/>
              </w:rPr>
              <w:t xml:space="preserve">Refer patient to GI specialist for evaluation and confirmation biopsy </w:t>
            </w:r>
          </w:p>
          <w:p w14:paraId="4A3B74AF" w14:textId="77777777" w:rsidR="000B3C5C" w:rsidRDefault="00ED192D">
            <w:pPr>
              <w:spacing w:after="25" w:line="235" w:lineRule="auto"/>
              <w:ind w:left="48" w:firstLine="206"/>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2 mg/kg/day IV methylprednisolone or equivalent and convert to 1</w:t>
            </w:r>
            <w:r>
              <w:rPr>
                <w:rFonts w:ascii="Segoe UI Symbol" w:eastAsia="Segoe UI Symbol" w:hAnsi="Segoe UI Symbol" w:cs="Segoe UI Symbol"/>
                <w:sz w:val="20"/>
              </w:rPr>
              <w:t>−</w:t>
            </w:r>
            <w:r>
              <w:rPr>
                <w:rFonts w:ascii="Arial" w:eastAsia="Arial" w:hAnsi="Arial" w:cs="Arial"/>
                <w:sz w:val="20"/>
              </w:rPr>
              <w:t xml:space="preserve">2 mg/kg/day oral prednisone or equivalent upon improvement </w:t>
            </w:r>
          </w:p>
          <w:p w14:paraId="65F847AC" w14:textId="77777777" w:rsidR="000B3C5C" w:rsidRDefault="00ED192D">
            <w:pPr>
              <w:spacing w:after="17" w:line="241" w:lineRule="auto"/>
              <w:ind w:left="113" w:right="70" w:hanging="91"/>
              <w:jc w:val="both"/>
            </w:pPr>
            <w:r>
              <w:rPr>
                <w:rFonts w:ascii="Arial" w:eastAsia="Arial" w:hAnsi="Arial" w:cs="Arial"/>
                <w:sz w:val="20"/>
              </w:rPr>
              <w:t xml:space="preserve">If event does not improve within 48 hours after initiating corticosteroids, consider adding an immunosuppressive agent. </w:t>
            </w:r>
          </w:p>
          <w:p w14:paraId="00E2731F" w14:textId="77777777" w:rsidR="000B3C5C" w:rsidRDefault="00ED192D">
            <w:pPr>
              <w:spacing w:after="0" w:line="259" w:lineRule="auto"/>
              <w:ind w:left="595" w:hanging="461"/>
            </w:pPr>
            <w:r>
              <w:rPr>
                <w:rFonts w:ascii="Arial" w:eastAsia="Arial" w:hAnsi="Arial" w:cs="Arial"/>
                <w:sz w:val="20"/>
              </w:rPr>
              <w:t xml:space="preserve">If event resolves to Grade 1 or better, taper corticosteroids over </w:t>
            </w:r>
            <w:r>
              <w:rPr>
                <w:rFonts w:ascii="Segoe UI Symbol" w:eastAsia="Segoe UI Symbol" w:hAnsi="Segoe UI Symbol" w:cs="Segoe UI Symbol"/>
                <w:sz w:val="20"/>
              </w:rPr>
              <w:t></w:t>
            </w:r>
            <w:r>
              <w:rPr>
                <w:rFonts w:ascii="Arial" w:eastAsia="Arial" w:hAnsi="Arial" w:cs="Arial"/>
                <w:sz w:val="20"/>
              </w:rPr>
              <w:t xml:space="preserve">1 month. </w:t>
            </w:r>
          </w:p>
        </w:tc>
      </w:tr>
    </w:tbl>
    <w:p w14:paraId="2F5F1CAC" w14:textId="77777777" w:rsidR="000B3C5C" w:rsidRDefault="00ED192D">
      <w:pPr>
        <w:numPr>
          <w:ilvl w:val="0"/>
          <w:numId w:val="79"/>
        </w:numPr>
        <w:spacing w:after="12"/>
        <w:ind w:right="2" w:hanging="245"/>
      </w:pPr>
      <w:r>
        <w:rPr>
          <w:rFonts w:ascii="Arial" w:eastAsia="Arial" w:hAnsi="Arial" w:cs="Arial"/>
          <w:sz w:val="18"/>
        </w:rPr>
        <w:t xml:space="preserve">Atezolizumab may be withheld for a longer period of time (ie, </w:t>
      </w:r>
      <w:r>
        <w:rPr>
          <w:rFonts w:ascii="Segoe UI Symbol" w:eastAsia="Segoe UI Symbol" w:hAnsi="Segoe UI Symbol" w:cs="Segoe UI Symbol"/>
          <w:sz w:val="18"/>
        </w:rPr>
        <w:t></w:t>
      </w:r>
      <w:r>
        <w:rPr>
          <w:rFonts w:ascii="Arial" w:eastAsia="Arial" w:hAnsi="Arial" w:cs="Arial"/>
          <w:sz w:val="18"/>
        </w:rPr>
        <w:t xml:space="preserve"> 12 weeks after event onset) to allow for corticosteroids (if initiated) to be reduced to </w:t>
      </w:r>
      <w:r>
        <w:rPr>
          <w:rFonts w:ascii="Segoe UI Symbol" w:eastAsia="Segoe UI Symbol" w:hAnsi="Segoe UI Symbol" w:cs="Segoe UI Symbol"/>
          <w:sz w:val="18"/>
        </w:rPr>
        <w:t></w:t>
      </w:r>
      <w:r>
        <w:rPr>
          <w:rFonts w:ascii="Arial" w:eastAsia="Arial" w:hAnsi="Arial" w:cs="Arial"/>
          <w:sz w:val="18"/>
        </w:rPr>
        <w:t xml:space="preserve"> 10 mg/day oral prednisone or equivalent.  The acceptable length of the extended period of time must be agreed upon by the Investigator and the Medical Monitor. </w:t>
      </w:r>
    </w:p>
    <w:p w14:paraId="6EDBCCCF" w14:textId="77777777" w:rsidR="000B3C5C" w:rsidRDefault="00ED192D">
      <w:pPr>
        <w:numPr>
          <w:ilvl w:val="0"/>
          <w:numId w:val="79"/>
        </w:numPr>
        <w:spacing w:after="12"/>
        <w:ind w:right="2" w:hanging="245"/>
      </w:pPr>
      <w:r>
        <w:rPr>
          <w:rFonts w:ascii="Arial" w:eastAsia="Arial" w:hAnsi="Arial" w:cs="Arial"/>
          <w:sz w:val="18"/>
        </w:rPr>
        <w:t xml:space="preserve">If corticosteroids have been initiated, they must be tapered over </w:t>
      </w:r>
      <w:r>
        <w:rPr>
          <w:rFonts w:ascii="Segoe UI Symbol" w:eastAsia="Segoe UI Symbol" w:hAnsi="Segoe UI Symbol" w:cs="Segoe UI Symbol"/>
          <w:sz w:val="18"/>
        </w:rPr>
        <w:t></w:t>
      </w:r>
      <w:r>
        <w:rPr>
          <w:rFonts w:ascii="Arial" w:eastAsia="Arial" w:hAnsi="Arial" w:cs="Arial"/>
          <w:sz w:val="18"/>
        </w:rPr>
        <w:t xml:space="preserve"> 1 month to </w:t>
      </w:r>
      <w:r>
        <w:rPr>
          <w:rFonts w:ascii="Segoe UI Symbol" w:eastAsia="Segoe UI Symbol" w:hAnsi="Segoe UI Symbol" w:cs="Segoe UI Symbol"/>
          <w:sz w:val="18"/>
        </w:rPr>
        <w:t></w:t>
      </w:r>
      <w:r>
        <w:rPr>
          <w:rFonts w:ascii="Arial" w:eastAsia="Arial" w:hAnsi="Arial" w:cs="Arial"/>
          <w:sz w:val="18"/>
        </w:rPr>
        <w:t xml:space="preserve"> 10 mg/day oral prednisone or equivalent before atezolizumab can be resumed. </w:t>
      </w:r>
    </w:p>
    <w:p w14:paraId="014D0CFD" w14:textId="77777777" w:rsidR="000B3C5C" w:rsidRDefault="00ED192D">
      <w:pPr>
        <w:numPr>
          <w:ilvl w:val="0"/>
          <w:numId w:val="79"/>
        </w:numPr>
        <w:spacing w:after="12"/>
        <w:ind w:right="2" w:hanging="245"/>
      </w:pP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Abbreviation: GI </w:t>
      </w:r>
      <w:r>
        <w:rPr>
          <w:rFonts w:ascii="Segoe UI Symbol" w:eastAsia="Segoe UI Symbol" w:hAnsi="Segoe UI Symbol" w:cs="Segoe UI Symbol"/>
          <w:sz w:val="18"/>
        </w:rPr>
        <w:t>=</w:t>
      </w:r>
      <w:r>
        <w:rPr>
          <w:rFonts w:ascii="Arial" w:eastAsia="Arial" w:hAnsi="Arial" w:cs="Arial"/>
          <w:sz w:val="18"/>
        </w:rPr>
        <w:t xml:space="preserve"> gastrointestinal. </w:t>
      </w:r>
    </w:p>
    <w:p w14:paraId="03F7F14C" w14:textId="77777777" w:rsidR="000B3C5C" w:rsidRDefault="00ED192D">
      <w:pPr>
        <w:pStyle w:val="Heading3"/>
        <w:spacing w:after="231"/>
        <w:ind w:left="-5" w:right="51"/>
      </w:pPr>
      <w:r>
        <w:rPr>
          <w:rFonts w:ascii="Times New Roman" w:eastAsia="Times New Roman" w:hAnsi="Times New Roman" w:cs="Times New Roman"/>
          <w:sz w:val="24"/>
        </w:rPr>
        <w:t xml:space="preserve">Endocrine Events </w:t>
      </w:r>
    </w:p>
    <w:p w14:paraId="59F0AA9B" w14:textId="77777777" w:rsidR="000B3C5C" w:rsidRDefault="00ED192D">
      <w:pPr>
        <w:ind w:left="-3" w:right="14"/>
      </w:pPr>
      <w:r>
        <w:t xml:space="preserve">Management guidelines for endocrine events are provided in </w:t>
      </w:r>
      <w:r>
        <w:rPr>
          <w:color w:val="0000FF"/>
        </w:rPr>
        <w:t>Table 20</w:t>
      </w:r>
      <w:r>
        <w:t xml:space="preserve">. </w:t>
      </w:r>
    </w:p>
    <w:p w14:paraId="00CDD1EB" w14:textId="77777777" w:rsidR="000B3C5C" w:rsidRDefault="00ED192D">
      <w:pPr>
        <w:spacing w:after="310"/>
        <w:ind w:left="-3" w:right="14"/>
      </w:pPr>
      <w:r>
        <w:t xml:space="preserve">The patient should be referred to an endocrinologist if an endocrinopathy is suspected. </w:t>
      </w:r>
    </w:p>
    <w:p w14:paraId="72FAD8D1" w14:textId="77777777" w:rsidR="000B3C5C" w:rsidRDefault="00ED192D">
      <w:pPr>
        <w:pStyle w:val="Heading4"/>
        <w:spacing w:after="3" w:line="259" w:lineRule="auto"/>
        <w:ind w:left="2070"/>
      </w:pPr>
      <w:r>
        <w:rPr>
          <w:sz w:val="20"/>
        </w:rPr>
        <w:t xml:space="preserve">Table 20 - Management Guidelines for Endocrine Events  </w:t>
      </w:r>
    </w:p>
    <w:tbl>
      <w:tblPr>
        <w:tblStyle w:val="TableGrid"/>
        <w:tblW w:w="9580" w:type="dxa"/>
        <w:tblInd w:w="-62" w:type="dxa"/>
        <w:tblCellMar>
          <w:top w:w="81" w:type="dxa"/>
          <w:left w:w="0" w:type="dxa"/>
          <w:bottom w:w="0" w:type="dxa"/>
          <w:right w:w="27" w:type="dxa"/>
        </w:tblCellMar>
        <w:tblLook w:val="04A0" w:firstRow="1" w:lastRow="0" w:firstColumn="1" w:lastColumn="0" w:noHBand="0" w:noVBand="1"/>
      </w:tblPr>
      <w:tblGrid>
        <w:gridCol w:w="2100"/>
        <w:gridCol w:w="2004"/>
        <w:gridCol w:w="84"/>
        <w:gridCol w:w="2541"/>
        <w:gridCol w:w="22"/>
        <w:gridCol w:w="2829"/>
      </w:tblGrid>
      <w:tr w:rsidR="000B3C5C" w14:paraId="7A6479B4" w14:textId="77777777">
        <w:trPr>
          <w:trHeight w:val="590"/>
        </w:trPr>
        <w:tc>
          <w:tcPr>
            <w:tcW w:w="1930" w:type="dxa"/>
            <w:tcBorders>
              <w:top w:val="single" w:sz="4" w:space="0" w:color="000000"/>
              <w:left w:val="nil"/>
              <w:bottom w:val="single" w:sz="4" w:space="0" w:color="000000"/>
              <w:right w:val="nil"/>
            </w:tcBorders>
            <w:vAlign w:val="bottom"/>
          </w:tcPr>
          <w:p w14:paraId="1C5CCFD4" w14:textId="77777777" w:rsidR="000B3C5C" w:rsidRDefault="00ED192D">
            <w:pPr>
              <w:spacing w:after="0" w:line="259" w:lineRule="auto"/>
              <w:ind w:left="0" w:right="23" w:firstLine="0"/>
              <w:jc w:val="center"/>
            </w:pPr>
            <w:r>
              <w:rPr>
                <w:rFonts w:ascii="Arial" w:eastAsia="Arial" w:hAnsi="Arial" w:cs="Arial"/>
                <w:b/>
                <w:sz w:val="20"/>
              </w:rPr>
              <w:t xml:space="preserve">Event </w:t>
            </w:r>
          </w:p>
        </w:tc>
        <w:tc>
          <w:tcPr>
            <w:tcW w:w="2055" w:type="dxa"/>
            <w:tcBorders>
              <w:top w:val="single" w:sz="4" w:space="0" w:color="000000"/>
              <w:left w:val="nil"/>
              <w:bottom w:val="single" w:sz="4" w:space="0" w:color="000000"/>
              <w:right w:val="nil"/>
            </w:tcBorders>
          </w:tcPr>
          <w:p w14:paraId="2F9DA74C" w14:textId="77777777" w:rsidR="000B3C5C" w:rsidRDefault="00ED192D">
            <w:pPr>
              <w:spacing w:after="0" w:line="259" w:lineRule="auto"/>
              <w:ind w:left="286" w:firstLine="94"/>
            </w:pPr>
            <w:r>
              <w:rPr>
                <w:rFonts w:ascii="Arial" w:eastAsia="Arial" w:hAnsi="Arial" w:cs="Arial"/>
                <w:b/>
                <w:sz w:val="20"/>
              </w:rPr>
              <w:t xml:space="preserve">Isatuximab management </w:t>
            </w:r>
          </w:p>
        </w:tc>
        <w:tc>
          <w:tcPr>
            <w:tcW w:w="2681" w:type="dxa"/>
            <w:gridSpan w:val="2"/>
            <w:tcBorders>
              <w:top w:val="single" w:sz="4" w:space="0" w:color="000000"/>
              <w:left w:val="nil"/>
              <w:bottom w:val="single" w:sz="4" w:space="0" w:color="000000"/>
              <w:right w:val="nil"/>
            </w:tcBorders>
          </w:tcPr>
          <w:p w14:paraId="4E27D9B0" w14:textId="77777777" w:rsidR="000B3C5C" w:rsidRDefault="00ED192D">
            <w:pPr>
              <w:spacing w:after="0" w:line="259" w:lineRule="auto"/>
              <w:ind w:left="590" w:hanging="26"/>
            </w:pPr>
            <w:r>
              <w:rPr>
                <w:rFonts w:ascii="Arial" w:eastAsia="Arial" w:hAnsi="Arial" w:cs="Arial"/>
                <w:b/>
                <w:sz w:val="20"/>
              </w:rPr>
              <w:t xml:space="preserve">Atezolizumab management </w:t>
            </w:r>
          </w:p>
        </w:tc>
        <w:tc>
          <w:tcPr>
            <w:tcW w:w="2914" w:type="dxa"/>
            <w:gridSpan w:val="2"/>
            <w:tcBorders>
              <w:top w:val="single" w:sz="4" w:space="0" w:color="000000"/>
              <w:left w:val="nil"/>
              <w:bottom w:val="single" w:sz="4" w:space="0" w:color="000000"/>
              <w:right w:val="nil"/>
            </w:tcBorders>
            <w:vAlign w:val="bottom"/>
          </w:tcPr>
          <w:p w14:paraId="69D70EED" w14:textId="77777777" w:rsidR="000B3C5C" w:rsidRDefault="00ED192D">
            <w:pPr>
              <w:spacing w:after="0" w:line="259" w:lineRule="auto"/>
              <w:ind w:left="0" w:right="46" w:firstLine="0"/>
              <w:jc w:val="center"/>
            </w:pPr>
            <w:r>
              <w:rPr>
                <w:rFonts w:ascii="Arial" w:eastAsia="Arial" w:hAnsi="Arial" w:cs="Arial"/>
                <w:b/>
                <w:sz w:val="20"/>
              </w:rPr>
              <w:t xml:space="preserve">Action and guidance </w:t>
            </w:r>
          </w:p>
        </w:tc>
      </w:tr>
      <w:tr w:rsidR="000B3C5C" w14:paraId="36F6C381" w14:textId="77777777">
        <w:trPr>
          <w:trHeight w:val="893"/>
        </w:trPr>
        <w:tc>
          <w:tcPr>
            <w:tcW w:w="1930" w:type="dxa"/>
            <w:tcBorders>
              <w:top w:val="single" w:sz="4" w:space="0" w:color="000000"/>
              <w:left w:val="nil"/>
              <w:bottom w:val="nil"/>
              <w:right w:val="nil"/>
            </w:tcBorders>
          </w:tcPr>
          <w:p w14:paraId="7B9DE5E6" w14:textId="77777777" w:rsidR="000B3C5C" w:rsidRDefault="00ED192D">
            <w:pPr>
              <w:spacing w:after="0" w:line="259" w:lineRule="auto"/>
              <w:ind w:left="362" w:firstLine="38"/>
            </w:pPr>
            <w:r>
              <w:rPr>
                <w:rFonts w:ascii="Arial" w:eastAsia="Arial" w:hAnsi="Arial" w:cs="Arial"/>
                <w:sz w:val="20"/>
              </w:rPr>
              <w:t xml:space="preserve">Asymptomatic hypothyroidism </w:t>
            </w:r>
          </w:p>
        </w:tc>
        <w:tc>
          <w:tcPr>
            <w:tcW w:w="2055" w:type="dxa"/>
            <w:tcBorders>
              <w:top w:val="single" w:sz="4" w:space="0" w:color="000000"/>
              <w:left w:val="nil"/>
              <w:bottom w:val="nil"/>
              <w:right w:val="nil"/>
            </w:tcBorders>
          </w:tcPr>
          <w:p w14:paraId="73899DF7" w14:textId="77777777" w:rsidR="000B3C5C" w:rsidRDefault="00ED192D">
            <w:pPr>
              <w:spacing w:after="0" w:line="259" w:lineRule="auto"/>
              <w:ind w:left="218" w:firstLine="0"/>
            </w:pPr>
            <w:r>
              <w:rPr>
                <w:rFonts w:ascii="Arial" w:eastAsia="Arial" w:hAnsi="Arial" w:cs="Arial"/>
                <w:sz w:val="20"/>
              </w:rPr>
              <w:t xml:space="preserve">No change in dose </w:t>
            </w:r>
          </w:p>
        </w:tc>
        <w:tc>
          <w:tcPr>
            <w:tcW w:w="2681" w:type="dxa"/>
            <w:gridSpan w:val="2"/>
            <w:tcBorders>
              <w:top w:val="single" w:sz="4" w:space="0" w:color="000000"/>
              <w:left w:val="nil"/>
              <w:bottom w:val="nil"/>
              <w:right w:val="nil"/>
            </w:tcBorders>
          </w:tcPr>
          <w:p w14:paraId="017DFEDA" w14:textId="77777777" w:rsidR="000B3C5C" w:rsidRDefault="00ED192D">
            <w:pPr>
              <w:spacing w:after="0" w:line="259" w:lineRule="auto"/>
              <w:ind w:left="523" w:firstLine="0"/>
            </w:pPr>
            <w:r>
              <w:rPr>
                <w:rFonts w:ascii="Arial" w:eastAsia="Arial" w:hAnsi="Arial" w:cs="Arial"/>
                <w:sz w:val="20"/>
              </w:rPr>
              <w:t xml:space="preserve">No change in dose </w:t>
            </w:r>
          </w:p>
        </w:tc>
        <w:tc>
          <w:tcPr>
            <w:tcW w:w="2914" w:type="dxa"/>
            <w:gridSpan w:val="2"/>
            <w:tcBorders>
              <w:top w:val="single" w:sz="4" w:space="0" w:color="000000"/>
              <w:left w:val="nil"/>
              <w:bottom w:val="nil"/>
              <w:right w:val="nil"/>
            </w:tcBorders>
          </w:tcPr>
          <w:p w14:paraId="59A696E2" w14:textId="77777777" w:rsidR="000B3C5C" w:rsidRDefault="00ED192D">
            <w:pPr>
              <w:spacing w:after="60" w:line="241" w:lineRule="auto"/>
              <w:ind w:left="576" w:hanging="228"/>
            </w:pPr>
            <w:r>
              <w:rPr>
                <w:rFonts w:ascii="Arial" w:eastAsia="Arial" w:hAnsi="Arial" w:cs="Arial"/>
                <w:sz w:val="20"/>
              </w:rPr>
              <w:t xml:space="preserve">Initiate treatment with thyroid replacement hormone. </w:t>
            </w:r>
          </w:p>
          <w:p w14:paraId="66F743F4" w14:textId="77777777" w:rsidR="000B3C5C" w:rsidRDefault="00ED192D">
            <w:pPr>
              <w:spacing w:after="0" w:line="259" w:lineRule="auto"/>
              <w:ind w:left="0" w:right="45" w:firstLine="0"/>
              <w:jc w:val="center"/>
            </w:pPr>
            <w:r>
              <w:rPr>
                <w:rFonts w:ascii="Arial" w:eastAsia="Arial" w:hAnsi="Arial" w:cs="Arial"/>
                <w:sz w:val="20"/>
              </w:rPr>
              <w:t xml:space="preserve">Monitor TSH weekly. </w:t>
            </w:r>
          </w:p>
        </w:tc>
      </w:tr>
      <w:tr w:rsidR="000B3C5C" w14:paraId="72B3D199" w14:textId="77777777">
        <w:trPr>
          <w:trHeight w:val="1533"/>
        </w:trPr>
        <w:tc>
          <w:tcPr>
            <w:tcW w:w="1930" w:type="dxa"/>
            <w:tcBorders>
              <w:top w:val="nil"/>
              <w:left w:val="nil"/>
              <w:bottom w:val="nil"/>
              <w:right w:val="nil"/>
            </w:tcBorders>
          </w:tcPr>
          <w:p w14:paraId="33B6F9DD" w14:textId="77777777" w:rsidR="000B3C5C" w:rsidRDefault="00ED192D">
            <w:pPr>
              <w:spacing w:after="0" w:line="259" w:lineRule="auto"/>
              <w:ind w:left="362" w:firstLine="79"/>
            </w:pPr>
            <w:r>
              <w:rPr>
                <w:rFonts w:ascii="Arial" w:eastAsia="Arial" w:hAnsi="Arial" w:cs="Arial"/>
                <w:sz w:val="20"/>
              </w:rPr>
              <w:t xml:space="preserve">Symptomatic hypothyroidism </w:t>
            </w:r>
          </w:p>
        </w:tc>
        <w:tc>
          <w:tcPr>
            <w:tcW w:w="2055" w:type="dxa"/>
            <w:tcBorders>
              <w:top w:val="nil"/>
              <w:left w:val="nil"/>
              <w:bottom w:val="nil"/>
              <w:right w:val="nil"/>
            </w:tcBorders>
          </w:tcPr>
          <w:p w14:paraId="0D9C7080" w14:textId="77777777" w:rsidR="000B3C5C" w:rsidRDefault="00ED192D">
            <w:pPr>
              <w:spacing w:after="0" w:line="241" w:lineRule="auto"/>
              <w:ind w:left="53" w:hanging="7"/>
            </w:pPr>
            <w:r>
              <w:rPr>
                <w:rFonts w:ascii="Arial" w:eastAsia="Arial" w:hAnsi="Arial" w:cs="Arial"/>
                <w:sz w:val="20"/>
              </w:rPr>
              <w:t xml:space="preserve">Delay or omit dose until resolve to ≤Grade 2 for </w:t>
            </w:r>
          </w:p>
          <w:p w14:paraId="4594907A" w14:textId="77777777" w:rsidR="000B3C5C" w:rsidRDefault="00ED192D">
            <w:pPr>
              <w:spacing w:after="0" w:line="259" w:lineRule="auto"/>
              <w:ind w:left="65" w:firstLine="0"/>
            </w:pPr>
            <w:r>
              <w:rPr>
                <w:rFonts w:ascii="Arial" w:eastAsia="Arial" w:hAnsi="Arial" w:cs="Arial"/>
                <w:sz w:val="20"/>
              </w:rPr>
              <w:t xml:space="preserve">a maximum of 2 weeks </w:t>
            </w:r>
          </w:p>
          <w:p w14:paraId="6F777813" w14:textId="77777777" w:rsidR="000B3C5C" w:rsidRDefault="00ED192D">
            <w:pPr>
              <w:spacing w:after="0" w:line="259" w:lineRule="auto"/>
              <w:ind w:left="214"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681" w:type="dxa"/>
            <w:gridSpan w:val="2"/>
            <w:tcBorders>
              <w:top w:val="nil"/>
              <w:left w:val="nil"/>
              <w:bottom w:val="nil"/>
              <w:right w:val="nil"/>
            </w:tcBorders>
          </w:tcPr>
          <w:p w14:paraId="55467659" w14:textId="77777777" w:rsidR="000B3C5C" w:rsidRDefault="00ED192D">
            <w:pPr>
              <w:spacing w:after="41" w:line="259" w:lineRule="auto"/>
              <w:ind w:left="0" w:right="192" w:firstLine="0"/>
              <w:jc w:val="center"/>
            </w:pPr>
            <w:r>
              <w:rPr>
                <w:rFonts w:ascii="Arial" w:eastAsia="Arial" w:hAnsi="Arial" w:cs="Arial"/>
                <w:sz w:val="20"/>
              </w:rPr>
              <w:t xml:space="preserve">Delay cycle. </w:t>
            </w:r>
          </w:p>
          <w:p w14:paraId="0B372182" w14:textId="77777777" w:rsidR="000B3C5C" w:rsidRDefault="00ED192D">
            <w:pPr>
              <w:spacing w:after="0" w:line="259" w:lineRule="auto"/>
              <w:ind w:left="34" w:firstLine="204"/>
            </w:pPr>
            <w:r>
              <w:rPr>
                <w:rFonts w:ascii="Arial" w:eastAsia="Arial" w:hAnsi="Arial" w:cs="Arial"/>
                <w:sz w:val="20"/>
              </w:rPr>
              <w:t xml:space="preserve">Resume atezolizumab and isatuximab when symptoms are controlled and thyroid function is improving. </w:t>
            </w:r>
          </w:p>
        </w:tc>
        <w:tc>
          <w:tcPr>
            <w:tcW w:w="2914" w:type="dxa"/>
            <w:gridSpan w:val="2"/>
            <w:tcBorders>
              <w:top w:val="nil"/>
              <w:left w:val="nil"/>
              <w:bottom w:val="nil"/>
              <w:right w:val="nil"/>
            </w:tcBorders>
            <w:vAlign w:val="bottom"/>
          </w:tcPr>
          <w:p w14:paraId="5D0D1E4A" w14:textId="77777777" w:rsidR="000B3C5C" w:rsidRDefault="00ED192D">
            <w:pPr>
              <w:spacing w:after="60" w:line="241" w:lineRule="auto"/>
              <w:ind w:left="576" w:hanging="228"/>
            </w:pPr>
            <w:r>
              <w:rPr>
                <w:rFonts w:ascii="Arial" w:eastAsia="Arial" w:hAnsi="Arial" w:cs="Arial"/>
                <w:sz w:val="20"/>
              </w:rPr>
              <w:t xml:space="preserve">Initiate treatment with thyroid replacement hormone. </w:t>
            </w:r>
          </w:p>
          <w:p w14:paraId="5B4FE136" w14:textId="77777777" w:rsidR="000B3C5C" w:rsidRDefault="00ED192D">
            <w:pPr>
              <w:spacing w:after="41" w:line="259" w:lineRule="auto"/>
              <w:ind w:left="0" w:right="46" w:firstLine="0"/>
              <w:jc w:val="center"/>
            </w:pPr>
            <w:r>
              <w:rPr>
                <w:rFonts w:ascii="Arial" w:eastAsia="Arial" w:hAnsi="Arial" w:cs="Arial"/>
                <w:sz w:val="20"/>
              </w:rPr>
              <w:t xml:space="preserve">Monitor TSH weekly. </w:t>
            </w:r>
          </w:p>
          <w:p w14:paraId="227FB6C6" w14:textId="77777777" w:rsidR="000B3C5C" w:rsidRDefault="00ED192D">
            <w:pPr>
              <w:spacing w:after="60" w:line="241" w:lineRule="auto"/>
              <w:ind w:left="821" w:hanging="396"/>
            </w:pPr>
            <w:r>
              <w:rPr>
                <w:rFonts w:ascii="Arial" w:eastAsia="Arial" w:hAnsi="Arial" w:cs="Arial"/>
                <w:sz w:val="20"/>
              </w:rPr>
              <w:t xml:space="preserve">Consider patient referral to endocrinologist. </w:t>
            </w:r>
          </w:p>
          <w:p w14:paraId="1893A1D3" w14:textId="77777777" w:rsidR="000B3C5C" w:rsidRDefault="00ED192D">
            <w:pPr>
              <w:spacing w:after="0" w:line="259" w:lineRule="auto"/>
              <w:ind w:left="4" w:firstLine="0"/>
              <w:jc w:val="center"/>
            </w:pPr>
            <w:r>
              <w:rPr>
                <w:rFonts w:ascii="Arial" w:eastAsia="Arial" w:hAnsi="Arial" w:cs="Arial"/>
                <w:sz w:val="20"/>
              </w:rPr>
              <w:t xml:space="preserve"> </w:t>
            </w:r>
          </w:p>
        </w:tc>
      </w:tr>
      <w:tr w:rsidR="000B3C5C" w14:paraId="1F17EC76" w14:textId="77777777">
        <w:trPr>
          <w:trHeight w:val="1608"/>
        </w:trPr>
        <w:tc>
          <w:tcPr>
            <w:tcW w:w="1930" w:type="dxa"/>
            <w:tcBorders>
              <w:top w:val="nil"/>
              <w:left w:val="nil"/>
              <w:bottom w:val="nil"/>
              <w:right w:val="nil"/>
            </w:tcBorders>
          </w:tcPr>
          <w:p w14:paraId="777CD264" w14:textId="77777777" w:rsidR="000B3C5C" w:rsidRDefault="00ED192D">
            <w:pPr>
              <w:spacing w:after="0" w:line="259" w:lineRule="auto"/>
              <w:ind w:left="336" w:firstLine="65"/>
            </w:pPr>
            <w:r>
              <w:rPr>
                <w:rFonts w:ascii="Arial" w:eastAsia="Arial" w:hAnsi="Arial" w:cs="Arial"/>
                <w:sz w:val="20"/>
              </w:rPr>
              <w:t xml:space="preserve">Asymptomatic hyperthyroidism </w:t>
            </w:r>
          </w:p>
        </w:tc>
        <w:tc>
          <w:tcPr>
            <w:tcW w:w="2055" w:type="dxa"/>
            <w:tcBorders>
              <w:top w:val="nil"/>
              <w:left w:val="nil"/>
              <w:bottom w:val="nil"/>
              <w:right w:val="nil"/>
            </w:tcBorders>
          </w:tcPr>
          <w:p w14:paraId="0AA03141" w14:textId="77777777" w:rsidR="000B3C5C" w:rsidRDefault="00ED192D">
            <w:pPr>
              <w:spacing w:after="0" w:line="259" w:lineRule="auto"/>
              <w:ind w:left="218" w:firstLine="0"/>
            </w:pPr>
            <w:r>
              <w:rPr>
                <w:rFonts w:ascii="Arial" w:eastAsia="Arial" w:hAnsi="Arial" w:cs="Arial"/>
                <w:sz w:val="20"/>
              </w:rPr>
              <w:t xml:space="preserve">No change in dose </w:t>
            </w:r>
          </w:p>
        </w:tc>
        <w:tc>
          <w:tcPr>
            <w:tcW w:w="2681" w:type="dxa"/>
            <w:gridSpan w:val="2"/>
            <w:tcBorders>
              <w:top w:val="nil"/>
              <w:left w:val="nil"/>
              <w:bottom w:val="nil"/>
              <w:right w:val="nil"/>
            </w:tcBorders>
          </w:tcPr>
          <w:p w14:paraId="3E8E45E2" w14:textId="77777777" w:rsidR="000B3C5C" w:rsidRDefault="00ED192D">
            <w:pPr>
              <w:spacing w:after="0" w:line="259" w:lineRule="auto"/>
              <w:ind w:left="523" w:firstLine="0"/>
            </w:pPr>
            <w:r>
              <w:rPr>
                <w:rFonts w:ascii="Arial" w:eastAsia="Arial" w:hAnsi="Arial" w:cs="Arial"/>
                <w:sz w:val="20"/>
              </w:rPr>
              <w:t xml:space="preserve">No change in dose </w:t>
            </w:r>
          </w:p>
        </w:tc>
        <w:tc>
          <w:tcPr>
            <w:tcW w:w="2914" w:type="dxa"/>
            <w:gridSpan w:val="2"/>
            <w:tcBorders>
              <w:top w:val="nil"/>
              <w:left w:val="nil"/>
              <w:bottom w:val="nil"/>
              <w:right w:val="nil"/>
            </w:tcBorders>
            <w:vAlign w:val="bottom"/>
          </w:tcPr>
          <w:p w14:paraId="731BBC93" w14:textId="77777777" w:rsidR="000B3C5C" w:rsidRDefault="00ED192D">
            <w:pPr>
              <w:spacing w:after="6" w:line="259" w:lineRule="auto"/>
              <w:ind w:left="228" w:firstLine="0"/>
            </w:pPr>
            <w:r>
              <w:rPr>
                <w:rFonts w:ascii="Arial" w:eastAsia="Arial" w:hAnsi="Arial" w:cs="Arial"/>
                <w:sz w:val="20"/>
              </w:rPr>
              <w:t xml:space="preserve">TSH </w:t>
            </w:r>
            <w:r>
              <w:rPr>
                <w:rFonts w:ascii="Segoe UI Symbol" w:eastAsia="Segoe UI Symbol" w:hAnsi="Segoe UI Symbol" w:cs="Segoe UI Symbol"/>
                <w:sz w:val="20"/>
              </w:rPr>
              <w:t></w:t>
            </w:r>
            <w:r>
              <w:rPr>
                <w:rFonts w:ascii="Arial" w:eastAsia="Arial" w:hAnsi="Arial" w:cs="Arial"/>
                <w:sz w:val="20"/>
              </w:rPr>
              <w:t xml:space="preserve">0.1 mU/L and </w:t>
            </w:r>
            <w:r>
              <w:rPr>
                <w:rFonts w:ascii="Segoe UI Symbol" w:eastAsia="Segoe UI Symbol" w:hAnsi="Segoe UI Symbol" w:cs="Segoe UI Symbol"/>
                <w:sz w:val="20"/>
              </w:rPr>
              <w:t></w:t>
            </w:r>
            <w:r>
              <w:rPr>
                <w:rFonts w:ascii="Arial" w:eastAsia="Arial" w:hAnsi="Arial" w:cs="Arial"/>
                <w:sz w:val="20"/>
              </w:rPr>
              <w:t xml:space="preserve">0.5 mU/L: </w:t>
            </w:r>
          </w:p>
          <w:p w14:paraId="0A1E4C91" w14:textId="77777777" w:rsidR="000B3C5C" w:rsidRDefault="00ED192D">
            <w:pPr>
              <w:spacing w:after="43" w:line="259" w:lineRule="auto"/>
              <w:ind w:left="0" w:right="46" w:firstLine="0"/>
              <w:jc w:val="center"/>
            </w:pPr>
            <w:r>
              <w:rPr>
                <w:rFonts w:ascii="Arial" w:eastAsia="Arial" w:hAnsi="Arial" w:cs="Arial"/>
                <w:sz w:val="20"/>
              </w:rPr>
              <w:t xml:space="preserve">Monitor TSH every 4 weeks. </w:t>
            </w:r>
          </w:p>
          <w:p w14:paraId="476BFF36" w14:textId="77777777" w:rsidR="000B3C5C" w:rsidRDefault="00ED192D">
            <w:pPr>
              <w:spacing w:after="41" w:line="259" w:lineRule="auto"/>
              <w:ind w:left="0" w:right="46" w:firstLine="0"/>
              <w:jc w:val="center"/>
            </w:pPr>
            <w:r>
              <w:rPr>
                <w:rFonts w:ascii="Arial" w:eastAsia="Arial" w:hAnsi="Arial" w:cs="Arial"/>
                <w:sz w:val="20"/>
              </w:rPr>
              <w:t xml:space="preserve">TSH &lt;0.1 mU/L: </w:t>
            </w:r>
          </w:p>
          <w:p w14:paraId="152A9EB9" w14:textId="77777777" w:rsidR="000B3C5C" w:rsidRDefault="00ED192D">
            <w:pPr>
              <w:spacing w:after="0" w:line="259" w:lineRule="auto"/>
              <w:ind w:left="795" w:hanging="629"/>
            </w:pPr>
            <w:r>
              <w:rPr>
                <w:rFonts w:ascii="Arial" w:eastAsia="Arial" w:hAnsi="Arial" w:cs="Arial"/>
                <w:sz w:val="20"/>
              </w:rPr>
              <w:t xml:space="preserve">Follow guidelines for symptomatic hyperthyroidism. </w:t>
            </w:r>
          </w:p>
        </w:tc>
      </w:tr>
      <w:tr w:rsidR="000B3C5C" w14:paraId="629C9AE7" w14:textId="77777777">
        <w:trPr>
          <w:trHeight w:val="2346"/>
        </w:trPr>
        <w:tc>
          <w:tcPr>
            <w:tcW w:w="1930" w:type="dxa"/>
            <w:tcBorders>
              <w:top w:val="nil"/>
              <w:left w:val="nil"/>
              <w:bottom w:val="nil"/>
              <w:right w:val="nil"/>
            </w:tcBorders>
          </w:tcPr>
          <w:p w14:paraId="73D728C1" w14:textId="77777777" w:rsidR="000B3C5C" w:rsidRDefault="00ED192D">
            <w:pPr>
              <w:spacing w:after="0" w:line="259" w:lineRule="auto"/>
              <w:ind w:left="336" w:firstLine="106"/>
            </w:pPr>
            <w:r>
              <w:rPr>
                <w:rFonts w:ascii="Arial" w:eastAsia="Arial" w:hAnsi="Arial" w:cs="Arial"/>
                <w:sz w:val="20"/>
              </w:rPr>
              <w:t xml:space="preserve">Symptomatic hyperthyroidism </w:t>
            </w:r>
          </w:p>
        </w:tc>
        <w:tc>
          <w:tcPr>
            <w:tcW w:w="2055" w:type="dxa"/>
            <w:tcBorders>
              <w:top w:val="nil"/>
              <w:left w:val="nil"/>
              <w:bottom w:val="nil"/>
              <w:right w:val="nil"/>
            </w:tcBorders>
          </w:tcPr>
          <w:p w14:paraId="204375AB" w14:textId="77777777" w:rsidR="000B3C5C" w:rsidRDefault="00ED192D">
            <w:pPr>
              <w:spacing w:after="2" w:line="239" w:lineRule="auto"/>
              <w:ind w:left="53" w:hanging="7"/>
            </w:pPr>
            <w:r>
              <w:rPr>
                <w:rFonts w:ascii="Arial" w:eastAsia="Arial" w:hAnsi="Arial" w:cs="Arial"/>
                <w:sz w:val="20"/>
              </w:rPr>
              <w:t xml:space="preserve">Delay or omit dose until resolve to ≤Grade 2 for </w:t>
            </w:r>
          </w:p>
          <w:p w14:paraId="5705D6D8" w14:textId="77777777" w:rsidR="000B3C5C" w:rsidRDefault="00ED192D">
            <w:pPr>
              <w:spacing w:after="0" w:line="259" w:lineRule="auto"/>
              <w:ind w:left="65" w:firstLine="0"/>
            </w:pPr>
            <w:r>
              <w:rPr>
                <w:rFonts w:ascii="Arial" w:eastAsia="Arial" w:hAnsi="Arial" w:cs="Arial"/>
                <w:sz w:val="20"/>
              </w:rPr>
              <w:t xml:space="preserve">a maximum of 2 weeks </w:t>
            </w:r>
          </w:p>
          <w:p w14:paraId="160FFF61" w14:textId="77777777" w:rsidR="000B3C5C" w:rsidRDefault="00ED192D">
            <w:pPr>
              <w:spacing w:after="0" w:line="259" w:lineRule="auto"/>
              <w:ind w:left="214"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681" w:type="dxa"/>
            <w:gridSpan w:val="2"/>
            <w:tcBorders>
              <w:top w:val="nil"/>
              <w:left w:val="nil"/>
              <w:bottom w:val="nil"/>
              <w:right w:val="nil"/>
            </w:tcBorders>
          </w:tcPr>
          <w:p w14:paraId="7EC4D6B8" w14:textId="77777777" w:rsidR="000B3C5C" w:rsidRDefault="00ED192D">
            <w:pPr>
              <w:spacing w:after="41" w:line="259" w:lineRule="auto"/>
              <w:ind w:left="0" w:right="192" w:firstLine="0"/>
              <w:jc w:val="center"/>
            </w:pPr>
            <w:r>
              <w:rPr>
                <w:rFonts w:ascii="Arial" w:eastAsia="Arial" w:hAnsi="Arial" w:cs="Arial"/>
                <w:sz w:val="20"/>
              </w:rPr>
              <w:t xml:space="preserve">Delay cycle. </w:t>
            </w:r>
          </w:p>
          <w:p w14:paraId="606E50AB" w14:textId="77777777" w:rsidR="000B3C5C" w:rsidRDefault="00ED192D">
            <w:pPr>
              <w:spacing w:after="0" w:line="241" w:lineRule="auto"/>
              <w:ind w:left="223" w:firstLine="29"/>
            </w:pPr>
            <w:r>
              <w:rPr>
                <w:rFonts w:ascii="Arial" w:eastAsia="Arial" w:hAnsi="Arial" w:cs="Arial"/>
                <w:sz w:val="20"/>
              </w:rPr>
              <w:t xml:space="preserve">Discontinue treatment and contact Medical Monitor for </w:t>
            </w:r>
          </w:p>
          <w:p w14:paraId="0319ABAF" w14:textId="77777777" w:rsidR="000B3C5C" w:rsidRDefault="00ED192D">
            <w:pPr>
              <w:spacing w:after="20" w:line="222" w:lineRule="auto"/>
              <w:ind w:left="593" w:hanging="521"/>
            </w:pPr>
            <w:r>
              <w:rPr>
                <w:rFonts w:ascii="Arial" w:eastAsia="Arial" w:hAnsi="Arial" w:cs="Arial"/>
                <w:sz w:val="20"/>
              </w:rPr>
              <w:t>life-threatening immune-related hyperthyroidism</w:t>
            </w:r>
            <w:r>
              <w:rPr>
                <w:rFonts w:ascii="Arial" w:eastAsia="Arial" w:hAnsi="Arial" w:cs="Arial"/>
                <w:i/>
                <w:color w:val="0000FF"/>
                <w:sz w:val="28"/>
                <w:vertAlign w:val="superscript"/>
              </w:rPr>
              <w:t>c</w:t>
            </w:r>
            <w:r>
              <w:rPr>
                <w:rFonts w:ascii="Arial" w:eastAsia="Arial" w:hAnsi="Arial" w:cs="Arial"/>
                <w:sz w:val="20"/>
              </w:rPr>
              <w:t xml:space="preserve"> </w:t>
            </w:r>
          </w:p>
          <w:p w14:paraId="0ADBF9D9" w14:textId="77777777" w:rsidR="000B3C5C" w:rsidRDefault="00ED192D">
            <w:pPr>
              <w:spacing w:after="0" w:line="259" w:lineRule="auto"/>
              <w:ind w:left="34" w:firstLine="204"/>
            </w:pPr>
            <w:r>
              <w:rPr>
                <w:rFonts w:ascii="Arial" w:eastAsia="Arial" w:hAnsi="Arial" w:cs="Arial"/>
                <w:sz w:val="20"/>
              </w:rPr>
              <w:t xml:space="preserve">Resume atezolizumab and isatuximab when symptoms are controlled and thyroid function is improving. </w:t>
            </w:r>
          </w:p>
        </w:tc>
        <w:tc>
          <w:tcPr>
            <w:tcW w:w="2914" w:type="dxa"/>
            <w:gridSpan w:val="2"/>
            <w:tcBorders>
              <w:top w:val="nil"/>
              <w:left w:val="nil"/>
              <w:bottom w:val="nil"/>
              <w:right w:val="nil"/>
            </w:tcBorders>
          </w:tcPr>
          <w:p w14:paraId="340C9FD3" w14:textId="77777777" w:rsidR="000B3C5C" w:rsidRDefault="00ED192D">
            <w:pPr>
              <w:spacing w:after="59" w:line="240" w:lineRule="auto"/>
              <w:ind w:left="65" w:hanging="65"/>
            </w:pPr>
            <w:r>
              <w:rPr>
                <w:rFonts w:ascii="Arial" w:eastAsia="Arial" w:hAnsi="Arial" w:cs="Arial"/>
                <w:sz w:val="20"/>
              </w:rPr>
              <w:t xml:space="preserve">Initiate treatment with anti-thyroid drug such as methimazole or carbimazole as needed. </w:t>
            </w:r>
          </w:p>
          <w:p w14:paraId="635C2FA4" w14:textId="77777777" w:rsidR="000B3C5C" w:rsidRDefault="00ED192D">
            <w:pPr>
              <w:spacing w:after="0" w:line="259" w:lineRule="auto"/>
              <w:ind w:left="821" w:hanging="396"/>
            </w:pPr>
            <w:r>
              <w:rPr>
                <w:rFonts w:ascii="Arial" w:eastAsia="Arial" w:hAnsi="Arial" w:cs="Arial"/>
                <w:sz w:val="20"/>
              </w:rPr>
              <w:t xml:space="preserve">Consider patient referral to endocrinologist. </w:t>
            </w:r>
          </w:p>
        </w:tc>
      </w:tr>
      <w:tr w:rsidR="000B3C5C" w14:paraId="17A0AFE1" w14:textId="77777777">
        <w:trPr>
          <w:trHeight w:val="3334"/>
        </w:trPr>
        <w:tc>
          <w:tcPr>
            <w:tcW w:w="1930" w:type="dxa"/>
            <w:tcBorders>
              <w:top w:val="nil"/>
              <w:left w:val="nil"/>
              <w:bottom w:val="single" w:sz="4" w:space="0" w:color="000000"/>
              <w:right w:val="nil"/>
            </w:tcBorders>
          </w:tcPr>
          <w:p w14:paraId="2CEF7CDD" w14:textId="77777777" w:rsidR="000B3C5C" w:rsidRDefault="00ED192D">
            <w:pPr>
              <w:spacing w:after="0" w:line="259" w:lineRule="auto"/>
              <w:ind w:left="146" w:firstLine="0"/>
            </w:pPr>
            <w:r>
              <w:rPr>
                <w:rFonts w:ascii="Arial" w:eastAsia="Arial" w:hAnsi="Arial" w:cs="Arial"/>
                <w:sz w:val="20"/>
              </w:rPr>
              <w:t xml:space="preserve">Symptomatic adrenal </w:t>
            </w:r>
          </w:p>
          <w:p w14:paraId="7A96082B" w14:textId="77777777" w:rsidR="000B3C5C" w:rsidRDefault="00ED192D">
            <w:pPr>
              <w:spacing w:after="0" w:line="259" w:lineRule="auto"/>
              <w:ind w:left="0" w:right="24" w:firstLine="0"/>
              <w:jc w:val="center"/>
            </w:pPr>
            <w:r>
              <w:rPr>
                <w:rFonts w:ascii="Arial" w:eastAsia="Arial" w:hAnsi="Arial" w:cs="Arial"/>
                <w:sz w:val="20"/>
              </w:rPr>
              <w:t xml:space="preserve">insufficiency, </w:t>
            </w:r>
          </w:p>
          <w:p w14:paraId="68C44A50" w14:textId="77777777" w:rsidR="000B3C5C" w:rsidRDefault="00ED192D">
            <w:pPr>
              <w:spacing w:after="0" w:line="259" w:lineRule="auto"/>
              <w:ind w:left="0" w:right="22" w:firstLine="0"/>
              <w:jc w:val="center"/>
            </w:pPr>
            <w:r>
              <w:rPr>
                <w:rFonts w:ascii="Arial" w:eastAsia="Arial" w:hAnsi="Arial" w:cs="Arial"/>
                <w:sz w:val="20"/>
              </w:rPr>
              <w:t>Grade 2</w:t>
            </w:r>
            <w:r>
              <w:rPr>
                <w:rFonts w:ascii="Segoe UI Symbol" w:eastAsia="Segoe UI Symbol" w:hAnsi="Segoe UI Symbol" w:cs="Segoe UI Symbol"/>
                <w:sz w:val="20"/>
              </w:rPr>
              <w:t>−</w:t>
            </w:r>
            <w:r>
              <w:rPr>
                <w:rFonts w:ascii="Arial" w:eastAsia="Arial" w:hAnsi="Arial" w:cs="Arial"/>
                <w:sz w:val="20"/>
              </w:rPr>
              <w:t xml:space="preserve">4  </w:t>
            </w:r>
          </w:p>
        </w:tc>
        <w:tc>
          <w:tcPr>
            <w:tcW w:w="2055" w:type="dxa"/>
            <w:tcBorders>
              <w:top w:val="nil"/>
              <w:left w:val="nil"/>
              <w:bottom w:val="single" w:sz="4" w:space="0" w:color="000000"/>
              <w:right w:val="nil"/>
            </w:tcBorders>
          </w:tcPr>
          <w:p w14:paraId="4D63C018" w14:textId="77777777" w:rsidR="000B3C5C" w:rsidRDefault="00ED192D">
            <w:pPr>
              <w:spacing w:after="60" w:line="241" w:lineRule="auto"/>
              <w:ind w:left="701" w:hanging="610"/>
            </w:pPr>
            <w:r>
              <w:rPr>
                <w:rFonts w:ascii="Arial" w:eastAsia="Arial" w:hAnsi="Arial" w:cs="Arial"/>
                <w:sz w:val="20"/>
              </w:rPr>
              <w:t xml:space="preserve">Grade 2: no change in dose. </w:t>
            </w:r>
          </w:p>
          <w:p w14:paraId="06CD3B2E" w14:textId="77777777" w:rsidR="000B3C5C" w:rsidRDefault="00ED192D">
            <w:pPr>
              <w:spacing w:after="2" w:line="239" w:lineRule="auto"/>
              <w:ind w:left="132" w:hanging="132"/>
            </w:pPr>
            <w:r>
              <w:rPr>
                <w:rFonts w:ascii="Arial" w:eastAsia="Arial" w:hAnsi="Arial" w:cs="Arial"/>
                <w:sz w:val="20"/>
              </w:rPr>
              <w:t xml:space="preserve">Grade 3, 4: delay or omit dose until resolves to </w:t>
            </w:r>
          </w:p>
          <w:p w14:paraId="0A63FAC1" w14:textId="77777777" w:rsidR="000B3C5C" w:rsidRDefault="00ED192D">
            <w:pPr>
              <w:spacing w:after="3" w:line="239" w:lineRule="auto"/>
              <w:ind w:left="132" w:firstLine="230"/>
            </w:pPr>
            <w:r>
              <w:rPr>
                <w:rFonts w:ascii="Arial" w:eastAsia="Arial" w:hAnsi="Arial" w:cs="Arial"/>
                <w:sz w:val="20"/>
              </w:rPr>
              <w:t xml:space="preserve">≤Grade 2 for a maximum of 2 weeks </w:t>
            </w:r>
          </w:p>
          <w:p w14:paraId="38976394" w14:textId="77777777" w:rsidR="000B3C5C" w:rsidRDefault="00ED192D">
            <w:pPr>
              <w:spacing w:after="0" w:line="259" w:lineRule="auto"/>
              <w:ind w:left="214"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681" w:type="dxa"/>
            <w:gridSpan w:val="2"/>
            <w:tcBorders>
              <w:top w:val="nil"/>
              <w:left w:val="nil"/>
              <w:bottom w:val="single" w:sz="4" w:space="0" w:color="000000"/>
              <w:right w:val="nil"/>
            </w:tcBorders>
          </w:tcPr>
          <w:p w14:paraId="22D3F7B7" w14:textId="77777777" w:rsidR="000B3C5C" w:rsidRDefault="00ED192D">
            <w:pPr>
              <w:spacing w:after="45" w:line="259" w:lineRule="auto"/>
              <w:ind w:left="34" w:firstLine="0"/>
            </w:pPr>
            <w:r>
              <w:rPr>
                <w:rFonts w:ascii="Arial" w:eastAsia="Arial" w:hAnsi="Arial" w:cs="Arial"/>
                <w:sz w:val="20"/>
              </w:rPr>
              <w:t xml:space="preserve">Omit/withhold atezolizumab until </w:t>
            </w:r>
          </w:p>
          <w:p w14:paraId="38D2DDE1" w14:textId="77777777" w:rsidR="000B3C5C" w:rsidRDefault="00ED192D">
            <w:pPr>
              <w:spacing w:after="0" w:line="259" w:lineRule="auto"/>
              <w:ind w:left="0" w:right="186" w:firstLine="0"/>
              <w:jc w:val="center"/>
            </w:pPr>
            <w:r>
              <w:rPr>
                <w:rFonts w:ascii="Arial" w:eastAsia="Arial" w:hAnsi="Arial" w:cs="Arial"/>
                <w:sz w:val="20"/>
              </w:rPr>
              <w:t>≤Grade 1</w:t>
            </w:r>
            <w:r>
              <w:rPr>
                <w:rFonts w:ascii="Arial" w:eastAsia="Arial" w:hAnsi="Arial" w:cs="Arial"/>
                <w:i/>
                <w:color w:val="0000FF"/>
                <w:sz w:val="28"/>
                <w:vertAlign w:val="superscript"/>
              </w:rPr>
              <w:t>a</w:t>
            </w:r>
            <w:r>
              <w:rPr>
                <w:rFonts w:ascii="Arial" w:eastAsia="Arial" w:hAnsi="Arial" w:cs="Arial"/>
                <w:sz w:val="20"/>
              </w:rPr>
              <w:t xml:space="preserve"> </w:t>
            </w:r>
          </w:p>
          <w:p w14:paraId="0C96D5A3" w14:textId="77777777" w:rsidR="000B3C5C" w:rsidRDefault="00ED192D">
            <w:pPr>
              <w:spacing w:after="2" w:line="239" w:lineRule="auto"/>
              <w:ind w:left="132" w:hanging="26"/>
            </w:pPr>
            <w:r>
              <w:rPr>
                <w:rFonts w:ascii="Arial" w:eastAsia="Arial" w:hAnsi="Arial" w:cs="Arial"/>
                <w:sz w:val="20"/>
              </w:rPr>
              <w:t xml:space="preserve">If event resolves to Grade 1 or better and patient is stable on </w:t>
            </w:r>
          </w:p>
          <w:p w14:paraId="118E79FA" w14:textId="77777777" w:rsidR="000B3C5C" w:rsidRDefault="00ED192D">
            <w:pPr>
              <w:spacing w:after="20" w:line="221" w:lineRule="auto"/>
              <w:ind w:left="684" w:hanging="542"/>
            </w:pPr>
            <w:r>
              <w:rPr>
                <w:rFonts w:ascii="Arial" w:eastAsia="Arial" w:hAnsi="Arial" w:cs="Arial"/>
                <w:sz w:val="20"/>
              </w:rPr>
              <w:t>replacement therapy,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21EA224C" w14:textId="77777777" w:rsidR="000B3C5C" w:rsidRDefault="00ED192D">
            <w:pPr>
              <w:spacing w:after="0" w:line="259" w:lineRule="auto"/>
              <w:ind w:left="223" w:firstLine="0"/>
            </w:pPr>
            <w:r>
              <w:rPr>
                <w:rFonts w:ascii="Arial" w:eastAsia="Arial" w:hAnsi="Arial" w:cs="Arial"/>
                <w:sz w:val="20"/>
              </w:rPr>
              <w:t xml:space="preserve">If event does not resolve to </w:t>
            </w:r>
          </w:p>
          <w:p w14:paraId="2E32731C" w14:textId="77777777" w:rsidR="000B3C5C" w:rsidRDefault="00ED192D">
            <w:pPr>
              <w:spacing w:after="0" w:line="241" w:lineRule="auto"/>
              <w:ind w:left="106" w:hanging="106"/>
            </w:pPr>
            <w:r>
              <w:rPr>
                <w:rFonts w:ascii="Arial" w:eastAsia="Arial" w:hAnsi="Arial" w:cs="Arial"/>
                <w:sz w:val="20"/>
              </w:rPr>
              <w:t xml:space="preserve">Grade </w:t>
            </w:r>
            <w:r>
              <w:rPr>
                <w:rFonts w:ascii="Arial" w:eastAsia="Arial" w:hAnsi="Arial" w:cs="Arial"/>
                <w:sz w:val="20"/>
              </w:rPr>
              <w:t xml:space="preserve">1 or better or patient is not stable on replacement therapy </w:t>
            </w:r>
          </w:p>
          <w:p w14:paraId="6076C72C" w14:textId="77777777" w:rsidR="000B3C5C" w:rsidRDefault="00ED192D">
            <w:pPr>
              <w:spacing w:after="65" w:line="241" w:lineRule="auto"/>
              <w:ind w:left="319" w:hanging="259"/>
            </w:pPr>
            <w:r>
              <w:rPr>
                <w:rFonts w:ascii="Arial" w:eastAsia="Arial" w:hAnsi="Arial" w:cs="Arial"/>
                <w:sz w:val="20"/>
              </w:rPr>
              <w:t xml:space="preserve">while withholding atezolizumab, permanently discontinue atezolizumab and </w:t>
            </w:r>
          </w:p>
          <w:p w14:paraId="47C3C032" w14:textId="77777777" w:rsidR="000B3C5C" w:rsidRDefault="00ED192D">
            <w:pPr>
              <w:spacing w:after="0" w:line="259" w:lineRule="auto"/>
              <w:ind w:left="149" w:firstLine="0"/>
            </w:pPr>
            <w:r>
              <w:rPr>
                <w:rFonts w:ascii="Arial" w:eastAsia="Arial" w:hAnsi="Arial" w:cs="Arial"/>
                <w:sz w:val="20"/>
              </w:rPr>
              <w:t>continue/resume isatuximab</w:t>
            </w:r>
            <w:r>
              <w:rPr>
                <w:rFonts w:ascii="Arial" w:eastAsia="Arial" w:hAnsi="Arial" w:cs="Arial"/>
                <w:i/>
                <w:color w:val="0000FF"/>
                <w:sz w:val="28"/>
                <w:vertAlign w:val="superscript"/>
              </w:rPr>
              <w:t>c</w:t>
            </w:r>
            <w:r>
              <w:rPr>
                <w:rFonts w:ascii="Arial" w:eastAsia="Arial" w:hAnsi="Arial" w:cs="Arial"/>
                <w:sz w:val="20"/>
              </w:rPr>
              <w:t xml:space="preserve"> </w:t>
            </w:r>
          </w:p>
        </w:tc>
        <w:tc>
          <w:tcPr>
            <w:tcW w:w="2914" w:type="dxa"/>
            <w:gridSpan w:val="2"/>
            <w:tcBorders>
              <w:top w:val="nil"/>
              <w:left w:val="nil"/>
              <w:bottom w:val="single" w:sz="4" w:space="0" w:color="000000"/>
              <w:right w:val="nil"/>
            </w:tcBorders>
          </w:tcPr>
          <w:p w14:paraId="3BB11681" w14:textId="77777777" w:rsidR="000B3C5C" w:rsidRDefault="00ED192D">
            <w:pPr>
              <w:spacing w:after="41" w:line="259" w:lineRule="auto"/>
              <w:ind w:left="238" w:firstLine="0"/>
            </w:pPr>
            <w:r>
              <w:rPr>
                <w:rFonts w:ascii="Arial" w:eastAsia="Arial" w:hAnsi="Arial" w:cs="Arial"/>
                <w:sz w:val="20"/>
              </w:rPr>
              <w:t xml:space="preserve">Refer patient to endocrinologist. </w:t>
            </w:r>
          </w:p>
          <w:p w14:paraId="13B932A0" w14:textId="77777777" w:rsidR="000B3C5C" w:rsidRDefault="00ED192D">
            <w:pPr>
              <w:spacing w:after="58" w:line="259" w:lineRule="auto"/>
              <w:ind w:left="0" w:right="47" w:firstLine="0"/>
              <w:jc w:val="center"/>
            </w:pPr>
            <w:r>
              <w:rPr>
                <w:rFonts w:ascii="Arial" w:eastAsia="Arial" w:hAnsi="Arial" w:cs="Arial"/>
                <w:sz w:val="20"/>
              </w:rPr>
              <w:t xml:space="preserve">Perform appropriate imaging. </w:t>
            </w:r>
          </w:p>
          <w:p w14:paraId="42D7DCD9" w14:textId="77777777" w:rsidR="000B3C5C" w:rsidRDefault="00ED192D">
            <w:pPr>
              <w:spacing w:after="0" w:line="259" w:lineRule="auto"/>
              <w:ind w:left="46" w:firstLine="0"/>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w:t>
            </w:r>
          </w:p>
          <w:p w14:paraId="6E403790" w14:textId="77777777" w:rsidR="000B3C5C" w:rsidRDefault="00ED192D">
            <w:pPr>
              <w:spacing w:after="136" w:line="235" w:lineRule="auto"/>
              <w:ind w:left="146" w:hanging="55"/>
            </w:pPr>
            <w:r>
              <w:rPr>
                <w:rFonts w:ascii="Arial" w:eastAsia="Arial" w:hAnsi="Arial" w:cs="Arial"/>
                <w:sz w:val="20"/>
              </w:rPr>
              <w:t>IV methylprednisolone or equivalent and convert to 1</w:t>
            </w:r>
            <w:r>
              <w:rPr>
                <w:rFonts w:ascii="Segoe UI Symbol" w:eastAsia="Segoe UI Symbol" w:hAnsi="Segoe UI Symbol" w:cs="Segoe UI Symbol"/>
                <w:sz w:val="20"/>
              </w:rPr>
              <w:t>−</w:t>
            </w:r>
            <w:r>
              <w:rPr>
                <w:rFonts w:ascii="Arial" w:eastAsia="Arial" w:hAnsi="Arial" w:cs="Arial"/>
                <w:sz w:val="20"/>
              </w:rPr>
              <w:t xml:space="preserve">2 mg/kg/day oral prednisone or equivalent upon improvement. </w:t>
            </w:r>
          </w:p>
          <w:p w14:paraId="30A07B23" w14:textId="77777777" w:rsidR="000B3C5C" w:rsidRDefault="00ED192D">
            <w:pPr>
              <w:spacing w:after="0" w:line="259" w:lineRule="auto"/>
              <w:ind w:left="0" w:right="45"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220A651B" w14:textId="77777777">
        <w:trPr>
          <w:trHeight w:val="590"/>
        </w:trPr>
        <w:tc>
          <w:tcPr>
            <w:tcW w:w="1930" w:type="dxa"/>
            <w:tcBorders>
              <w:top w:val="single" w:sz="4" w:space="0" w:color="000000"/>
              <w:left w:val="nil"/>
              <w:bottom w:val="single" w:sz="4" w:space="0" w:color="000000"/>
              <w:right w:val="nil"/>
            </w:tcBorders>
            <w:vAlign w:val="bottom"/>
          </w:tcPr>
          <w:p w14:paraId="0A880D21" w14:textId="77777777" w:rsidR="000B3C5C" w:rsidRDefault="00ED192D">
            <w:pPr>
              <w:spacing w:after="0" w:line="259" w:lineRule="auto"/>
              <w:ind w:left="0" w:right="93" w:firstLine="0"/>
              <w:jc w:val="center"/>
            </w:pPr>
            <w:r>
              <w:rPr>
                <w:rFonts w:ascii="Arial" w:eastAsia="Arial" w:hAnsi="Arial" w:cs="Arial"/>
                <w:b/>
                <w:sz w:val="20"/>
              </w:rPr>
              <w:t xml:space="preserve">Event </w:t>
            </w:r>
          </w:p>
        </w:tc>
        <w:tc>
          <w:tcPr>
            <w:tcW w:w="2139" w:type="dxa"/>
            <w:gridSpan w:val="2"/>
            <w:tcBorders>
              <w:top w:val="single" w:sz="4" w:space="0" w:color="000000"/>
              <w:left w:val="nil"/>
              <w:bottom w:val="single" w:sz="4" w:space="0" w:color="000000"/>
              <w:right w:val="nil"/>
            </w:tcBorders>
          </w:tcPr>
          <w:p w14:paraId="206C5BEB" w14:textId="77777777" w:rsidR="000B3C5C" w:rsidRDefault="00ED192D">
            <w:pPr>
              <w:spacing w:after="0" w:line="259" w:lineRule="auto"/>
              <w:ind w:left="281" w:firstLine="94"/>
            </w:pPr>
            <w:r>
              <w:rPr>
                <w:rFonts w:ascii="Arial" w:eastAsia="Arial" w:hAnsi="Arial" w:cs="Arial"/>
                <w:b/>
                <w:sz w:val="20"/>
              </w:rPr>
              <w:t xml:space="preserve">Isatuximab management </w:t>
            </w:r>
          </w:p>
        </w:tc>
        <w:tc>
          <w:tcPr>
            <w:tcW w:w="2621" w:type="dxa"/>
            <w:gridSpan w:val="2"/>
            <w:tcBorders>
              <w:top w:val="single" w:sz="4" w:space="0" w:color="000000"/>
              <w:left w:val="nil"/>
              <w:bottom w:val="single" w:sz="4" w:space="0" w:color="000000"/>
              <w:right w:val="nil"/>
            </w:tcBorders>
          </w:tcPr>
          <w:p w14:paraId="780F114C" w14:textId="77777777" w:rsidR="000B3C5C" w:rsidRDefault="00ED192D">
            <w:pPr>
              <w:spacing w:after="0" w:line="259" w:lineRule="auto"/>
              <w:ind w:left="506" w:hanging="26"/>
            </w:pPr>
            <w:r>
              <w:rPr>
                <w:rFonts w:ascii="Arial" w:eastAsia="Arial" w:hAnsi="Arial" w:cs="Arial"/>
                <w:b/>
                <w:sz w:val="20"/>
              </w:rPr>
              <w:t xml:space="preserve">Atezolizumab management </w:t>
            </w:r>
          </w:p>
        </w:tc>
        <w:tc>
          <w:tcPr>
            <w:tcW w:w="2890" w:type="dxa"/>
            <w:tcBorders>
              <w:top w:val="single" w:sz="4" w:space="0" w:color="000000"/>
              <w:left w:val="nil"/>
              <w:bottom w:val="single" w:sz="4" w:space="0" w:color="000000"/>
              <w:right w:val="nil"/>
            </w:tcBorders>
            <w:vAlign w:val="bottom"/>
          </w:tcPr>
          <w:p w14:paraId="75178306" w14:textId="77777777" w:rsidR="000B3C5C" w:rsidRDefault="00ED192D">
            <w:pPr>
              <w:spacing w:after="0" w:line="259" w:lineRule="auto"/>
              <w:ind w:left="0" w:right="122" w:firstLine="0"/>
              <w:jc w:val="center"/>
            </w:pPr>
            <w:r>
              <w:rPr>
                <w:rFonts w:ascii="Arial" w:eastAsia="Arial" w:hAnsi="Arial" w:cs="Arial"/>
                <w:b/>
                <w:sz w:val="20"/>
              </w:rPr>
              <w:t xml:space="preserve">Action and guidance </w:t>
            </w:r>
          </w:p>
        </w:tc>
      </w:tr>
      <w:tr w:rsidR="000B3C5C" w14:paraId="3FBB9984" w14:textId="77777777">
        <w:trPr>
          <w:trHeight w:val="893"/>
        </w:trPr>
        <w:tc>
          <w:tcPr>
            <w:tcW w:w="1930" w:type="dxa"/>
            <w:tcBorders>
              <w:top w:val="single" w:sz="4" w:space="0" w:color="000000"/>
              <w:left w:val="nil"/>
              <w:bottom w:val="nil"/>
              <w:right w:val="nil"/>
            </w:tcBorders>
          </w:tcPr>
          <w:p w14:paraId="03D59441" w14:textId="77777777" w:rsidR="000B3C5C" w:rsidRDefault="00ED192D">
            <w:pPr>
              <w:spacing w:after="0" w:line="259" w:lineRule="auto"/>
              <w:ind w:left="439" w:hanging="103"/>
            </w:pPr>
            <w:r>
              <w:rPr>
                <w:rFonts w:ascii="Arial" w:eastAsia="Arial" w:hAnsi="Arial" w:cs="Arial"/>
                <w:sz w:val="20"/>
              </w:rPr>
              <w:t xml:space="preserve">Hyperglycemia, Grade 1 or 2  </w:t>
            </w:r>
          </w:p>
        </w:tc>
        <w:tc>
          <w:tcPr>
            <w:tcW w:w="2139" w:type="dxa"/>
            <w:gridSpan w:val="2"/>
            <w:tcBorders>
              <w:top w:val="single" w:sz="4" w:space="0" w:color="000000"/>
              <w:left w:val="nil"/>
              <w:bottom w:val="nil"/>
              <w:right w:val="nil"/>
            </w:tcBorders>
          </w:tcPr>
          <w:p w14:paraId="33A5341E" w14:textId="77777777" w:rsidR="000B3C5C" w:rsidRDefault="00ED192D">
            <w:pPr>
              <w:spacing w:after="43" w:line="259" w:lineRule="auto"/>
              <w:ind w:left="190" w:firstLine="0"/>
            </w:pPr>
            <w:r>
              <w:rPr>
                <w:rFonts w:ascii="Arial" w:eastAsia="Arial" w:hAnsi="Arial" w:cs="Arial"/>
                <w:sz w:val="20"/>
              </w:rPr>
              <w:t xml:space="preserve">No change in dose. </w:t>
            </w:r>
          </w:p>
          <w:p w14:paraId="63CD26B5" w14:textId="77777777" w:rsidR="000B3C5C" w:rsidRDefault="00ED192D">
            <w:pPr>
              <w:spacing w:after="0" w:line="259" w:lineRule="auto"/>
              <w:ind w:left="898" w:firstLine="0"/>
            </w:pPr>
            <w:r>
              <w:rPr>
                <w:rFonts w:ascii="Arial" w:eastAsia="Arial" w:hAnsi="Arial" w:cs="Arial"/>
                <w:sz w:val="20"/>
              </w:rPr>
              <w:t xml:space="preserve"> </w:t>
            </w:r>
          </w:p>
        </w:tc>
        <w:tc>
          <w:tcPr>
            <w:tcW w:w="2621" w:type="dxa"/>
            <w:gridSpan w:val="2"/>
            <w:tcBorders>
              <w:top w:val="single" w:sz="4" w:space="0" w:color="000000"/>
              <w:left w:val="nil"/>
              <w:bottom w:val="nil"/>
              <w:right w:val="nil"/>
            </w:tcBorders>
          </w:tcPr>
          <w:p w14:paraId="5052D65A" w14:textId="77777777" w:rsidR="000B3C5C" w:rsidRDefault="00ED192D">
            <w:pPr>
              <w:spacing w:after="0" w:line="259" w:lineRule="auto"/>
              <w:ind w:left="439" w:firstLine="0"/>
            </w:pPr>
            <w:r>
              <w:rPr>
                <w:rFonts w:ascii="Arial" w:eastAsia="Arial" w:hAnsi="Arial" w:cs="Arial"/>
                <w:sz w:val="20"/>
              </w:rPr>
              <w:t xml:space="preserve">No change in dose </w:t>
            </w:r>
          </w:p>
        </w:tc>
        <w:tc>
          <w:tcPr>
            <w:tcW w:w="2890" w:type="dxa"/>
            <w:tcBorders>
              <w:top w:val="single" w:sz="4" w:space="0" w:color="000000"/>
              <w:left w:val="nil"/>
              <w:bottom w:val="nil"/>
              <w:right w:val="nil"/>
            </w:tcBorders>
          </w:tcPr>
          <w:p w14:paraId="14F62A6B" w14:textId="77777777" w:rsidR="000B3C5C" w:rsidRDefault="00ED192D">
            <w:pPr>
              <w:spacing w:after="58" w:line="241" w:lineRule="auto"/>
              <w:ind w:left="1076" w:hanging="802"/>
            </w:pPr>
            <w:r>
              <w:rPr>
                <w:rFonts w:ascii="Arial" w:eastAsia="Arial" w:hAnsi="Arial" w:cs="Arial"/>
                <w:sz w:val="20"/>
              </w:rPr>
              <w:t xml:space="preserve">Initiate treatment with insulin if needed. </w:t>
            </w:r>
          </w:p>
          <w:p w14:paraId="42C5F7AE" w14:textId="77777777" w:rsidR="000B3C5C" w:rsidRDefault="00ED192D">
            <w:pPr>
              <w:spacing w:after="0" w:line="259" w:lineRule="auto"/>
              <w:ind w:left="0" w:right="120" w:firstLine="0"/>
              <w:jc w:val="center"/>
            </w:pPr>
            <w:r>
              <w:rPr>
                <w:rFonts w:ascii="Arial" w:eastAsia="Arial" w:hAnsi="Arial" w:cs="Arial"/>
                <w:sz w:val="20"/>
              </w:rPr>
              <w:t xml:space="preserve">Monitor for glucose control. </w:t>
            </w:r>
          </w:p>
        </w:tc>
      </w:tr>
      <w:tr w:rsidR="000B3C5C" w14:paraId="7EEE1BF9" w14:textId="77777777">
        <w:trPr>
          <w:trHeight w:val="1786"/>
        </w:trPr>
        <w:tc>
          <w:tcPr>
            <w:tcW w:w="1930" w:type="dxa"/>
            <w:tcBorders>
              <w:top w:val="nil"/>
              <w:left w:val="nil"/>
              <w:bottom w:val="nil"/>
              <w:right w:val="nil"/>
            </w:tcBorders>
          </w:tcPr>
          <w:p w14:paraId="1AFD257C" w14:textId="77777777" w:rsidR="000B3C5C" w:rsidRDefault="00ED192D">
            <w:pPr>
              <w:spacing w:after="0" w:line="259" w:lineRule="auto"/>
              <w:ind w:left="439" w:hanging="103"/>
            </w:pPr>
            <w:r>
              <w:rPr>
                <w:rFonts w:ascii="Arial" w:eastAsia="Arial" w:hAnsi="Arial" w:cs="Arial"/>
                <w:sz w:val="20"/>
              </w:rPr>
              <w:t xml:space="preserve">Hyperglycemia, Grade 3 or 4 </w:t>
            </w:r>
          </w:p>
        </w:tc>
        <w:tc>
          <w:tcPr>
            <w:tcW w:w="2139" w:type="dxa"/>
            <w:gridSpan w:val="2"/>
            <w:tcBorders>
              <w:top w:val="nil"/>
              <w:left w:val="nil"/>
              <w:bottom w:val="nil"/>
              <w:right w:val="nil"/>
            </w:tcBorders>
          </w:tcPr>
          <w:p w14:paraId="7C93D94A" w14:textId="77777777" w:rsidR="000B3C5C" w:rsidRDefault="00ED192D">
            <w:pPr>
              <w:spacing w:after="0" w:line="241" w:lineRule="auto"/>
              <w:ind w:left="127" w:hanging="101"/>
            </w:pPr>
            <w:r>
              <w:rPr>
                <w:rFonts w:ascii="Arial" w:eastAsia="Arial" w:hAnsi="Arial" w:cs="Arial"/>
                <w:sz w:val="20"/>
              </w:rPr>
              <w:t xml:space="preserve">Delay or omit dose </w:t>
            </w:r>
            <w:r>
              <w:rPr>
                <w:rFonts w:ascii="Arial" w:eastAsia="Arial" w:hAnsi="Arial" w:cs="Arial"/>
                <w:sz w:val="20"/>
              </w:rPr>
              <w:t xml:space="preserve">for a maximum of 2 weeks </w:t>
            </w:r>
          </w:p>
          <w:p w14:paraId="4F03E484" w14:textId="77777777" w:rsidR="000B3C5C" w:rsidRDefault="00ED192D">
            <w:pPr>
              <w:spacing w:after="41" w:line="259" w:lineRule="auto"/>
              <w:ind w:left="209"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p w14:paraId="636286B9" w14:textId="77777777" w:rsidR="000B3C5C" w:rsidRDefault="00ED192D">
            <w:pPr>
              <w:spacing w:after="0" w:line="259" w:lineRule="auto"/>
              <w:ind w:left="19" w:right="57" w:firstLine="158"/>
            </w:pPr>
            <w:r>
              <w:rPr>
                <w:rFonts w:ascii="Arial" w:eastAsia="Arial" w:hAnsi="Arial" w:cs="Arial"/>
                <w:sz w:val="20"/>
              </w:rPr>
              <w:t xml:space="preserve">Resume isatuximab when symptoms resolve and glucose levels are stable. </w:t>
            </w:r>
          </w:p>
        </w:tc>
        <w:tc>
          <w:tcPr>
            <w:tcW w:w="2621" w:type="dxa"/>
            <w:gridSpan w:val="2"/>
            <w:tcBorders>
              <w:top w:val="nil"/>
              <w:left w:val="nil"/>
              <w:bottom w:val="nil"/>
              <w:right w:val="nil"/>
            </w:tcBorders>
          </w:tcPr>
          <w:p w14:paraId="55D76130" w14:textId="77777777" w:rsidR="000B3C5C" w:rsidRDefault="00ED192D">
            <w:pPr>
              <w:spacing w:after="41" w:line="259" w:lineRule="auto"/>
              <w:ind w:left="682" w:firstLine="0"/>
            </w:pPr>
            <w:r>
              <w:rPr>
                <w:rFonts w:ascii="Arial" w:eastAsia="Arial" w:hAnsi="Arial" w:cs="Arial"/>
                <w:sz w:val="20"/>
              </w:rPr>
              <w:t xml:space="preserve">Delay cycle. </w:t>
            </w:r>
          </w:p>
          <w:p w14:paraId="42B8638D" w14:textId="77777777" w:rsidR="000B3C5C" w:rsidRDefault="00ED192D">
            <w:pPr>
              <w:spacing w:after="0" w:line="259" w:lineRule="auto"/>
              <w:ind w:left="0" w:firstLine="94"/>
            </w:pPr>
            <w:r>
              <w:rPr>
                <w:rFonts w:ascii="Arial" w:eastAsia="Arial" w:hAnsi="Arial" w:cs="Arial"/>
                <w:sz w:val="20"/>
              </w:rPr>
              <w:t xml:space="preserve">Resume atezolizumab when symptoms resolve and glucose levels are stable. </w:t>
            </w:r>
          </w:p>
        </w:tc>
        <w:tc>
          <w:tcPr>
            <w:tcW w:w="2890" w:type="dxa"/>
            <w:tcBorders>
              <w:top w:val="nil"/>
              <w:left w:val="nil"/>
              <w:bottom w:val="nil"/>
              <w:right w:val="nil"/>
            </w:tcBorders>
          </w:tcPr>
          <w:p w14:paraId="36CFEE64" w14:textId="77777777" w:rsidR="000B3C5C" w:rsidRDefault="00ED192D">
            <w:pPr>
              <w:spacing w:after="41" w:line="259" w:lineRule="auto"/>
              <w:ind w:left="314" w:firstLine="0"/>
            </w:pPr>
            <w:r>
              <w:rPr>
                <w:rFonts w:ascii="Arial" w:eastAsia="Arial" w:hAnsi="Arial" w:cs="Arial"/>
                <w:sz w:val="20"/>
              </w:rPr>
              <w:t xml:space="preserve">Initiate treatment with insulin. </w:t>
            </w:r>
          </w:p>
          <w:p w14:paraId="61F947D2" w14:textId="77777777" w:rsidR="000B3C5C" w:rsidRDefault="00ED192D">
            <w:pPr>
              <w:spacing w:after="43" w:line="259" w:lineRule="auto"/>
              <w:ind w:left="0" w:right="120" w:firstLine="0"/>
              <w:jc w:val="center"/>
            </w:pPr>
            <w:r>
              <w:rPr>
                <w:rFonts w:ascii="Arial" w:eastAsia="Arial" w:hAnsi="Arial" w:cs="Arial"/>
                <w:sz w:val="20"/>
              </w:rPr>
              <w:t xml:space="preserve">Monitor for glucose control. </w:t>
            </w:r>
          </w:p>
          <w:p w14:paraId="334526CC" w14:textId="77777777" w:rsidR="000B3C5C" w:rsidRDefault="00ED192D">
            <w:pPr>
              <w:spacing w:after="0" w:line="259" w:lineRule="auto"/>
              <w:ind w:left="0" w:right="72" w:firstLine="0"/>
              <w:jc w:val="center"/>
            </w:pPr>
            <w:r>
              <w:rPr>
                <w:rFonts w:ascii="Arial" w:eastAsia="Arial" w:hAnsi="Arial" w:cs="Arial"/>
                <w:sz w:val="20"/>
              </w:rPr>
              <w:t xml:space="preserve"> </w:t>
            </w:r>
          </w:p>
        </w:tc>
      </w:tr>
      <w:tr w:rsidR="000B3C5C" w14:paraId="72727174" w14:textId="77777777">
        <w:trPr>
          <w:trHeight w:val="3246"/>
        </w:trPr>
        <w:tc>
          <w:tcPr>
            <w:tcW w:w="1930" w:type="dxa"/>
            <w:tcBorders>
              <w:top w:val="nil"/>
              <w:left w:val="nil"/>
              <w:bottom w:val="nil"/>
              <w:right w:val="nil"/>
            </w:tcBorders>
          </w:tcPr>
          <w:p w14:paraId="0FB424AF" w14:textId="77777777" w:rsidR="000B3C5C" w:rsidRDefault="00ED192D">
            <w:pPr>
              <w:spacing w:after="0" w:line="259" w:lineRule="auto"/>
              <w:ind w:left="0" w:right="94" w:firstLine="0"/>
              <w:jc w:val="center"/>
            </w:pPr>
            <w:r>
              <w:rPr>
                <w:rFonts w:ascii="Arial" w:eastAsia="Arial" w:hAnsi="Arial" w:cs="Arial"/>
                <w:sz w:val="20"/>
              </w:rPr>
              <w:t xml:space="preserve">Hypophysitis </w:t>
            </w:r>
          </w:p>
          <w:p w14:paraId="0CEFFF68" w14:textId="77777777" w:rsidR="000B3C5C" w:rsidRDefault="00ED192D">
            <w:pPr>
              <w:spacing w:after="0" w:line="259" w:lineRule="auto"/>
              <w:ind w:left="439" w:hanging="331"/>
            </w:pPr>
            <w:r>
              <w:rPr>
                <w:rFonts w:ascii="Arial" w:eastAsia="Arial" w:hAnsi="Arial" w:cs="Arial"/>
                <w:sz w:val="20"/>
              </w:rPr>
              <w:t xml:space="preserve">(pan-hypopituitarism), Grade 2 or 3  </w:t>
            </w:r>
          </w:p>
        </w:tc>
        <w:tc>
          <w:tcPr>
            <w:tcW w:w="2139" w:type="dxa"/>
            <w:gridSpan w:val="2"/>
            <w:tcBorders>
              <w:top w:val="nil"/>
              <w:left w:val="nil"/>
              <w:bottom w:val="nil"/>
              <w:right w:val="nil"/>
            </w:tcBorders>
          </w:tcPr>
          <w:p w14:paraId="6E25E43D" w14:textId="77777777" w:rsidR="000B3C5C" w:rsidRDefault="00ED192D">
            <w:pPr>
              <w:spacing w:after="26" w:line="275" w:lineRule="auto"/>
              <w:ind w:left="720" w:hanging="648"/>
            </w:pPr>
            <w:r>
              <w:rPr>
                <w:rFonts w:ascii="Arial" w:eastAsia="Arial" w:hAnsi="Arial" w:cs="Arial"/>
                <w:sz w:val="20"/>
              </w:rPr>
              <w:t xml:space="preserve">Grade 2: No change in </w:t>
            </w:r>
            <w:r>
              <w:rPr>
                <w:rFonts w:ascii="Arial" w:eastAsia="Arial" w:hAnsi="Arial" w:cs="Arial"/>
                <w:sz w:val="20"/>
              </w:rPr>
              <w:tab/>
              <w:t xml:space="preserve">  dose </w:t>
            </w:r>
          </w:p>
          <w:p w14:paraId="3EB1DF7D" w14:textId="77777777" w:rsidR="000B3C5C" w:rsidRDefault="00ED192D">
            <w:pPr>
              <w:spacing w:after="0" w:line="241" w:lineRule="auto"/>
              <w:ind w:left="127" w:hanging="41"/>
            </w:pPr>
            <w:r>
              <w:rPr>
                <w:rFonts w:ascii="Arial" w:eastAsia="Arial" w:hAnsi="Arial" w:cs="Arial"/>
                <w:sz w:val="20"/>
              </w:rPr>
              <w:t xml:space="preserve">Grade 3: delay </w:t>
            </w:r>
            <w:r>
              <w:rPr>
                <w:rFonts w:ascii="Arial" w:eastAsia="Arial" w:hAnsi="Arial" w:cs="Arial"/>
                <w:sz w:val="20"/>
              </w:rPr>
              <w:t xml:space="preserve">or omit dose until resolves to </w:t>
            </w:r>
          </w:p>
          <w:p w14:paraId="48D78478" w14:textId="77777777" w:rsidR="000B3C5C" w:rsidRDefault="00ED192D">
            <w:pPr>
              <w:spacing w:after="0" w:line="241" w:lineRule="auto"/>
              <w:ind w:left="127" w:firstLine="230"/>
            </w:pPr>
            <w:r>
              <w:rPr>
                <w:rFonts w:ascii="Arial" w:eastAsia="Arial" w:hAnsi="Arial" w:cs="Arial"/>
                <w:sz w:val="20"/>
              </w:rPr>
              <w:t xml:space="preserve">≤Grade 2 for a maximum of 2 weeks </w:t>
            </w:r>
          </w:p>
          <w:p w14:paraId="0F01C311" w14:textId="77777777" w:rsidR="000B3C5C" w:rsidRDefault="00ED192D">
            <w:pPr>
              <w:spacing w:after="0" w:line="259" w:lineRule="auto"/>
              <w:ind w:left="209"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621" w:type="dxa"/>
            <w:gridSpan w:val="2"/>
            <w:tcBorders>
              <w:top w:val="nil"/>
              <w:left w:val="nil"/>
              <w:bottom w:val="nil"/>
              <w:right w:val="nil"/>
            </w:tcBorders>
          </w:tcPr>
          <w:p w14:paraId="51A523FD" w14:textId="77777777" w:rsidR="000B3C5C" w:rsidRDefault="00ED192D">
            <w:pPr>
              <w:spacing w:after="0" w:line="259" w:lineRule="auto"/>
              <w:ind w:left="-26" w:firstLine="0"/>
            </w:pPr>
            <w:r>
              <w:rPr>
                <w:rFonts w:ascii="Arial" w:eastAsia="Arial" w:hAnsi="Arial" w:cs="Arial"/>
                <w:sz w:val="20"/>
              </w:rPr>
              <w:t xml:space="preserve">    Omit/withhold atezolizumab</w:t>
            </w:r>
            <w:r>
              <w:rPr>
                <w:rFonts w:ascii="Arial" w:eastAsia="Arial" w:hAnsi="Arial" w:cs="Arial"/>
                <w:i/>
                <w:color w:val="0000FF"/>
                <w:sz w:val="28"/>
                <w:vertAlign w:val="superscript"/>
              </w:rPr>
              <w:t>a</w:t>
            </w:r>
            <w:r>
              <w:rPr>
                <w:rFonts w:ascii="Arial" w:eastAsia="Arial" w:hAnsi="Arial" w:cs="Arial"/>
                <w:sz w:val="20"/>
              </w:rPr>
              <w:t xml:space="preserve"> </w:t>
            </w:r>
          </w:p>
          <w:p w14:paraId="47627F52" w14:textId="77777777" w:rsidR="000B3C5C" w:rsidRDefault="00ED192D">
            <w:pPr>
              <w:spacing w:after="15" w:line="223" w:lineRule="auto"/>
              <w:ind w:left="48" w:hanging="26"/>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28BB4189" w14:textId="77777777" w:rsidR="000B3C5C" w:rsidRDefault="00ED192D">
            <w:pPr>
              <w:spacing w:after="0" w:line="259" w:lineRule="auto"/>
              <w:ind w:left="139" w:firstLine="0"/>
            </w:pPr>
            <w:r>
              <w:rPr>
                <w:rFonts w:ascii="Arial" w:eastAsia="Arial" w:hAnsi="Arial" w:cs="Arial"/>
                <w:sz w:val="20"/>
              </w:rPr>
              <w:t xml:space="preserve">If event does not resolve to  </w:t>
            </w:r>
          </w:p>
          <w:p w14:paraId="32CDE8F5" w14:textId="77777777" w:rsidR="000B3C5C" w:rsidRDefault="00ED192D">
            <w:pPr>
              <w:spacing w:after="2" w:line="239" w:lineRule="auto"/>
              <w:ind w:left="185" w:firstLine="106"/>
            </w:pPr>
            <w:r>
              <w:rPr>
                <w:rFonts w:ascii="Arial" w:eastAsia="Arial" w:hAnsi="Arial" w:cs="Arial"/>
                <w:sz w:val="20"/>
              </w:rPr>
              <w:t xml:space="preserve">Grade 1 or better while withholding atezolizumab, </w:t>
            </w:r>
          </w:p>
          <w:p w14:paraId="206EBDB9" w14:textId="77777777" w:rsidR="000B3C5C" w:rsidRDefault="00ED192D">
            <w:pPr>
              <w:spacing w:after="0" w:line="259" w:lineRule="auto"/>
              <w:ind w:left="605" w:hanging="370"/>
            </w:pPr>
            <w:r>
              <w:rPr>
                <w:rFonts w:ascii="Arial" w:eastAsia="Arial" w:hAnsi="Arial" w:cs="Arial"/>
                <w:sz w:val="20"/>
              </w:rPr>
              <w:t>permanently discontinue atezolizumab</w:t>
            </w:r>
            <w:r>
              <w:rPr>
                <w:rFonts w:ascii="Arial" w:eastAsia="Arial" w:hAnsi="Arial" w:cs="Arial"/>
                <w:i/>
                <w:color w:val="0000FF"/>
                <w:sz w:val="28"/>
                <w:vertAlign w:val="superscript"/>
              </w:rPr>
              <w:t>c</w:t>
            </w:r>
            <w:r>
              <w:rPr>
                <w:rFonts w:ascii="Arial" w:eastAsia="Arial" w:hAnsi="Arial" w:cs="Arial"/>
                <w:sz w:val="20"/>
              </w:rPr>
              <w:t xml:space="preserve"> </w:t>
            </w:r>
          </w:p>
        </w:tc>
        <w:tc>
          <w:tcPr>
            <w:tcW w:w="2890" w:type="dxa"/>
            <w:tcBorders>
              <w:top w:val="nil"/>
              <w:left w:val="nil"/>
              <w:bottom w:val="nil"/>
              <w:right w:val="nil"/>
            </w:tcBorders>
          </w:tcPr>
          <w:p w14:paraId="537116F5" w14:textId="77777777" w:rsidR="000B3C5C" w:rsidRDefault="00ED192D">
            <w:pPr>
              <w:spacing w:after="43" w:line="259" w:lineRule="auto"/>
              <w:ind w:left="214" w:firstLine="0"/>
            </w:pPr>
            <w:r>
              <w:rPr>
                <w:rFonts w:ascii="Arial" w:eastAsia="Arial" w:hAnsi="Arial" w:cs="Arial"/>
                <w:sz w:val="20"/>
              </w:rPr>
              <w:t xml:space="preserve">Refer patient to endocrinologist. </w:t>
            </w:r>
          </w:p>
          <w:p w14:paraId="348A8A0C" w14:textId="77777777" w:rsidR="000B3C5C" w:rsidRDefault="00ED192D">
            <w:pPr>
              <w:spacing w:after="55" w:line="259" w:lineRule="auto"/>
              <w:ind w:left="0" w:firstLine="0"/>
            </w:pPr>
            <w:r>
              <w:rPr>
                <w:rFonts w:ascii="Arial" w:eastAsia="Arial" w:hAnsi="Arial" w:cs="Arial"/>
                <w:sz w:val="20"/>
              </w:rPr>
              <w:t xml:space="preserve">Perform brain MRI (pituitary protocol). </w:t>
            </w:r>
          </w:p>
          <w:p w14:paraId="41DECE6B" w14:textId="77777777" w:rsidR="000B3C5C" w:rsidRDefault="00ED192D">
            <w:pPr>
              <w:spacing w:after="0" w:line="259" w:lineRule="auto"/>
              <w:ind w:left="22" w:firstLine="0"/>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w:t>
            </w:r>
          </w:p>
          <w:p w14:paraId="1BA1B378" w14:textId="77777777" w:rsidR="000B3C5C" w:rsidRDefault="00ED192D">
            <w:pPr>
              <w:spacing w:after="63" w:line="236" w:lineRule="auto"/>
              <w:ind w:left="122" w:hanging="55"/>
            </w:pPr>
            <w:r>
              <w:rPr>
                <w:rFonts w:ascii="Arial" w:eastAsia="Arial" w:hAnsi="Arial" w:cs="Arial"/>
                <w:sz w:val="20"/>
              </w:rPr>
              <w:t>IV methylprednisolone or equivalent and convert to 1</w:t>
            </w:r>
            <w:r>
              <w:rPr>
                <w:rFonts w:ascii="Segoe UI Symbol" w:eastAsia="Segoe UI Symbol" w:hAnsi="Segoe UI Symbol" w:cs="Segoe UI Symbol"/>
                <w:sz w:val="20"/>
              </w:rPr>
              <w:t>−</w:t>
            </w:r>
            <w:r>
              <w:rPr>
                <w:rFonts w:ascii="Arial" w:eastAsia="Arial" w:hAnsi="Arial" w:cs="Arial"/>
                <w:sz w:val="20"/>
              </w:rPr>
              <w:t xml:space="preserve">2 mg/kg/day oral prednisone or equivalent upon improvement. </w:t>
            </w:r>
          </w:p>
          <w:p w14:paraId="256EB8D8" w14:textId="77777777" w:rsidR="000B3C5C" w:rsidRDefault="00ED192D">
            <w:pPr>
              <w:spacing w:after="130" w:line="241" w:lineRule="auto"/>
              <w:ind w:left="747" w:hanging="545"/>
            </w:pPr>
            <w:r>
              <w:rPr>
                <w:rFonts w:ascii="Arial" w:eastAsia="Arial" w:hAnsi="Arial" w:cs="Arial"/>
                <w:sz w:val="20"/>
              </w:rPr>
              <w:t xml:space="preserve">Initiate hormone replacement as clinically needed. </w:t>
            </w:r>
          </w:p>
          <w:p w14:paraId="23B5FD6E" w14:textId="77777777" w:rsidR="000B3C5C" w:rsidRDefault="00ED192D">
            <w:pPr>
              <w:spacing w:after="0" w:line="259" w:lineRule="auto"/>
              <w:ind w:left="0" w:right="120"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17C818F7" w14:textId="77777777" w:rsidR="000B3C5C" w:rsidRDefault="00ED192D">
            <w:pPr>
              <w:spacing w:after="0" w:line="259" w:lineRule="auto"/>
              <w:ind w:left="830" w:hanging="794"/>
            </w:pPr>
            <w:r>
              <w:rPr>
                <w:rFonts w:ascii="Arial" w:eastAsia="Arial" w:hAnsi="Arial" w:cs="Arial"/>
                <w:sz w:val="20"/>
              </w:rPr>
              <w:t xml:space="preserve">For recurrent hypophysitis, treat as a Grade 4 event. </w:t>
            </w:r>
          </w:p>
        </w:tc>
      </w:tr>
      <w:tr w:rsidR="000B3C5C" w14:paraId="6239D7A6" w14:textId="77777777">
        <w:trPr>
          <w:trHeight w:val="2723"/>
        </w:trPr>
        <w:tc>
          <w:tcPr>
            <w:tcW w:w="1930" w:type="dxa"/>
            <w:tcBorders>
              <w:top w:val="nil"/>
              <w:left w:val="nil"/>
              <w:bottom w:val="single" w:sz="12" w:space="0" w:color="000000"/>
              <w:right w:val="nil"/>
            </w:tcBorders>
          </w:tcPr>
          <w:p w14:paraId="2B77520C" w14:textId="77777777" w:rsidR="000B3C5C" w:rsidRDefault="00ED192D">
            <w:pPr>
              <w:spacing w:after="0" w:line="259" w:lineRule="auto"/>
              <w:ind w:left="0" w:right="94" w:firstLine="0"/>
              <w:jc w:val="center"/>
            </w:pPr>
            <w:r>
              <w:rPr>
                <w:rFonts w:ascii="Arial" w:eastAsia="Arial" w:hAnsi="Arial" w:cs="Arial"/>
                <w:sz w:val="20"/>
              </w:rPr>
              <w:t xml:space="preserve">Hypophysitis </w:t>
            </w:r>
          </w:p>
          <w:p w14:paraId="1B936736" w14:textId="77777777" w:rsidR="000B3C5C" w:rsidRDefault="00ED192D">
            <w:pPr>
              <w:spacing w:after="0" w:line="259" w:lineRule="auto"/>
              <w:ind w:left="605" w:hanging="497"/>
            </w:pPr>
            <w:r>
              <w:rPr>
                <w:rFonts w:ascii="Arial" w:eastAsia="Arial" w:hAnsi="Arial" w:cs="Arial"/>
                <w:sz w:val="20"/>
              </w:rPr>
              <w:t xml:space="preserve">(pan-hypopituitarism), Grade 4  </w:t>
            </w:r>
          </w:p>
        </w:tc>
        <w:tc>
          <w:tcPr>
            <w:tcW w:w="2139" w:type="dxa"/>
            <w:gridSpan w:val="2"/>
            <w:tcBorders>
              <w:top w:val="nil"/>
              <w:left w:val="nil"/>
              <w:bottom w:val="single" w:sz="12" w:space="0" w:color="000000"/>
              <w:right w:val="nil"/>
            </w:tcBorders>
          </w:tcPr>
          <w:p w14:paraId="00EB35B9" w14:textId="77777777" w:rsidR="000B3C5C" w:rsidRDefault="00ED192D">
            <w:pPr>
              <w:spacing w:after="0" w:line="242" w:lineRule="auto"/>
              <w:ind w:left="329" w:hanging="329"/>
            </w:pPr>
            <w:r>
              <w:rPr>
                <w:rFonts w:ascii="Arial" w:eastAsia="Arial" w:hAnsi="Arial" w:cs="Arial"/>
                <w:sz w:val="20"/>
              </w:rPr>
              <w:t xml:space="preserve">Delay or omit isatuximab until resolves to </w:t>
            </w:r>
          </w:p>
          <w:p w14:paraId="5A78A909" w14:textId="77777777" w:rsidR="000B3C5C" w:rsidRDefault="00ED192D">
            <w:pPr>
              <w:spacing w:after="2" w:line="239" w:lineRule="auto"/>
              <w:ind w:left="127" w:firstLine="230"/>
            </w:pPr>
            <w:r>
              <w:rPr>
                <w:rFonts w:ascii="Arial" w:eastAsia="Arial" w:hAnsi="Arial" w:cs="Arial"/>
                <w:sz w:val="20"/>
              </w:rPr>
              <w:t xml:space="preserve">≤Grade 2 for a maximum of 2 weeks </w:t>
            </w:r>
          </w:p>
          <w:p w14:paraId="61F9AC44" w14:textId="77777777" w:rsidR="000B3C5C" w:rsidRDefault="00ED192D">
            <w:pPr>
              <w:spacing w:after="0" w:line="259" w:lineRule="auto"/>
              <w:ind w:left="209"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621" w:type="dxa"/>
            <w:gridSpan w:val="2"/>
            <w:tcBorders>
              <w:top w:val="nil"/>
              <w:left w:val="nil"/>
              <w:bottom w:val="single" w:sz="12" w:space="0" w:color="000000"/>
              <w:right w:val="nil"/>
            </w:tcBorders>
          </w:tcPr>
          <w:p w14:paraId="42528485" w14:textId="77777777" w:rsidR="000B3C5C" w:rsidRDefault="00ED192D">
            <w:pPr>
              <w:spacing w:after="0" w:line="259" w:lineRule="auto"/>
              <w:ind w:left="190" w:firstLine="0"/>
            </w:pPr>
            <w:r>
              <w:rPr>
                <w:rFonts w:ascii="Arial" w:eastAsia="Arial" w:hAnsi="Arial" w:cs="Arial"/>
                <w:sz w:val="20"/>
              </w:rPr>
              <w:t xml:space="preserve">Discontinue atezolizumab </w:t>
            </w:r>
          </w:p>
        </w:tc>
        <w:tc>
          <w:tcPr>
            <w:tcW w:w="2890" w:type="dxa"/>
            <w:tcBorders>
              <w:top w:val="nil"/>
              <w:left w:val="nil"/>
              <w:bottom w:val="single" w:sz="12" w:space="0" w:color="000000"/>
              <w:right w:val="nil"/>
            </w:tcBorders>
          </w:tcPr>
          <w:p w14:paraId="72B2B7A8" w14:textId="77777777" w:rsidR="000B3C5C" w:rsidRDefault="00ED192D">
            <w:pPr>
              <w:spacing w:after="0" w:line="323" w:lineRule="auto"/>
              <w:ind w:left="214" w:right="124" w:firstLine="238"/>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r>
              <w:rPr>
                <w:rFonts w:ascii="Arial" w:eastAsia="Arial" w:hAnsi="Arial" w:cs="Arial"/>
                <w:sz w:val="20"/>
              </w:rPr>
              <w:t xml:space="preserve">Refer patient to endocrinologist. </w:t>
            </w:r>
          </w:p>
          <w:p w14:paraId="4D3CA3F6" w14:textId="77777777" w:rsidR="000B3C5C" w:rsidRDefault="00ED192D">
            <w:pPr>
              <w:spacing w:after="58" w:line="259" w:lineRule="auto"/>
              <w:ind w:left="0" w:firstLine="0"/>
            </w:pPr>
            <w:r>
              <w:rPr>
                <w:rFonts w:ascii="Arial" w:eastAsia="Arial" w:hAnsi="Arial" w:cs="Arial"/>
                <w:sz w:val="20"/>
              </w:rPr>
              <w:t xml:space="preserve">Perform brain MRI (pituitary protocol). </w:t>
            </w:r>
          </w:p>
          <w:p w14:paraId="2A6AFED8" w14:textId="77777777" w:rsidR="000B3C5C" w:rsidRDefault="00ED192D">
            <w:pPr>
              <w:spacing w:after="0" w:line="259" w:lineRule="auto"/>
              <w:ind w:left="22" w:firstLine="0"/>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w:t>
            </w:r>
          </w:p>
          <w:p w14:paraId="65BF5C37" w14:textId="77777777" w:rsidR="000B3C5C" w:rsidRDefault="00ED192D">
            <w:pPr>
              <w:spacing w:after="64" w:line="235" w:lineRule="auto"/>
              <w:ind w:left="122" w:hanging="55"/>
            </w:pPr>
            <w:r>
              <w:rPr>
                <w:rFonts w:ascii="Arial" w:eastAsia="Arial" w:hAnsi="Arial" w:cs="Arial"/>
                <w:sz w:val="20"/>
              </w:rPr>
              <w:t>IV methylprednisolone or equivalent and convert to 1</w:t>
            </w:r>
            <w:r>
              <w:rPr>
                <w:rFonts w:ascii="Segoe UI Symbol" w:eastAsia="Segoe UI Symbol" w:hAnsi="Segoe UI Symbol" w:cs="Segoe UI Symbol"/>
                <w:sz w:val="20"/>
              </w:rPr>
              <w:t>−</w:t>
            </w:r>
            <w:r>
              <w:rPr>
                <w:rFonts w:ascii="Arial" w:eastAsia="Arial" w:hAnsi="Arial" w:cs="Arial"/>
                <w:sz w:val="20"/>
              </w:rPr>
              <w:t xml:space="preserve">2 mg/kg/day oral prednisone or equivalent upon improvement. </w:t>
            </w:r>
          </w:p>
          <w:p w14:paraId="79418936" w14:textId="77777777" w:rsidR="000B3C5C" w:rsidRDefault="00ED192D">
            <w:pPr>
              <w:spacing w:after="0" w:line="259" w:lineRule="auto"/>
              <w:ind w:left="747" w:hanging="545"/>
            </w:pPr>
            <w:r>
              <w:rPr>
                <w:rFonts w:ascii="Arial" w:eastAsia="Arial" w:hAnsi="Arial" w:cs="Arial"/>
                <w:sz w:val="20"/>
              </w:rPr>
              <w:t xml:space="preserve">Initiate hormone replacement as clinically needed. </w:t>
            </w:r>
          </w:p>
        </w:tc>
      </w:tr>
    </w:tbl>
    <w:p w14:paraId="6012DEE2" w14:textId="77777777" w:rsidR="000B3C5C" w:rsidRDefault="00ED192D">
      <w:pPr>
        <w:spacing w:after="12"/>
        <w:ind w:left="-5" w:right="242"/>
      </w:pPr>
      <w:r>
        <w:rPr>
          <w:rFonts w:ascii="Arial" w:eastAsia="Arial" w:hAnsi="Arial" w:cs="Arial"/>
          <w:i/>
          <w:sz w:val="18"/>
        </w:rPr>
        <w:t xml:space="preserve">a </w:t>
      </w:r>
      <w:r>
        <w:rPr>
          <w:rFonts w:ascii="Arial" w:eastAsia="Arial" w:hAnsi="Arial" w:cs="Arial"/>
          <w:sz w:val="18"/>
        </w:rPr>
        <w:t xml:space="preserve">Atezolizumab may be withheld for a longer period of time (ie, </w:t>
      </w:r>
      <w:r>
        <w:rPr>
          <w:rFonts w:ascii="Segoe UI Symbol" w:eastAsia="Segoe UI Symbol" w:hAnsi="Segoe UI Symbol" w:cs="Segoe UI Symbol"/>
          <w:sz w:val="18"/>
        </w:rPr>
        <w:t></w:t>
      </w:r>
      <w:r>
        <w:rPr>
          <w:rFonts w:ascii="Arial" w:eastAsia="Arial" w:hAnsi="Arial" w:cs="Arial"/>
          <w:sz w:val="18"/>
        </w:rPr>
        <w:t xml:space="preserve">12 weeks after event onset) to allow for corticosteroids (if initiated) to be reduced to </w:t>
      </w:r>
      <w:r>
        <w:rPr>
          <w:rFonts w:ascii="Segoe UI Symbol" w:eastAsia="Segoe UI Symbol" w:hAnsi="Segoe UI Symbol" w:cs="Segoe UI Symbol"/>
          <w:sz w:val="18"/>
        </w:rPr>
        <w:t></w:t>
      </w:r>
      <w:r>
        <w:rPr>
          <w:rFonts w:ascii="Arial" w:eastAsia="Arial" w:hAnsi="Arial" w:cs="Arial"/>
          <w:sz w:val="18"/>
        </w:rPr>
        <w:t xml:space="preserve"> 10 mg/day oral prednisone or equivalent.  The acceptable length of the extended period of time must be agreed upon by the investigator and the Medical Monitor. </w:t>
      </w:r>
      <w:r>
        <w:rPr>
          <w:rFonts w:ascii="Arial" w:eastAsia="Arial" w:hAnsi="Arial" w:cs="Arial"/>
          <w:i/>
          <w:sz w:val="18"/>
        </w:rPr>
        <w:t xml:space="preserve">b </w:t>
      </w:r>
      <w:r>
        <w:rPr>
          <w:rFonts w:ascii="Arial" w:eastAsia="Arial" w:hAnsi="Arial" w:cs="Arial"/>
          <w:sz w:val="18"/>
        </w:rPr>
        <w:t xml:space="preserve">If corticosteroids have been initiated, they must be tapered over </w:t>
      </w:r>
      <w:r>
        <w:rPr>
          <w:rFonts w:ascii="Segoe UI Symbol" w:eastAsia="Segoe UI Symbol" w:hAnsi="Segoe UI Symbol" w:cs="Segoe UI Symbol"/>
          <w:sz w:val="18"/>
        </w:rPr>
        <w:t></w:t>
      </w:r>
      <w:r>
        <w:rPr>
          <w:rFonts w:ascii="Arial" w:eastAsia="Arial" w:hAnsi="Arial" w:cs="Arial"/>
          <w:sz w:val="18"/>
        </w:rPr>
        <w:t xml:space="preserve"> 1 month to </w:t>
      </w:r>
      <w:r>
        <w:rPr>
          <w:rFonts w:ascii="Segoe UI Symbol" w:eastAsia="Segoe UI Symbol" w:hAnsi="Segoe UI Symbol" w:cs="Segoe UI Symbol"/>
          <w:sz w:val="18"/>
        </w:rPr>
        <w:t></w:t>
      </w:r>
      <w:r>
        <w:rPr>
          <w:rFonts w:ascii="Arial" w:eastAsia="Arial" w:hAnsi="Arial" w:cs="Arial"/>
          <w:sz w:val="18"/>
        </w:rPr>
        <w:t xml:space="preserve"> 10 mg/day oral prednisone or equivalent before atezolizumab can be resumed. </w:t>
      </w:r>
    </w:p>
    <w:p w14:paraId="4EFD6D4D" w14:textId="77777777" w:rsidR="000B3C5C" w:rsidRDefault="00ED192D">
      <w:pPr>
        <w:spacing w:after="12"/>
        <w:ind w:left="230" w:right="2" w:hanging="245"/>
      </w:pPr>
      <w:r>
        <w:rPr>
          <w:rFonts w:ascii="Arial" w:eastAsia="Arial" w:hAnsi="Arial" w:cs="Arial"/>
          <w:i/>
          <w:sz w:val="18"/>
        </w:rPr>
        <w:t xml:space="preserve">c </w:t>
      </w: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w:t>
      </w:r>
    </w:p>
    <w:p w14:paraId="6B56FDB5" w14:textId="77777777" w:rsidR="000B3C5C" w:rsidRDefault="00ED192D">
      <w:pPr>
        <w:spacing w:after="12"/>
        <w:ind w:left="315" w:right="2"/>
      </w:pPr>
      <w:r>
        <w:rPr>
          <w:rFonts w:ascii="Arial" w:eastAsia="Arial" w:hAnsi="Arial" w:cs="Arial"/>
          <w:sz w:val="18"/>
        </w:rPr>
        <w:t xml:space="preserve">Abbreviation: MRI: magnetic resonance imaging; TSH: thyroid-stimulating hormone. </w:t>
      </w:r>
    </w:p>
    <w:p w14:paraId="035007B0" w14:textId="77777777" w:rsidR="000B3C5C" w:rsidRDefault="00ED192D">
      <w:pPr>
        <w:pStyle w:val="Heading3"/>
        <w:spacing w:after="231"/>
        <w:ind w:left="-5" w:right="51"/>
      </w:pPr>
      <w:r>
        <w:rPr>
          <w:rFonts w:ascii="Times New Roman" w:eastAsia="Times New Roman" w:hAnsi="Times New Roman" w:cs="Times New Roman"/>
          <w:sz w:val="24"/>
        </w:rPr>
        <w:t xml:space="preserve">Ocular Events </w:t>
      </w:r>
    </w:p>
    <w:p w14:paraId="304392E0" w14:textId="77777777" w:rsidR="000B3C5C" w:rsidRDefault="00ED192D">
      <w:pPr>
        <w:ind w:left="-3" w:right="14"/>
      </w:pPr>
      <w:r>
        <w:t xml:space="preserve">An ophthalmologist should evaluate visual complaints (eg, uveitis, retinal events). </w:t>
      </w:r>
    </w:p>
    <w:p w14:paraId="2B666E1A" w14:textId="77777777" w:rsidR="000B3C5C" w:rsidRDefault="00ED192D">
      <w:pPr>
        <w:spacing w:after="310"/>
        <w:ind w:left="-3" w:right="14"/>
      </w:pPr>
      <w:r>
        <w:t xml:space="preserve">Management guidelines for ocular events are provided in </w:t>
      </w:r>
      <w:r>
        <w:rPr>
          <w:color w:val="0000FF"/>
        </w:rPr>
        <w:t>Table 21</w:t>
      </w:r>
      <w:r>
        <w:t xml:space="preserve">. </w:t>
      </w:r>
    </w:p>
    <w:p w14:paraId="139A93F2" w14:textId="77777777" w:rsidR="000B3C5C" w:rsidRDefault="00ED192D">
      <w:pPr>
        <w:spacing w:after="4" w:line="250" w:lineRule="auto"/>
        <w:ind w:left="15" w:right="45"/>
        <w:jc w:val="center"/>
      </w:pPr>
      <w:r>
        <w:rPr>
          <w:rFonts w:ascii="Arial" w:eastAsia="Arial" w:hAnsi="Arial" w:cs="Arial"/>
          <w:b/>
          <w:sz w:val="20"/>
        </w:rPr>
        <w:t xml:space="preserve">Table 21 - </w:t>
      </w:r>
      <w:r>
        <w:rPr>
          <w:rFonts w:ascii="Arial" w:eastAsia="Arial" w:hAnsi="Arial" w:cs="Arial"/>
          <w:b/>
          <w:sz w:val="20"/>
        </w:rPr>
        <w:t xml:space="preserve">Management Guidelines for Ocular Events  </w:t>
      </w:r>
    </w:p>
    <w:tbl>
      <w:tblPr>
        <w:tblStyle w:val="TableGrid"/>
        <w:tblW w:w="9686" w:type="dxa"/>
        <w:tblInd w:w="-108" w:type="dxa"/>
        <w:tblCellMar>
          <w:top w:w="82" w:type="dxa"/>
          <w:left w:w="0" w:type="dxa"/>
          <w:bottom w:w="66" w:type="dxa"/>
          <w:right w:w="104" w:type="dxa"/>
        </w:tblCellMar>
        <w:tblLook w:val="04A0" w:firstRow="1" w:lastRow="0" w:firstColumn="1" w:lastColumn="0" w:noHBand="0" w:noVBand="1"/>
      </w:tblPr>
      <w:tblGrid>
        <w:gridCol w:w="1752"/>
        <w:gridCol w:w="2081"/>
        <w:gridCol w:w="2989"/>
        <w:gridCol w:w="2864"/>
      </w:tblGrid>
      <w:tr w:rsidR="000B3C5C" w14:paraId="0795F818" w14:textId="77777777">
        <w:trPr>
          <w:trHeight w:val="590"/>
        </w:trPr>
        <w:tc>
          <w:tcPr>
            <w:tcW w:w="1753" w:type="dxa"/>
            <w:tcBorders>
              <w:top w:val="single" w:sz="4" w:space="0" w:color="000000"/>
              <w:left w:val="nil"/>
              <w:bottom w:val="single" w:sz="4" w:space="0" w:color="000000"/>
              <w:right w:val="nil"/>
            </w:tcBorders>
            <w:vAlign w:val="bottom"/>
          </w:tcPr>
          <w:p w14:paraId="2C2A5CBE" w14:textId="77777777" w:rsidR="000B3C5C" w:rsidRDefault="00ED192D">
            <w:pPr>
              <w:spacing w:after="0" w:line="259" w:lineRule="auto"/>
              <w:ind w:left="0" w:right="26" w:firstLine="0"/>
              <w:jc w:val="center"/>
            </w:pPr>
            <w:r>
              <w:rPr>
                <w:rFonts w:ascii="Arial" w:eastAsia="Arial" w:hAnsi="Arial" w:cs="Arial"/>
                <w:b/>
                <w:sz w:val="20"/>
              </w:rPr>
              <w:t xml:space="preserve">Event </w:t>
            </w:r>
          </w:p>
        </w:tc>
        <w:tc>
          <w:tcPr>
            <w:tcW w:w="2081" w:type="dxa"/>
            <w:tcBorders>
              <w:top w:val="single" w:sz="4" w:space="0" w:color="000000"/>
              <w:left w:val="nil"/>
              <w:bottom w:val="single" w:sz="4" w:space="0" w:color="000000"/>
              <w:right w:val="nil"/>
            </w:tcBorders>
          </w:tcPr>
          <w:p w14:paraId="7034B6D8" w14:textId="77777777" w:rsidR="000B3C5C" w:rsidRDefault="00ED192D">
            <w:pPr>
              <w:spacing w:after="0" w:line="259" w:lineRule="auto"/>
              <w:ind w:left="300" w:firstLine="96"/>
            </w:pPr>
            <w:r>
              <w:rPr>
                <w:rFonts w:ascii="Arial" w:eastAsia="Arial" w:hAnsi="Arial" w:cs="Arial"/>
                <w:b/>
                <w:sz w:val="20"/>
              </w:rPr>
              <w:t xml:space="preserve">Isatuximab management </w:t>
            </w:r>
          </w:p>
        </w:tc>
        <w:tc>
          <w:tcPr>
            <w:tcW w:w="2989" w:type="dxa"/>
            <w:tcBorders>
              <w:top w:val="single" w:sz="4" w:space="0" w:color="000000"/>
              <w:left w:val="nil"/>
              <w:bottom w:val="single" w:sz="4" w:space="0" w:color="000000"/>
              <w:right w:val="nil"/>
            </w:tcBorders>
          </w:tcPr>
          <w:p w14:paraId="315763CC" w14:textId="77777777" w:rsidR="000B3C5C" w:rsidRDefault="00ED192D">
            <w:pPr>
              <w:spacing w:after="0" w:line="259" w:lineRule="auto"/>
              <w:ind w:left="70" w:firstLine="0"/>
            </w:pPr>
            <w:r>
              <w:rPr>
                <w:rFonts w:ascii="Arial" w:eastAsia="Arial" w:hAnsi="Arial" w:cs="Arial"/>
                <w:b/>
                <w:sz w:val="20"/>
              </w:rPr>
              <w:t xml:space="preserve">Atezolizumab management </w:t>
            </w:r>
          </w:p>
        </w:tc>
        <w:tc>
          <w:tcPr>
            <w:tcW w:w="2864" w:type="dxa"/>
            <w:tcBorders>
              <w:top w:val="single" w:sz="4" w:space="0" w:color="000000"/>
              <w:left w:val="nil"/>
              <w:bottom w:val="single" w:sz="4" w:space="0" w:color="000000"/>
              <w:right w:val="nil"/>
            </w:tcBorders>
            <w:vAlign w:val="bottom"/>
          </w:tcPr>
          <w:p w14:paraId="009C4F2C" w14:textId="77777777" w:rsidR="000B3C5C" w:rsidRDefault="00ED192D">
            <w:pPr>
              <w:spacing w:after="0" w:line="259" w:lineRule="auto"/>
              <w:ind w:left="0" w:right="47" w:firstLine="0"/>
              <w:jc w:val="center"/>
            </w:pPr>
            <w:r>
              <w:rPr>
                <w:rFonts w:ascii="Arial" w:eastAsia="Arial" w:hAnsi="Arial" w:cs="Arial"/>
                <w:b/>
                <w:sz w:val="20"/>
              </w:rPr>
              <w:t xml:space="preserve">Action and guidance </w:t>
            </w:r>
          </w:p>
        </w:tc>
      </w:tr>
      <w:tr w:rsidR="000B3C5C" w14:paraId="18045FB5" w14:textId="77777777">
        <w:trPr>
          <w:trHeight w:val="1869"/>
        </w:trPr>
        <w:tc>
          <w:tcPr>
            <w:tcW w:w="1753" w:type="dxa"/>
            <w:tcBorders>
              <w:top w:val="single" w:sz="4" w:space="0" w:color="000000"/>
              <w:left w:val="nil"/>
              <w:bottom w:val="nil"/>
              <w:right w:val="nil"/>
            </w:tcBorders>
          </w:tcPr>
          <w:p w14:paraId="1F5B7189" w14:textId="77777777" w:rsidR="000B3C5C" w:rsidRDefault="00ED192D">
            <w:pPr>
              <w:spacing w:after="0" w:line="259" w:lineRule="auto"/>
              <w:ind w:left="516" w:hanging="190"/>
            </w:pPr>
            <w:r>
              <w:rPr>
                <w:rFonts w:ascii="Arial" w:eastAsia="Arial" w:hAnsi="Arial" w:cs="Arial"/>
                <w:sz w:val="20"/>
              </w:rPr>
              <w:t xml:space="preserve">Ocular event, Grade 1  </w:t>
            </w:r>
          </w:p>
        </w:tc>
        <w:tc>
          <w:tcPr>
            <w:tcW w:w="2081" w:type="dxa"/>
            <w:tcBorders>
              <w:top w:val="single" w:sz="4" w:space="0" w:color="000000"/>
              <w:left w:val="nil"/>
              <w:bottom w:val="nil"/>
              <w:right w:val="nil"/>
            </w:tcBorders>
          </w:tcPr>
          <w:p w14:paraId="121F5852" w14:textId="77777777" w:rsidR="000B3C5C" w:rsidRDefault="00ED192D">
            <w:pPr>
              <w:spacing w:after="0" w:line="259" w:lineRule="auto"/>
              <w:ind w:left="233" w:firstLine="0"/>
            </w:pPr>
            <w:r>
              <w:rPr>
                <w:rFonts w:ascii="Arial" w:eastAsia="Arial" w:hAnsi="Arial" w:cs="Arial"/>
                <w:sz w:val="20"/>
              </w:rPr>
              <w:t xml:space="preserve">No change in dose </w:t>
            </w:r>
          </w:p>
        </w:tc>
        <w:tc>
          <w:tcPr>
            <w:tcW w:w="2989" w:type="dxa"/>
            <w:tcBorders>
              <w:top w:val="single" w:sz="4" w:space="0" w:color="000000"/>
              <w:left w:val="nil"/>
              <w:bottom w:val="nil"/>
              <w:right w:val="nil"/>
            </w:tcBorders>
          </w:tcPr>
          <w:p w14:paraId="578BFED1" w14:textId="77777777" w:rsidR="000B3C5C" w:rsidRDefault="00ED192D">
            <w:pPr>
              <w:spacing w:after="0" w:line="259" w:lineRule="auto"/>
              <w:ind w:left="674" w:firstLine="0"/>
            </w:pPr>
            <w:r>
              <w:rPr>
                <w:rFonts w:ascii="Arial" w:eastAsia="Arial" w:hAnsi="Arial" w:cs="Arial"/>
                <w:sz w:val="20"/>
              </w:rPr>
              <w:t xml:space="preserve">No change in dose </w:t>
            </w:r>
          </w:p>
        </w:tc>
        <w:tc>
          <w:tcPr>
            <w:tcW w:w="2864" w:type="dxa"/>
            <w:tcBorders>
              <w:top w:val="single" w:sz="4" w:space="0" w:color="000000"/>
              <w:left w:val="nil"/>
              <w:bottom w:val="nil"/>
              <w:right w:val="nil"/>
            </w:tcBorders>
          </w:tcPr>
          <w:p w14:paraId="30BB82E3" w14:textId="77777777" w:rsidR="000B3C5C" w:rsidRDefault="00ED192D">
            <w:pPr>
              <w:spacing w:after="60" w:line="241" w:lineRule="auto"/>
              <w:ind w:left="501" w:hanging="451"/>
            </w:pPr>
            <w:r>
              <w:rPr>
                <w:rFonts w:ascii="Arial" w:eastAsia="Arial" w:hAnsi="Arial" w:cs="Arial"/>
                <w:sz w:val="20"/>
              </w:rPr>
              <w:t xml:space="preserve">Patient referral to ophthalmologist is strongly recommended. </w:t>
            </w:r>
          </w:p>
          <w:p w14:paraId="2499105D" w14:textId="77777777" w:rsidR="000B3C5C" w:rsidRDefault="00ED192D">
            <w:pPr>
              <w:spacing w:after="58" w:line="240" w:lineRule="auto"/>
              <w:ind w:left="70" w:firstLine="252"/>
            </w:pPr>
            <w:r>
              <w:rPr>
                <w:rFonts w:ascii="Arial" w:eastAsia="Arial" w:hAnsi="Arial" w:cs="Arial"/>
                <w:sz w:val="20"/>
              </w:rPr>
              <w:t xml:space="preserve">Initiate treatment with topical corticosteroid eye drops and topical immunosuppressive therapy. </w:t>
            </w:r>
          </w:p>
          <w:p w14:paraId="1F1587B8" w14:textId="77777777" w:rsidR="000B3C5C" w:rsidRDefault="00ED192D">
            <w:pPr>
              <w:spacing w:after="0" w:line="259" w:lineRule="auto"/>
              <w:ind w:left="816" w:hanging="550"/>
            </w:pPr>
            <w:r>
              <w:rPr>
                <w:rFonts w:ascii="Arial" w:eastAsia="Arial" w:hAnsi="Arial" w:cs="Arial"/>
                <w:sz w:val="20"/>
              </w:rPr>
              <w:t xml:space="preserve">If symptoms persist, treat as a Grade 2 event. </w:t>
            </w:r>
          </w:p>
        </w:tc>
      </w:tr>
      <w:tr w:rsidR="000B3C5C" w14:paraId="4302AFD2" w14:textId="77777777">
        <w:trPr>
          <w:trHeight w:val="2201"/>
        </w:trPr>
        <w:tc>
          <w:tcPr>
            <w:tcW w:w="1753" w:type="dxa"/>
            <w:tcBorders>
              <w:top w:val="nil"/>
              <w:left w:val="nil"/>
              <w:bottom w:val="nil"/>
              <w:right w:val="nil"/>
            </w:tcBorders>
          </w:tcPr>
          <w:p w14:paraId="7AD86FA1" w14:textId="77777777" w:rsidR="000B3C5C" w:rsidRDefault="00ED192D">
            <w:pPr>
              <w:spacing w:after="0" w:line="259" w:lineRule="auto"/>
              <w:ind w:left="516" w:hanging="190"/>
            </w:pPr>
            <w:r>
              <w:rPr>
                <w:rFonts w:ascii="Arial" w:eastAsia="Arial" w:hAnsi="Arial" w:cs="Arial"/>
                <w:sz w:val="20"/>
              </w:rPr>
              <w:t xml:space="preserve">Ocular event, Grade 2 </w:t>
            </w:r>
          </w:p>
        </w:tc>
        <w:tc>
          <w:tcPr>
            <w:tcW w:w="2081" w:type="dxa"/>
            <w:tcBorders>
              <w:top w:val="nil"/>
              <w:left w:val="nil"/>
              <w:bottom w:val="nil"/>
              <w:right w:val="nil"/>
            </w:tcBorders>
          </w:tcPr>
          <w:p w14:paraId="5C3F5B43" w14:textId="77777777" w:rsidR="000B3C5C" w:rsidRDefault="00ED192D">
            <w:pPr>
              <w:spacing w:after="0" w:line="259" w:lineRule="auto"/>
              <w:ind w:left="233" w:firstLine="0"/>
            </w:pPr>
            <w:r>
              <w:rPr>
                <w:rFonts w:ascii="Arial" w:eastAsia="Arial" w:hAnsi="Arial" w:cs="Arial"/>
                <w:sz w:val="20"/>
              </w:rPr>
              <w:t xml:space="preserve">No change in dose </w:t>
            </w:r>
          </w:p>
        </w:tc>
        <w:tc>
          <w:tcPr>
            <w:tcW w:w="2989" w:type="dxa"/>
            <w:tcBorders>
              <w:top w:val="nil"/>
              <w:left w:val="nil"/>
              <w:bottom w:val="nil"/>
              <w:right w:val="nil"/>
            </w:tcBorders>
          </w:tcPr>
          <w:p w14:paraId="059D0936" w14:textId="77777777" w:rsidR="000B3C5C" w:rsidRDefault="00ED192D">
            <w:pPr>
              <w:spacing w:after="0" w:line="259" w:lineRule="auto"/>
              <w:ind w:left="74" w:firstLine="0"/>
            </w:pPr>
            <w:r>
              <w:rPr>
                <w:rFonts w:ascii="Arial" w:eastAsia="Arial" w:hAnsi="Arial" w:cs="Arial"/>
                <w:sz w:val="20"/>
              </w:rPr>
              <w:t>Omit/withhold dose until Grade ≤1</w:t>
            </w:r>
            <w:r>
              <w:rPr>
                <w:rFonts w:ascii="Arial" w:eastAsia="Arial" w:hAnsi="Arial" w:cs="Arial"/>
                <w:i/>
                <w:color w:val="0000FF"/>
                <w:sz w:val="28"/>
                <w:vertAlign w:val="superscript"/>
              </w:rPr>
              <w:t>a</w:t>
            </w:r>
            <w:r>
              <w:rPr>
                <w:rFonts w:ascii="Arial" w:eastAsia="Arial" w:hAnsi="Arial" w:cs="Arial"/>
                <w:sz w:val="20"/>
              </w:rPr>
              <w:t xml:space="preserve"> </w:t>
            </w:r>
          </w:p>
          <w:p w14:paraId="7477175C" w14:textId="77777777" w:rsidR="000B3C5C" w:rsidRDefault="00ED192D">
            <w:pPr>
              <w:spacing w:after="16" w:line="222" w:lineRule="auto"/>
              <w:ind w:left="538" w:hanging="538"/>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17C80DD9" w14:textId="77777777" w:rsidR="000B3C5C" w:rsidRDefault="00ED192D">
            <w:pPr>
              <w:spacing w:after="0" w:line="241" w:lineRule="auto"/>
              <w:ind w:left="413" w:right="32" w:hanging="358"/>
            </w:pPr>
            <w:r>
              <w:rPr>
                <w:rFonts w:ascii="Arial" w:eastAsia="Arial" w:hAnsi="Arial" w:cs="Arial"/>
                <w:sz w:val="20"/>
              </w:rPr>
              <w:t xml:space="preserve">If event does not resolve to Grade 1 or better while withholding </w:t>
            </w:r>
          </w:p>
          <w:p w14:paraId="70C8072F" w14:textId="77777777" w:rsidR="000B3C5C" w:rsidRDefault="00ED192D">
            <w:pPr>
              <w:spacing w:after="0" w:line="259" w:lineRule="auto"/>
              <w:ind w:left="379" w:firstLine="0"/>
            </w:pPr>
            <w:r>
              <w:rPr>
                <w:rFonts w:ascii="Arial" w:eastAsia="Arial" w:hAnsi="Arial" w:cs="Arial"/>
                <w:sz w:val="20"/>
              </w:rPr>
              <w:t xml:space="preserve">atezolizumab, permanently </w:t>
            </w:r>
          </w:p>
          <w:p w14:paraId="44C88F9C" w14:textId="77777777" w:rsidR="000B3C5C" w:rsidRDefault="00ED192D">
            <w:pPr>
              <w:spacing w:after="0" w:line="259" w:lineRule="auto"/>
              <w:ind w:left="278" w:firstLine="0"/>
            </w:pPr>
            <w:r>
              <w:rPr>
                <w:rFonts w:ascii="Arial" w:eastAsia="Arial" w:hAnsi="Arial" w:cs="Arial"/>
                <w:sz w:val="20"/>
              </w:rPr>
              <w:t>discontinue atezolizumab and continue/ resume isatuximab</w:t>
            </w:r>
            <w:r>
              <w:rPr>
                <w:rFonts w:ascii="Arial" w:eastAsia="Arial" w:hAnsi="Arial" w:cs="Arial"/>
                <w:i/>
                <w:color w:val="0000FF"/>
                <w:sz w:val="28"/>
                <w:vertAlign w:val="superscript"/>
              </w:rPr>
              <w:t>c</w:t>
            </w:r>
            <w:r>
              <w:rPr>
                <w:rFonts w:ascii="Arial" w:eastAsia="Arial" w:hAnsi="Arial" w:cs="Arial"/>
                <w:sz w:val="20"/>
              </w:rPr>
              <w:t xml:space="preserve"> </w:t>
            </w:r>
          </w:p>
        </w:tc>
        <w:tc>
          <w:tcPr>
            <w:tcW w:w="2864" w:type="dxa"/>
            <w:tcBorders>
              <w:top w:val="nil"/>
              <w:left w:val="nil"/>
              <w:bottom w:val="nil"/>
              <w:right w:val="nil"/>
            </w:tcBorders>
          </w:tcPr>
          <w:p w14:paraId="5D3A1EF9" w14:textId="77777777" w:rsidR="000B3C5C" w:rsidRDefault="00ED192D">
            <w:pPr>
              <w:spacing w:after="58" w:line="241" w:lineRule="auto"/>
              <w:ind w:left="501" w:hanging="451"/>
            </w:pPr>
            <w:r>
              <w:rPr>
                <w:rFonts w:ascii="Arial" w:eastAsia="Arial" w:hAnsi="Arial" w:cs="Arial"/>
                <w:sz w:val="20"/>
              </w:rPr>
              <w:t xml:space="preserve">Patient referral to ophthalmologist is strongly recommended. </w:t>
            </w:r>
          </w:p>
          <w:p w14:paraId="19C3255B" w14:textId="77777777" w:rsidR="000B3C5C" w:rsidRDefault="00ED192D">
            <w:pPr>
              <w:spacing w:after="128" w:line="241" w:lineRule="auto"/>
              <w:ind w:left="70" w:firstLine="252"/>
            </w:pPr>
            <w:r>
              <w:rPr>
                <w:rFonts w:ascii="Arial" w:eastAsia="Arial" w:hAnsi="Arial" w:cs="Arial"/>
                <w:sz w:val="20"/>
              </w:rPr>
              <w:t xml:space="preserve">Initiate treatment with topical corticosteroid eye drops and topical immunosuppressive therapy. </w:t>
            </w:r>
          </w:p>
          <w:p w14:paraId="6E7CC0F0" w14:textId="77777777" w:rsidR="000B3C5C" w:rsidRDefault="00ED192D">
            <w:pPr>
              <w:spacing w:after="0" w:line="259" w:lineRule="auto"/>
              <w:ind w:left="0" w:right="46"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54F2513B" w14:textId="77777777">
        <w:trPr>
          <w:trHeight w:val="1747"/>
        </w:trPr>
        <w:tc>
          <w:tcPr>
            <w:tcW w:w="1753" w:type="dxa"/>
            <w:tcBorders>
              <w:top w:val="nil"/>
              <w:left w:val="nil"/>
              <w:bottom w:val="single" w:sz="12" w:space="0" w:color="000000"/>
              <w:right w:val="nil"/>
            </w:tcBorders>
          </w:tcPr>
          <w:p w14:paraId="591FF610" w14:textId="77777777" w:rsidR="000B3C5C" w:rsidRDefault="00ED192D">
            <w:pPr>
              <w:spacing w:after="0" w:line="259" w:lineRule="auto"/>
              <w:ind w:left="352" w:hanging="26"/>
            </w:pPr>
            <w:r>
              <w:rPr>
                <w:rFonts w:ascii="Arial" w:eastAsia="Arial" w:hAnsi="Arial" w:cs="Arial"/>
                <w:sz w:val="20"/>
              </w:rPr>
              <w:t xml:space="preserve">Ocular event, Grade 3 or 4 </w:t>
            </w:r>
          </w:p>
        </w:tc>
        <w:tc>
          <w:tcPr>
            <w:tcW w:w="2081" w:type="dxa"/>
            <w:tcBorders>
              <w:top w:val="nil"/>
              <w:left w:val="nil"/>
              <w:bottom w:val="single" w:sz="12" w:space="0" w:color="000000"/>
              <w:right w:val="nil"/>
            </w:tcBorders>
          </w:tcPr>
          <w:p w14:paraId="3A2F976F" w14:textId="77777777" w:rsidR="000B3C5C" w:rsidRDefault="00ED192D">
            <w:pPr>
              <w:spacing w:after="0" w:line="242" w:lineRule="auto"/>
              <w:ind w:left="348" w:hanging="326"/>
            </w:pPr>
            <w:r>
              <w:rPr>
                <w:rFonts w:ascii="Arial" w:eastAsia="Arial" w:hAnsi="Arial" w:cs="Arial"/>
                <w:sz w:val="20"/>
              </w:rPr>
              <w:t xml:space="preserve">Delay or omit isatuximab until resolves to </w:t>
            </w:r>
          </w:p>
          <w:p w14:paraId="4ED14C13" w14:textId="77777777" w:rsidR="000B3C5C" w:rsidRDefault="00ED192D">
            <w:pPr>
              <w:spacing w:after="2" w:line="239" w:lineRule="auto"/>
              <w:ind w:left="526" w:hanging="526"/>
            </w:pPr>
            <w:r>
              <w:rPr>
                <w:rFonts w:ascii="Arial" w:eastAsia="Arial" w:hAnsi="Arial" w:cs="Arial"/>
                <w:sz w:val="20"/>
              </w:rPr>
              <w:t xml:space="preserve">≤Grade 2 for a maximum of 2 weeks  </w:t>
            </w:r>
          </w:p>
          <w:p w14:paraId="4E604B12" w14:textId="77777777" w:rsidR="000B3C5C" w:rsidRDefault="00ED192D">
            <w:pPr>
              <w:spacing w:after="0" w:line="259" w:lineRule="auto"/>
              <w:ind w:left="228"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989" w:type="dxa"/>
            <w:tcBorders>
              <w:top w:val="nil"/>
              <w:left w:val="nil"/>
              <w:bottom w:val="single" w:sz="12" w:space="0" w:color="000000"/>
              <w:right w:val="nil"/>
            </w:tcBorders>
          </w:tcPr>
          <w:p w14:paraId="5F2CC708" w14:textId="77777777" w:rsidR="000B3C5C" w:rsidRDefault="00ED192D">
            <w:pPr>
              <w:spacing w:after="0" w:line="259" w:lineRule="auto"/>
              <w:ind w:left="425" w:firstLine="0"/>
            </w:pPr>
            <w:r>
              <w:rPr>
                <w:rFonts w:ascii="Arial" w:eastAsia="Arial" w:hAnsi="Arial" w:cs="Arial"/>
                <w:sz w:val="20"/>
              </w:rPr>
              <w:t xml:space="preserve">Discontinue atezolizumab </w:t>
            </w:r>
          </w:p>
        </w:tc>
        <w:tc>
          <w:tcPr>
            <w:tcW w:w="2864" w:type="dxa"/>
            <w:tcBorders>
              <w:top w:val="nil"/>
              <w:left w:val="nil"/>
              <w:bottom w:val="single" w:sz="12" w:space="0" w:color="000000"/>
              <w:right w:val="nil"/>
            </w:tcBorders>
          </w:tcPr>
          <w:p w14:paraId="53DC6169" w14:textId="77777777" w:rsidR="000B3C5C" w:rsidRDefault="00ED192D">
            <w:pPr>
              <w:spacing w:after="0" w:line="259" w:lineRule="auto"/>
              <w:ind w:left="0" w:right="46"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4891DB60" w14:textId="77777777" w:rsidR="000B3C5C" w:rsidRDefault="00ED192D">
            <w:pPr>
              <w:spacing w:after="58" w:line="259" w:lineRule="auto"/>
              <w:ind w:left="178" w:firstLine="0"/>
            </w:pPr>
            <w:r>
              <w:rPr>
                <w:rFonts w:ascii="Arial" w:eastAsia="Arial" w:hAnsi="Arial" w:cs="Arial"/>
                <w:sz w:val="20"/>
              </w:rPr>
              <w:t xml:space="preserve">Refer patient to ophthalmologist. </w:t>
            </w:r>
          </w:p>
          <w:p w14:paraId="1E99D0BD" w14:textId="77777777" w:rsidR="000B3C5C" w:rsidRDefault="00ED192D">
            <w:pPr>
              <w:spacing w:after="56" w:line="243" w:lineRule="auto"/>
              <w:ind w:left="279" w:hanging="269"/>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oral prednisone or equivalent.   </w:t>
            </w:r>
          </w:p>
          <w:p w14:paraId="0DE9947E" w14:textId="77777777" w:rsidR="000B3C5C" w:rsidRDefault="00ED192D">
            <w:pPr>
              <w:spacing w:after="0" w:line="259" w:lineRule="auto"/>
              <w:ind w:left="41" w:hanging="41"/>
            </w:pPr>
            <w:r>
              <w:rPr>
                <w:rFonts w:ascii="Arial" w:eastAsia="Arial" w:hAnsi="Arial" w:cs="Arial"/>
                <w:sz w:val="20"/>
              </w:rPr>
              <w:t xml:space="preserve">If event resolves to Grade 1 or better, taper corticosteroids over </w:t>
            </w:r>
            <w:r>
              <w:rPr>
                <w:rFonts w:ascii="Segoe UI Symbol" w:eastAsia="Segoe UI Symbol" w:hAnsi="Segoe UI Symbol" w:cs="Segoe UI Symbol"/>
                <w:sz w:val="20"/>
              </w:rPr>
              <w:t></w:t>
            </w:r>
            <w:r>
              <w:rPr>
                <w:rFonts w:ascii="Arial" w:eastAsia="Arial" w:hAnsi="Arial" w:cs="Arial"/>
                <w:sz w:val="20"/>
              </w:rPr>
              <w:t xml:space="preserve">1 month. </w:t>
            </w:r>
          </w:p>
        </w:tc>
      </w:tr>
    </w:tbl>
    <w:p w14:paraId="6F232BC2" w14:textId="77777777" w:rsidR="000B3C5C" w:rsidRDefault="00ED192D">
      <w:pPr>
        <w:numPr>
          <w:ilvl w:val="0"/>
          <w:numId w:val="80"/>
        </w:numPr>
        <w:spacing w:after="12"/>
        <w:ind w:right="2" w:hanging="245"/>
      </w:pPr>
      <w:r>
        <w:rPr>
          <w:rFonts w:ascii="Arial" w:eastAsia="Arial" w:hAnsi="Arial" w:cs="Arial"/>
          <w:sz w:val="18"/>
        </w:rPr>
        <w:t xml:space="preserve">Atezolizumab may be withheld for a longer period of time (ie, </w:t>
      </w:r>
      <w:r>
        <w:rPr>
          <w:rFonts w:ascii="Segoe UI Symbol" w:eastAsia="Segoe UI Symbol" w:hAnsi="Segoe UI Symbol" w:cs="Segoe UI Symbol"/>
          <w:sz w:val="18"/>
        </w:rPr>
        <w:t></w:t>
      </w:r>
      <w:r>
        <w:rPr>
          <w:rFonts w:ascii="Arial" w:eastAsia="Arial" w:hAnsi="Arial" w:cs="Arial"/>
          <w:sz w:val="18"/>
        </w:rPr>
        <w:t xml:space="preserve"> 12 weeks after event onset) to allow for corticosteroids (if initiated) to be reduced to </w:t>
      </w:r>
      <w:r>
        <w:rPr>
          <w:sz w:val="18"/>
        </w:rPr>
        <w:t>≤</w:t>
      </w:r>
      <w:r>
        <w:rPr>
          <w:rFonts w:ascii="Arial" w:eastAsia="Arial" w:hAnsi="Arial" w:cs="Arial"/>
          <w:sz w:val="18"/>
        </w:rPr>
        <w:t xml:space="preserve">10 mg/day oral prednisone or equivalent.  The acceptable length of the extended period of time must be agreed upon by the investigator and the Medical Monitor. </w:t>
      </w:r>
    </w:p>
    <w:p w14:paraId="33529DD3" w14:textId="77777777" w:rsidR="000B3C5C" w:rsidRDefault="00ED192D">
      <w:pPr>
        <w:numPr>
          <w:ilvl w:val="0"/>
          <w:numId w:val="80"/>
        </w:numPr>
        <w:spacing w:after="12"/>
        <w:ind w:right="2" w:hanging="245"/>
      </w:pPr>
      <w:r>
        <w:rPr>
          <w:rFonts w:ascii="Arial" w:eastAsia="Arial" w:hAnsi="Arial" w:cs="Arial"/>
          <w:sz w:val="18"/>
        </w:rPr>
        <w:t xml:space="preserve">If corticosteroids have been initiated, they must be tapered over </w:t>
      </w:r>
      <w:r>
        <w:rPr>
          <w:sz w:val="18"/>
        </w:rPr>
        <w:t>≥</w:t>
      </w:r>
      <w:r>
        <w:rPr>
          <w:rFonts w:ascii="Arial" w:eastAsia="Arial" w:hAnsi="Arial" w:cs="Arial"/>
          <w:sz w:val="18"/>
        </w:rPr>
        <w:t xml:space="preserve">1 month to </w:t>
      </w:r>
      <w:r>
        <w:rPr>
          <w:sz w:val="18"/>
        </w:rPr>
        <w:t>≤</w:t>
      </w:r>
      <w:r>
        <w:rPr>
          <w:rFonts w:ascii="Arial" w:eastAsia="Arial" w:hAnsi="Arial" w:cs="Arial"/>
          <w:sz w:val="18"/>
        </w:rPr>
        <w:t xml:space="preserve">10 mg/day oral prednisone or equivalent before atezolizumab can be resumed. </w:t>
      </w:r>
    </w:p>
    <w:p w14:paraId="037D7428" w14:textId="77777777" w:rsidR="000B3C5C" w:rsidRDefault="00ED192D">
      <w:pPr>
        <w:numPr>
          <w:ilvl w:val="0"/>
          <w:numId w:val="80"/>
        </w:numPr>
        <w:spacing w:after="311"/>
        <w:ind w:right="2" w:hanging="245"/>
      </w:pP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w:t>
      </w:r>
    </w:p>
    <w:p w14:paraId="7EDDE776" w14:textId="77777777" w:rsidR="000B3C5C" w:rsidRDefault="00ED192D">
      <w:pPr>
        <w:pStyle w:val="Heading3"/>
        <w:spacing w:after="231"/>
        <w:ind w:left="-5" w:right="51"/>
      </w:pPr>
      <w:r>
        <w:rPr>
          <w:rFonts w:ascii="Times New Roman" w:eastAsia="Times New Roman" w:hAnsi="Times New Roman" w:cs="Times New Roman"/>
          <w:sz w:val="24"/>
        </w:rPr>
        <w:t xml:space="preserve">Immune-Related Myocarditis </w:t>
      </w:r>
    </w:p>
    <w:p w14:paraId="22059E45" w14:textId="77777777" w:rsidR="000B3C5C" w:rsidRDefault="00ED192D">
      <w:pPr>
        <w:ind w:left="-3" w:right="14"/>
      </w:pPr>
      <w:r>
        <w:t xml:space="preserve">Immune-related myocarditis needs to be distinguished from myocarditis resulting from infection (commonly viral, eg, in a patient who reports a recent history of gastrointestinal illness), ischemic events, underlying arrhythmias, exacerbation of pre-existing cardiac conditions, or progression of malignancy. A cardiologist should be consulted. </w:t>
      </w:r>
    </w:p>
    <w:p w14:paraId="4C956F0B" w14:textId="77777777" w:rsidR="000B3C5C" w:rsidRDefault="00ED192D">
      <w:pPr>
        <w:ind w:left="-3" w:right="14"/>
      </w:pPr>
      <w:r>
        <w:t xml:space="preserve">Patients with signs and symptoms of myocarditis, in the absence of an identified alternate etiology, should be treated according to the guidelines in </w:t>
      </w:r>
      <w:r>
        <w:rPr>
          <w:color w:val="0000FF"/>
        </w:rPr>
        <w:t>Table 22</w:t>
      </w:r>
      <w:r>
        <w:t xml:space="preserve">. </w:t>
      </w:r>
    </w:p>
    <w:p w14:paraId="1BD1D8C2" w14:textId="77777777" w:rsidR="000B3C5C" w:rsidRDefault="00ED192D">
      <w:pPr>
        <w:spacing w:after="4" w:line="250" w:lineRule="auto"/>
        <w:ind w:left="15" w:right="45"/>
        <w:jc w:val="center"/>
      </w:pPr>
      <w:r>
        <w:rPr>
          <w:rFonts w:ascii="Arial" w:eastAsia="Arial" w:hAnsi="Arial" w:cs="Arial"/>
          <w:b/>
          <w:sz w:val="20"/>
        </w:rPr>
        <w:t xml:space="preserve">Table 22 - Management Guidelines for Immune-Related Myocarditis  </w:t>
      </w:r>
    </w:p>
    <w:tbl>
      <w:tblPr>
        <w:tblStyle w:val="TableGrid"/>
        <w:tblW w:w="9686" w:type="dxa"/>
        <w:tblInd w:w="-108" w:type="dxa"/>
        <w:tblCellMar>
          <w:top w:w="81" w:type="dxa"/>
          <w:left w:w="0" w:type="dxa"/>
          <w:bottom w:w="0" w:type="dxa"/>
          <w:right w:w="68" w:type="dxa"/>
        </w:tblCellMar>
        <w:tblLook w:val="04A0" w:firstRow="1" w:lastRow="0" w:firstColumn="1" w:lastColumn="0" w:noHBand="0" w:noVBand="1"/>
      </w:tblPr>
      <w:tblGrid>
        <w:gridCol w:w="1582"/>
        <w:gridCol w:w="2194"/>
        <w:gridCol w:w="2473"/>
        <w:gridCol w:w="3437"/>
      </w:tblGrid>
      <w:tr w:rsidR="000B3C5C" w14:paraId="3073F2BB" w14:textId="77777777">
        <w:trPr>
          <w:trHeight w:val="590"/>
        </w:trPr>
        <w:tc>
          <w:tcPr>
            <w:tcW w:w="1582" w:type="dxa"/>
            <w:tcBorders>
              <w:top w:val="single" w:sz="4" w:space="0" w:color="000000"/>
              <w:left w:val="nil"/>
              <w:bottom w:val="single" w:sz="4" w:space="0" w:color="000000"/>
              <w:right w:val="nil"/>
            </w:tcBorders>
          </w:tcPr>
          <w:p w14:paraId="5C754332" w14:textId="77777777" w:rsidR="000B3C5C" w:rsidRDefault="00ED192D">
            <w:pPr>
              <w:spacing w:after="0" w:line="259" w:lineRule="auto"/>
              <w:ind w:left="0" w:right="58" w:firstLine="0"/>
              <w:jc w:val="center"/>
            </w:pPr>
            <w:r>
              <w:rPr>
                <w:rFonts w:ascii="Arial" w:eastAsia="Arial" w:hAnsi="Arial" w:cs="Arial"/>
                <w:b/>
                <w:sz w:val="20"/>
              </w:rPr>
              <w:t xml:space="preserve">Event </w:t>
            </w:r>
          </w:p>
        </w:tc>
        <w:tc>
          <w:tcPr>
            <w:tcW w:w="2194" w:type="dxa"/>
            <w:tcBorders>
              <w:top w:val="single" w:sz="4" w:space="0" w:color="000000"/>
              <w:left w:val="nil"/>
              <w:bottom w:val="single" w:sz="4" w:space="0" w:color="000000"/>
              <w:right w:val="nil"/>
            </w:tcBorders>
          </w:tcPr>
          <w:p w14:paraId="199FC243" w14:textId="77777777" w:rsidR="000B3C5C" w:rsidRDefault="00ED192D">
            <w:pPr>
              <w:spacing w:after="0" w:line="259" w:lineRule="auto"/>
              <w:ind w:left="341" w:firstLine="94"/>
            </w:pPr>
            <w:r>
              <w:rPr>
                <w:rFonts w:ascii="Arial" w:eastAsia="Arial" w:hAnsi="Arial" w:cs="Arial"/>
                <w:b/>
                <w:sz w:val="20"/>
              </w:rPr>
              <w:t xml:space="preserve">isatuximab management </w:t>
            </w:r>
          </w:p>
        </w:tc>
        <w:tc>
          <w:tcPr>
            <w:tcW w:w="2473" w:type="dxa"/>
            <w:tcBorders>
              <w:top w:val="single" w:sz="4" w:space="0" w:color="000000"/>
              <w:left w:val="nil"/>
              <w:bottom w:val="single" w:sz="4" w:space="0" w:color="000000"/>
              <w:right w:val="nil"/>
            </w:tcBorders>
          </w:tcPr>
          <w:p w14:paraId="20EC49CD" w14:textId="77777777" w:rsidR="000B3C5C" w:rsidRDefault="00ED192D">
            <w:pPr>
              <w:spacing w:after="0" w:line="259" w:lineRule="auto"/>
              <w:ind w:left="485" w:hanging="26"/>
            </w:pPr>
            <w:r>
              <w:rPr>
                <w:rFonts w:ascii="Arial" w:eastAsia="Arial" w:hAnsi="Arial" w:cs="Arial"/>
                <w:b/>
                <w:sz w:val="20"/>
              </w:rPr>
              <w:t xml:space="preserve">Atezolizumab management </w:t>
            </w:r>
          </w:p>
        </w:tc>
        <w:tc>
          <w:tcPr>
            <w:tcW w:w="3437" w:type="dxa"/>
            <w:tcBorders>
              <w:top w:val="single" w:sz="4" w:space="0" w:color="000000"/>
              <w:left w:val="nil"/>
              <w:bottom w:val="single" w:sz="4" w:space="0" w:color="000000"/>
              <w:right w:val="nil"/>
            </w:tcBorders>
          </w:tcPr>
          <w:p w14:paraId="23D7FF90" w14:textId="77777777" w:rsidR="000B3C5C" w:rsidRDefault="00ED192D">
            <w:pPr>
              <w:spacing w:after="0" w:line="259" w:lineRule="auto"/>
              <w:ind w:left="0" w:right="47" w:firstLine="0"/>
              <w:jc w:val="center"/>
            </w:pPr>
            <w:r>
              <w:rPr>
                <w:rFonts w:ascii="Arial" w:eastAsia="Arial" w:hAnsi="Arial" w:cs="Arial"/>
                <w:b/>
                <w:sz w:val="20"/>
              </w:rPr>
              <w:t xml:space="preserve">Action and guidance </w:t>
            </w:r>
          </w:p>
        </w:tc>
      </w:tr>
      <w:tr w:rsidR="000B3C5C" w14:paraId="73053731" w14:textId="77777777">
        <w:trPr>
          <w:trHeight w:val="893"/>
        </w:trPr>
        <w:tc>
          <w:tcPr>
            <w:tcW w:w="1582" w:type="dxa"/>
            <w:tcBorders>
              <w:top w:val="single" w:sz="4" w:space="0" w:color="000000"/>
              <w:left w:val="nil"/>
              <w:bottom w:val="nil"/>
              <w:right w:val="nil"/>
            </w:tcBorders>
            <w:vAlign w:val="center"/>
          </w:tcPr>
          <w:p w14:paraId="6B33CB58" w14:textId="77777777" w:rsidR="000B3C5C" w:rsidRDefault="00ED192D">
            <w:pPr>
              <w:spacing w:after="0" w:line="241" w:lineRule="auto"/>
              <w:ind w:left="293" w:hanging="139"/>
            </w:pPr>
            <w:r>
              <w:rPr>
                <w:rFonts w:ascii="Arial" w:eastAsia="Arial" w:hAnsi="Arial" w:cs="Arial"/>
                <w:sz w:val="20"/>
              </w:rPr>
              <w:t xml:space="preserve">Immune-related myocarditis, </w:t>
            </w:r>
          </w:p>
          <w:p w14:paraId="3D0CDFE3" w14:textId="77777777" w:rsidR="000B3C5C" w:rsidRDefault="00ED192D">
            <w:pPr>
              <w:spacing w:after="0" w:line="259" w:lineRule="auto"/>
              <w:ind w:left="0" w:right="58" w:firstLine="0"/>
              <w:jc w:val="center"/>
            </w:pPr>
            <w:r>
              <w:rPr>
                <w:rFonts w:ascii="Arial" w:eastAsia="Arial" w:hAnsi="Arial" w:cs="Arial"/>
                <w:sz w:val="20"/>
              </w:rPr>
              <w:t xml:space="preserve">Grade 1 </w:t>
            </w:r>
          </w:p>
        </w:tc>
        <w:tc>
          <w:tcPr>
            <w:tcW w:w="2194" w:type="dxa"/>
            <w:tcBorders>
              <w:top w:val="single" w:sz="4" w:space="0" w:color="000000"/>
              <w:left w:val="nil"/>
              <w:bottom w:val="nil"/>
              <w:right w:val="nil"/>
            </w:tcBorders>
          </w:tcPr>
          <w:p w14:paraId="31F5D71D" w14:textId="77777777" w:rsidR="000B3C5C" w:rsidRDefault="00ED192D">
            <w:pPr>
              <w:spacing w:after="0" w:line="259" w:lineRule="auto"/>
              <w:ind w:left="274" w:firstLine="0"/>
            </w:pPr>
            <w:r>
              <w:rPr>
                <w:rFonts w:ascii="Arial" w:eastAsia="Arial" w:hAnsi="Arial" w:cs="Arial"/>
                <w:sz w:val="20"/>
              </w:rPr>
              <w:t xml:space="preserve">No change in dose </w:t>
            </w:r>
          </w:p>
        </w:tc>
        <w:tc>
          <w:tcPr>
            <w:tcW w:w="2473" w:type="dxa"/>
            <w:tcBorders>
              <w:top w:val="single" w:sz="4" w:space="0" w:color="000000"/>
              <w:left w:val="nil"/>
              <w:bottom w:val="nil"/>
              <w:right w:val="nil"/>
            </w:tcBorders>
          </w:tcPr>
          <w:p w14:paraId="3F4A5099" w14:textId="77777777" w:rsidR="000B3C5C" w:rsidRDefault="00ED192D">
            <w:pPr>
              <w:spacing w:after="0" w:line="259" w:lineRule="auto"/>
              <w:ind w:left="418" w:firstLine="0"/>
            </w:pPr>
            <w:r>
              <w:rPr>
                <w:rFonts w:ascii="Arial" w:eastAsia="Arial" w:hAnsi="Arial" w:cs="Arial"/>
                <w:sz w:val="20"/>
              </w:rPr>
              <w:t xml:space="preserve">No change in dose </w:t>
            </w:r>
          </w:p>
        </w:tc>
        <w:tc>
          <w:tcPr>
            <w:tcW w:w="3437" w:type="dxa"/>
            <w:tcBorders>
              <w:top w:val="single" w:sz="4" w:space="0" w:color="000000"/>
              <w:left w:val="nil"/>
              <w:bottom w:val="nil"/>
              <w:right w:val="nil"/>
            </w:tcBorders>
          </w:tcPr>
          <w:p w14:paraId="2102C7FD" w14:textId="77777777" w:rsidR="000B3C5C" w:rsidRDefault="00ED192D">
            <w:pPr>
              <w:spacing w:after="41" w:line="259" w:lineRule="auto"/>
              <w:ind w:left="0" w:right="44" w:firstLine="0"/>
              <w:jc w:val="center"/>
            </w:pPr>
            <w:r>
              <w:rPr>
                <w:rFonts w:ascii="Arial" w:eastAsia="Arial" w:hAnsi="Arial" w:cs="Arial"/>
                <w:sz w:val="20"/>
              </w:rPr>
              <w:t xml:space="preserve">Refer patient to cardiologist. </w:t>
            </w:r>
          </w:p>
          <w:p w14:paraId="02BEF68D" w14:textId="77777777" w:rsidR="000B3C5C" w:rsidRDefault="00ED192D">
            <w:pPr>
              <w:spacing w:after="0" w:line="259" w:lineRule="auto"/>
              <w:ind w:left="1272" w:hanging="902"/>
            </w:pPr>
            <w:r>
              <w:rPr>
                <w:rFonts w:ascii="Arial" w:eastAsia="Arial" w:hAnsi="Arial" w:cs="Arial"/>
                <w:sz w:val="20"/>
              </w:rPr>
              <w:t xml:space="preserve">Initiate treatment as per institutional guidelines. </w:t>
            </w:r>
          </w:p>
        </w:tc>
      </w:tr>
      <w:tr w:rsidR="000B3C5C" w14:paraId="41CA4535" w14:textId="77777777">
        <w:trPr>
          <w:trHeight w:val="2997"/>
        </w:trPr>
        <w:tc>
          <w:tcPr>
            <w:tcW w:w="1582" w:type="dxa"/>
            <w:tcBorders>
              <w:top w:val="nil"/>
              <w:left w:val="nil"/>
              <w:bottom w:val="nil"/>
              <w:right w:val="nil"/>
            </w:tcBorders>
          </w:tcPr>
          <w:p w14:paraId="2A2346F2" w14:textId="77777777" w:rsidR="000B3C5C" w:rsidRDefault="00ED192D">
            <w:pPr>
              <w:spacing w:after="0" w:line="241" w:lineRule="auto"/>
              <w:ind w:left="293" w:hanging="139"/>
            </w:pPr>
            <w:r>
              <w:rPr>
                <w:rFonts w:ascii="Arial" w:eastAsia="Arial" w:hAnsi="Arial" w:cs="Arial"/>
                <w:sz w:val="20"/>
              </w:rPr>
              <w:t xml:space="preserve">Immune-related myocarditis, </w:t>
            </w:r>
          </w:p>
          <w:p w14:paraId="26656AC9" w14:textId="77777777" w:rsidR="000B3C5C" w:rsidRDefault="00ED192D">
            <w:pPr>
              <w:spacing w:after="0" w:line="259" w:lineRule="auto"/>
              <w:ind w:left="0" w:right="58" w:firstLine="0"/>
              <w:jc w:val="center"/>
            </w:pPr>
            <w:r>
              <w:rPr>
                <w:rFonts w:ascii="Arial" w:eastAsia="Arial" w:hAnsi="Arial" w:cs="Arial"/>
                <w:sz w:val="20"/>
              </w:rPr>
              <w:t xml:space="preserve">Grade 2 </w:t>
            </w:r>
          </w:p>
        </w:tc>
        <w:tc>
          <w:tcPr>
            <w:tcW w:w="2194" w:type="dxa"/>
            <w:tcBorders>
              <w:top w:val="nil"/>
              <w:left w:val="nil"/>
              <w:bottom w:val="nil"/>
              <w:right w:val="nil"/>
            </w:tcBorders>
          </w:tcPr>
          <w:p w14:paraId="1BBE75B1" w14:textId="77777777" w:rsidR="000B3C5C" w:rsidRDefault="00ED192D">
            <w:pPr>
              <w:spacing w:after="0" w:line="259" w:lineRule="auto"/>
              <w:ind w:left="274" w:firstLine="0"/>
            </w:pPr>
            <w:r>
              <w:rPr>
                <w:rFonts w:ascii="Arial" w:eastAsia="Arial" w:hAnsi="Arial" w:cs="Arial"/>
                <w:sz w:val="20"/>
              </w:rPr>
              <w:t xml:space="preserve">No change in dose </w:t>
            </w:r>
          </w:p>
        </w:tc>
        <w:tc>
          <w:tcPr>
            <w:tcW w:w="2473" w:type="dxa"/>
            <w:tcBorders>
              <w:top w:val="nil"/>
              <w:left w:val="nil"/>
              <w:bottom w:val="nil"/>
              <w:right w:val="nil"/>
            </w:tcBorders>
          </w:tcPr>
          <w:p w14:paraId="74B5C484" w14:textId="77777777" w:rsidR="000B3C5C" w:rsidRDefault="00ED192D">
            <w:pPr>
              <w:spacing w:after="53" w:line="259" w:lineRule="auto"/>
              <w:ind w:left="233" w:firstLine="0"/>
            </w:pPr>
            <w:r>
              <w:rPr>
                <w:rFonts w:ascii="Arial" w:eastAsia="Arial" w:hAnsi="Arial" w:cs="Arial"/>
                <w:sz w:val="20"/>
              </w:rPr>
              <w:t xml:space="preserve">Omit/withhold dose until </w:t>
            </w:r>
          </w:p>
          <w:p w14:paraId="7C40E526" w14:textId="77777777" w:rsidR="000B3C5C" w:rsidRDefault="00ED192D">
            <w:pPr>
              <w:spacing w:after="0" w:line="259" w:lineRule="auto"/>
              <w:ind w:left="711" w:firstLine="0"/>
            </w:pPr>
            <w:r>
              <w:rPr>
                <w:rFonts w:ascii="Arial" w:eastAsia="Arial" w:hAnsi="Arial" w:cs="Arial"/>
                <w:sz w:val="20"/>
              </w:rPr>
              <w:t>Grade ≤1</w:t>
            </w:r>
            <w:r>
              <w:rPr>
                <w:rFonts w:ascii="Arial" w:eastAsia="Arial" w:hAnsi="Arial" w:cs="Arial"/>
                <w:i/>
                <w:color w:val="0000FF"/>
                <w:sz w:val="28"/>
                <w:vertAlign w:val="superscript"/>
              </w:rPr>
              <w:t>a</w:t>
            </w:r>
            <w:r>
              <w:rPr>
                <w:rFonts w:ascii="Arial" w:eastAsia="Arial" w:hAnsi="Arial" w:cs="Arial"/>
                <w:sz w:val="20"/>
              </w:rPr>
              <w:t xml:space="preserve"> </w:t>
            </w:r>
          </w:p>
          <w:p w14:paraId="60A3E3E8" w14:textId="77777777" w:rsidR="000B3C5C" w:rsidRDefault="00ED192D">
            <w:pPr>
              <w:spacing w:after="15" w:line="223" w:lineRule="auto"/>
              <w:ind w:left="26" w:hanging="26"/>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0A6B13ED" w14:textId="77777777" w:rsidR="000B3C5C" w:rsidRDefault="00ED192D">
            <w:pPr>
              <w:spacing w:after="0" w:line="259" w:lineRule="auto"/>
              <w:ind w:left="118" w:firstLine="0"/>
            </w:pPr>
            <w:r>
              <w:rPr>
                <w:rFonts w:ascii="Arial" w:eastAsia="Arial" w:hAnsi="Arial" w:cs="Arial"/>
                <w:sz w:val="20"/>
              </w:rPr>
              <w:t xml:space="preserve">If event does not resolve to </w:t>
            </w:r>
          </w:p>
          <w:p w14:paraId="48E81A01" w14:textId="77777777" w:rsidR="000B3C5C" w:rsidRDefault="00ED192D">
            <w:pPr>
              <w:spacing w:after="2" w:line="239" w:lineRule="auto"/>
              <w:ind w:left="164" w:firstLine="106"/>
            </w:pPr>
            <w:r>
              <w:rPr>
                <w:rFonts w:ascii="Arial" w:eastAsia="Arial" w:hAnsi="Arial" w:cs="Arial"/>
                <w:sz w:val="20"/>
              </w:rPr>
              <w:t xml:space="preserve">Grade 1 or better while withholding atezolizumab, </w:t>
            </w:r>
          </w:p>
          <w:p w14:paraId="0B3A66F7" w14:textId="77777777" w:rsidR="000B3C5C" w:rsidRDefault="00ED192D">
            <w:pPr>
              <w:spacing w:after="65" w:line="241" w:lineRule="auto"/>
              <w:ind w:left="461" w:hanging="247"/>
            </w:pPr>
            <w:r>
              <w:rPr>
                <w:rFonts w:ascii="Arial" w:eastAsia="Arial" w:hAnsi="Arial" w:cs="Arial"/>
                <w:sz w:val="20"/>
              </w:rPr>
              <w:t xml:space="preserve">permanently discontinue atezolizumab and </w:t>
            </w:r>
          </w:p>
          <w:p w14:paraId="5A8CD9F6" w14:textId="77777777" w:rsidR="000B3C5C" w:rsidRDefault="00ED192D">
            <w:pPr>
              <w:spacing w:after="0" w:line="259" w:lineRule="auto"/>
              <w:ind w:left="44" w:firstLine="0"/>
            </w:pPr>
            <w:r>
              <w:rPr>
                <w:rFonts w:ascii="Arial" w:eastAsia="Arial" w:hAnsi="Arial" w:cs="Arial"/>
                <w:sz w:val="20"/>
              </w:rPr>
              <w:t>resume/continue isatuximab</w:t>
            </w:r>
            <w:r>
              <w:rPr>
                <w:rFonts w:ascii="Arial" w:eastAsia="Arial" w:hAnsi="Arial" w:cs="Arial"/>
                <w:i/>
                <w:color w:val="0000FF"/>
                <w:sz w:val="28"/>
                <w:vertAlign w:val="superscript"/>
              </w:rPr>
              <w:t>c</w:t>
            </w:r>
            <w:r>
              <w:rPr>
                <w:rFonts w:ascii="Arial" w:eastAsia="Arial" w:hAnsi="Arial" w:cs="Arial"/>
                <w:sz w:val="20"/>
              </w:rPr>
              <w:t xml:space="preserve"> </w:t>
            </w:r>
          </w:p>
        </w:tc>
        <w:tc>
          <w:tcPr>
            <w:tcW w:w="3437" w:type="dxa"/>
            <w:tcBorders>
              <w:top w:val="nil"/>
              <w:left w:val="nil"/>
              <w:bottom w:val="nil"/>
              <w:right w:val="nil"/>
            </w:tcBorders>
          </w:tcPr>
          <w:p w14:paraId="6892901A" w14:textId="77777777" w:rsidR="000B3C5C" w:rsidRDefault="00ED192D">
            <w:pPr>
              <w:spacing w:after="41" w:line="259" w:lineRule="auto"/>
              <w:ind w:left="0" w:right="45" w:firstLine="0"/>
              <w:jc w:val="center"/>
            </w:pPr>
            <w:r>
              <w:rPr>
                <w:rFonts w:ascii="Arial" w:eastAsia="Arial" w:hAnsi="Arial" w:cs="Arial"/>
                <w:sz w:val="20"/>
              </w:rPr>
              <w:t xml:space="preserve">Contact Medical Monitor. </w:t>
            </w:r>
          </w:p>
          <w:p w14:paraId="59AF1833" w14:textId="77777777" w:rsidR="000B3C5C" w:rsidRDefault="00ED192D">
            <w:pPr>
              <w:spacing w:after="43" w:line="259" w:lineRule="auto"/>
              <w:ind w:left="0" w:right="44" w:firstLine="0"/>
              <w:jc w:val="center"/>
            </w:pPr>
            <w:r>
              <w:rPr>
                <w:rFonts w:ascii="Arial" w:eastAsia="Arial" w:hAnsi="Arial" w:cs="Arial"/>
                <w:sz w:val="20"/>
              </w:rPr>
              <w:t xml:space="preserve">Refer patient to cardiologist. </w:t>
            </w:r>
          </w:p>
          <w:p w14:paraId="2D4045CE" w14:textId="77777777" w:rsidR="000B3C5C" w:rsidRDefault="00ED192D">
            <w:pPr>
              <w:spacing w:after="74" w:line="241" w:lineRule="auto"/>
              <w:ind w:left="14" w:firstLine="355"/>
            </w:pPr>
            <w:r>
              <w:rPr>
                <w:rFonts w:ascii="Arial" w:eastAsia="Arial" w:hAnsi="Arial" w:cs="Arial"/>
                <w:sz w:val="20"/>
              </w:rPr>
              <w:t xml:space="preserve">Initiate treatment as per institutional guidelines and consider antiarrhythmic drugs, temporary pacemaker, ECMO, or VAD as appropriate. </w:t>
            </w:r>
          </w:p>
          <w:p w14:paraId="15C2AB2F" w14:textId="77777777" w:rsidR="000B3C5C" w:rsidRDefault="00ED192D">
            <w:pPr>
              <w:spacing w:after="78" w:line="230" w:lineRule="auto"/>
              <w:ind w:left="10" w:firstLine="120"/>
            </w:pPr>
            <w:r>
              <w:rPr>
                <w:rFonts w:ascii="Arial" w:eastAsia="Arial" w:hAnsi="Arial" w:cs="Arial"/>
                <w:sz w:val="20"/>
              </w:rPr>
              <w:t>Consider treatment with 1</w:t>
            </w:r>
            <w:r>
              <w:rPr>
                <w:rFonts w:ascii="Segoe UI Symbol" w:eastAsia="Segoe UI Symbol" w:hAnsi="Segoe UI Symbol" w:cs="Segoe UI Symbol"/>
                <w:sz w:val="20"/>
              </w:rPr>
              <w:t>−</w:t>
            </w:r>
            <w:r>
              <w:rPr>
                <w:rFonts w:ascii="Arial" w:eastAsia="Arial" w:hAnsi="Arial" w:cs="Arial"/>
                <w:sz w:val="20"/>
              </w:rPr>
              <w:t>2 mg/kg/day IV methylprednisolone or equivalent and convert to 1</w:t>
            </w:r>
            <w:r>
              <w:rPr>
                <w:rFonts w:ascii="Segoe UI Symbol" w:eastAsia="Segoe UI Symbol" w:hAnsi="Segoe UI Symbol" w:cs="Segoe UI Symbol"/>
                <w:sz w:val="20"/>
              </w:rPr>
              <w:t>−</w:t>
            </w:r>
            <w:r>
              <w:rPr>
                <w:rFonts w:ascii="Arial" w:eastAsia="Arial" w:hAnsi="Arial" w:cs="Arial"/>
                <w:sz w:val="20"/>
              </w:rPr>
              <w:t>2 mg/kg/day oral prednisone or equivalent upon improvement</w:t>
            </w:r>
            <w:r>
              <w:rPr>
                <w:rFonts w:ascii="Arial" w:eastAsia="Arial" w:hAnsi="Arial" w:cs="Arial"/>
                <w:i/>
                <w:color w:val="0000FF"/>
                <w:sz w:val="28"/>
                <w:vertAlign w:val="superscript"/>
              </w:rPr>
              <w:t>a</w:t>
            </w:r>
            <w:r>
              <w:rPr>
                <w:rFonts w:ascii="Arial" w:eastAsia="Arial" w:hAnsi="Arial" w:cs="Arial"/>
                <w:sz w:val="20"/>
              </w:rPr>
              <w:t xml:space="preserve"> </w:t>
            </w:r>
          </w:p>
          <w:p w14:paraId="682DD827" w14:textId="77777777" w:rsidR="000B3C5C" w:rsidRDefault="00ED192D">
            <w:pPr>
              <w:spacing w:after="0" w:line="259" w:lineRule="auto"/>
              <w:ind w:left="0" w:right="45"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6960E654" w14:textId="77777777">
        <w:trPr>
          <w:trHeight w:val="3988"/>
        </w:trPr>
        <w:tc>
          <w:tcPr>
            <w:tcW w:w="1582" w:type="dxa"/>
            <w:tcBorders>
              <w:top w:val="nil"/>
              <w:left w:val="nil"/>
              <w:bottom w:val="single" w:sz="12" w:space="0" w:color="000000"/>
              <w:right w:val="nil"/>
            </w:tcBorders>
          </w:tcPr>
          <w:p w14:paraId="07CDD175" w14:textId="77777777" w:rsidR="000B3C5C" w:rsidRDefault="00ED192D">
            <w:pPr>
              <w:spacing w:after="15" w:line="241" w:lineRule="auto"/>
              <w:ind w:left="293" w:hanging="139"/>
            </w:pPr>
            <w:r>
              <w:rPr>
                <w:rFonts w:ascii="Arial" w:eastAsia="Arial" w:hAnsi="Arial" w:cs="Arial"/>
                <w:sz w:val="20"/>
              </w:rPr>
              <w:t xml:space="preserve">Immune-related myocarditis, </w:t>
            </w:r>
          </w:p>
          <w:p w14:paraId="7DE928C0" w14:textId="77777777" w:rsidR="000B3C5C" w:rsidRDefault="00ED192D">
            <w:pPr>
              <w:spacing w:after="0" w:line="259" w:lineRule="auto"/>
              <w:ind w:left="0" w:right="57" w:firstLine="0"/>
              <w:jc w:val="center"/>
            </w:pPr>
            <w:r>
              <w:rPr>
                <w:rFonts w:ascii="Arial" w:eastAsia="Arial" w:hAnsi="Arial" w:cs="Arial"/>
                <w:sz w:val="20"/>
              </w:rPr>
              <w:t>Grade 3</w:t>
            </w:r>
            <w:r>
              <w:rPr>
                <w:rFonts w:ascii="Segoe UI Symbol" w:eastAsia="Segoe UI Symbol" w:hAnsi="Segoe UI Symbol" w:cs="Segoe UI Symbol"/>
                <w:sz w:val="20"/>
              </w:rPr>
              <w:t>−</w:t>
            </w:r>
            <w:r>
              <w:rPr>
                <w:rFonts w:ascii="Arial" w:eastAsia="Arial" w:hAnsi="Arial" w:cs="Arial"/>
                <w:sz w:val="20"/>
              </w:rPr>
              <w:t xml:space="preserve">4 </w:t>
            </w:r>
          </w:p>
        </w:tc>
        <w:tc>
          <w:tcPr>
            <w:tcW w:w="2194" w:type="dxa"/>
            <w:tcBorders>
              <w:top w:val="nil"/>
              <w:left w:val="nil"/>
              <w:bottom w:val="single" w:sz="12" w:space="0" w:color="000000"/>
              <w:right w:val="nil"/>
            </w:tcBorders>
          </w:tcPr>
          <w:p w14:paraId="74CD573E" w14:textId="77777777" w:rsidR="000B3C5C" w:rsidRDefault="00ED192D">
            <w:pPr>
              <w:spacing w:after="0" w:line="241" w:lineRule="auto"/>
              <w:ind w:left="14" w:firstLine="46"/>
            </w:pPr>
            <w:r>
              <w:rPr>
                <w:rFonts w:ascii="Arial" w:eastAsia="Arial" w:hAnsi="Arial" w:cs="Arial"/>
                <w:sz w:val="20"/>
              </w:rPr>
              <w:t xml:space="preserve">Delay or omit isatuximab until resolves to ≤Grade 2 </w:t>
            </w:r>
          </w:p>
          <w:p w14:paraId="0498CB5B" w14:textId="77777777" w:rsidR="000B3C5C" w:rsidRDefault="00ED192D">
            <w:pPr>
              <w:spacing w:after="0" w:line="259" w:lineRule="auto"/>
              <w:ind w:left="0" w:firstLine="0"/>
            </w:pPr>
            <w:r>
              <w:rPr>
                <w:rFonts w:ascii="Arial" w:eastAsia="Arial" w:hAnsi="Arial" w:cs="Arial"/>
                <w:sz w:val="20"/>
              </w:rPr>
              <w:t xml:space="preserve">for a maximum of 2 weeks </w:t>
            </w:r>
          </w:p>
          <w:p w14:paraId="74BE0FD6" w14:textId="77777777" w:rsidR="000B3C5C" w:rsidRDefault="00ED192D">
            <w:pPr>
              <w:spacing w:after="0" w:line="259" w:lineRule="auto"/>
              <w:ind w:left="269"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473" w:type="dxa"/>
            <w:tcBorders>
              <w:top w:val="nil"/>
              <w:left w:val="nil"/>
              <w:bottom w:val="single" w:sz="12" w:space="0" w:color="000000"/>
              <w:right w:val="nil"/>
            </w:tcBorders>
          </w:tcPr>
          <w:p w14:paraId="3A728445" w14:textId="77777777" w:rsidR="000B3C5C" w:rsidRDefault="00ED192D">
            <w:pPr>
              <w:spacing w:after="0" w:line="259" w:lineRule="auto"/>
              <w:ind w:left="168" w:firstLine="0"/>
            </w:pPr>
            <w:r>
              <w:rPr>
                <w:rFonts w:ascii="Arial" w:eastAsia="Arial" w:hAnsi="Arial" w:cs="Arial"/>
                <w:sz w:val="20"/>
              </w:rPr>
              <w:t xml:space="preserve">Discontinue atezolizumab </w:t>
            </w:r>
          </w:p>
        </w:tc>
        <w:tc>
          <w:tcPr>
            <w:tcW w:w="3437" w:type="dxa"/>
            <w:tcBorders>
              <w:top w:val="nil"/>
              <w:left w:val="nil"/>
              <w:bottom w:val="single" w:sz="12" w:space="0" w:color="000000"/>
              <w:right w:val="nil"/>
            </w:tcBorders>
          </w:tcPr>
          <w:p w14:paraId="56492AC0" w14:textId="77777777" w:rsidR="000B3C5C" w:rsidRDefault="00ED192D">
            <w:pPr>
              <w:spacing w:after="0" w:line="259" w:lineRule="auto"/>
              <w:ind w:left="0" w:right="45"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4FF9DFDD" w14:textId="77777777" w:rsidR="000B3C5C" w:rsidRDefault="00ED192D">
            <w:pPr>
              <w:spacing w:after="41" w:line="259" w:lineRule="auto"/>
              <w:ind w:left="0" w:right="44" w:firstLine="0"/>
              <w:jc w:val="center"/>
            </w:pPr>
            <w:r>
              <w:rPr>
                <w:rFonts w:ascii="Arial" w:eastAsia="Arial" w:hAnsi="Arial" w:cs="Arial"/>
                <w:sz w:val="20"/>
              </w:rPr>
              <w:t xml:space="preserve">Refer patient to cardiologist. </w:t>
            </w:r>
          </w:p>
          <w:p w14:paraId="400E1281" w14:textId="77777777" w:rsidR="000B3C5C" w:rsidRDefault="00ED192D">
            <w:pPr>
              <w:spacing w:after="75" w:line="241" w:lineRule="auto"/>
              <w:ind w:left="14" w:firstLine="355"/>
            </w:pPr>
            <w:r>
              <w:rPr>
                <w:rFonts w:ascii="Arial" w:eastAsia="Arial" w:hAnsi="Arial" w:cs="Arial"/>
                <w:sz w:val="20"/>
              </w:rPr>
              <w:t xml:space="preserve">Initiate treatment as per institutional guidelines and consider antiarrhythmic drugs, temporary pacemaker, ECMO, or VAD as appropriate. </w:t>
            </w:r>
          </w:p>
          <w:p w14:paraId="76E8A3F2" w14:textId="77777777" w:rsidR="000B3C5C" w:rsidRDefault="00ED192D">
            <w:pPr>
              <w:spacing w:after="29" w:line="232" w:lineRule="auto"/>
              <w:ind w:left="10" w:firstLine="204"/>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2 mg/kg/day IV methylprednisolone or equivalent and convert to 1</w:t>
            </w:r>
            <w:r>
              <w:rPr>
                <w:rFonts w:ascii="Segoe UI Symbol" w:eastAsia="Segoe UI Symbol" w:hAnsi="Segoe UI Symbol" w:cs="Segoe UI Symbol"/>
                <w:sz w:val="20"/>
              </w:rPr>
              <w:t>−</w:t>
            </w:r>
            <w:r>
              <w:rPr>
                <w:rFonts w:ascii="Arial" w:eastAsia="Arial" w:hAnsi="Arial" w:cs="Arial"/>
                <w:sz w:val="20"/>
              </w:rPr>
              <w:t xml:space="preserve">2 mg/kg/day oral prednisone or </w:t>
            </w:r>
          </w:p>
          <w:p w14:paraId="55E666E2" w14:textId="77777777" w:rsidR="000B3C5C" w:rsidRDefault="00ED192D">
            <w:pPr>
              <w:spacing w:after="0" w:line="259" w:lineRule="auto"/>
              <w:ind w:left="0" w:right="44" w:firstLine="0"/>
              <w:jc w:val="center"/>
            </w:pPr>
            <w:r>
              <w:rPr>
                <w:rFonts w:ascii="Arial" w:eastAsia="Arial" w:hAnsi="Arial" w:cs="Arial"/>
                <w:sz w:val="20"/>
              </w:rPr>
              <w:t xml:space="preserve">equivalent upon improvement </w:t>
            </w:r>
            <w:r>
              <w:rPr>
                <w:rFonts w:ascii="Arial" w:eastAsia="Arial" w:hAnsi="Arial" w:cs="Arial"/>
                <w:i/>
                <w:color w:val="0000FF"/>
                <w:sz w:val="28"/>
                <w:vertAlign w:val="superscript"/>
              </w:rPr>
              <w:t>a</w:t>
            </w:r>
            <w:r>
              <w:rPr>
                <w:rFonts w:ascii="Arial" w:eastAsia="Arial" w:hAnsi="Arial" w:cs="Arial"/>
                <w:sz w:val="20"/>
                <w:vertAlign w:val="superscript"/>
              </w:rPr>
              <w:t>,</w:t>
            </w:r>
            <w:r>
              <w:rPr>
                <w:rFonts w:ascii="Arial" w:eastAsia="Arial" w:hAnsi="Arial" w:cs="Arial"/>
                <w:i/>
                <w:color w:val="0000FF"/>
                <w:sz w:val="28"/>
                <w:vertAlign w:val="superscript"/>
              </w:rPr>
              <w:t xml:space="preserve"> b</w:t>
            </w:r>
            <w:r>
              <w:rPr>
                <w:rFonts w:ascii="Arial" w:eastAsia="Arial" w:hAnsi="Arial" w:cs="Arial"/>
                <w:sz w:val="20"/>
              </w:rPr>
              <w:t xml:space="preserve"> </w:t>
            </w:r>
          </w:p>
          <w:p w14:paraId="0305E291" w14:textId="77777777" w:rsidR="000B3C5C" w:rsidRDefault="00ED192D">
            <w:pPr>
              <w:spacing w:after="58" w:line="241" w:lineRule="auto"/>
              <w:ind w:left="0" w:firstLine="168"/>
            </w:pPr>
            <w:r>
              <w:rPr>
                <w:rFonts w:ascii="Arial" w:eastAsia="Arial" w:hAnsi="Arial" w:cs="Arial"/>
                <w:sz w:val="20"/>
              </w:rPr>
              <w:t xml:space="preserve">If event does not improve within 48 hours after initiating corticosteroids, consider adding an immunosuppressive agent. </w:t>
            </w:r>
          </w:p>
          <w:p w14:paraId="13D18ED3" w14:textId="77777777" w:rsidR="000B3C5C" w:rsidRDefault="00ED192D">
            <w:pPr>
              <w:spacing w:after="0" w:line="259" w:lineRule="auto"/>
              <w:ind w:left="557" w:hanging="461"/>
            </w:pPr>
            <w:r>
              <w:rPr>
                <w:rFonts w:ascii="Arial" w:eastAsia="Arial" w:hAnsi="Arial" w:cs="Arial"/>
                <w:sz w:val="20"/>
              </w:rPr>
              <w:t xml:space="preserve">If event resolves to Grade 1 or better, taper corticosteroids over </w:t>
            </w:r>
            <w:r>
              <w:rPr>
                <w:rFonts w:ascii="Segoe UI Symbol" w:eastAsia="Segoe UI Symbol" w:hAnsi="Segoe UI Symbol" w:cs="Segoe UI Symbol"/>
                <w:sz w:val="20"/>
              </w:rPr>
              <w:t></w:t>
            </w:r>
            <w:r>
              <w:rPr>
                <w:rFonts w:ascii="Arial" w:eastAsia="Arial" w:hAnsi="Arial" w:cs="Arial"/>
                <w:sz w:val="20"/>
              </w:rPr>
              <w:t xml:space="preserve">1 month. </w:t>
            </w:r>
          </w:p>
        </w:tc>
      </w:tr>
    </w:tbl>
    <w:p w14:paraId="457125C4" w14:textId="77777777" w:rsidR="000B3C5C" w:rsidRDefault="00ED192D">
      <w:pPr>
        <w:numPr>
          <w:ilvl w:val="0"/>
          <w:numId w:val="81"/>
        </w:numPr>
        <w:spacing w:after="12"/>
        <w:ind w:right="2" w:hanging="245"/>
      </w:pPr>
      <w:r>
        <w:rPr>
          <w:rFonts w:ascii="Arial" w:eastAsia="Arial" w:hAnsi="Arial" w:cs="Arial"/>
          <w:sz w:val="18"/>
        </w:rPr>
        <w:t xml:space="preserve">Atezolizumab may be withheld for a longer period of time (ie, </w:t>
      </w:r>
      <w:r>
        <w:rPr>
          <w:rFonts w:ascii="Segoe UI Symbol" w:eastAsia="Segoe UI Symbol" w:hAnsi="Segoe UI Symbol" w:cs="Segoe UI Symbol"/>
          <w:sz w:val="18"/>
        </w:rPr>
        <w:t></w:t>
      </w:r>
      <w:r>
        <w:rPr>
          <w:rFonts w:ascii="Arial" w:eastAsia="Arial" w:hAnsi="Arial" w:cs="Arial"/>
          <w:sz w:val="18"/>
        </w:rPr>
        <w:t xml:space="preserve">12 weeks after event onset) to allow for corticosteroids (if initiated) to be reduced to </w:t>
      </w:r>
      <w:r>
        <w:rPr>
          <w:rFonts w:ascii="Segoe UI Symbol" w:eastAsia="Segoe UI Symbol" w:hAnsi="Segoe UI Symbol" w:cs="Segoe UI Symbol"/>
          <w:sz w:val="18"/>
        </w:rPr>
        <w:t></w:t>
      </w:r>
      <w:r>
        <w:rPr>
          <w:rFonts w:ascii="Arial" w:eastAsia="Arial" w:hAnsi="Arial" w:cs="Arial"/>
          <w:sz w:val="18"/>
        </w:rPr>
        <w:t xml:space="preserve"> 10 mg/day oral prednisone or equivalent.  The acceptable length of the extended period of time must be agreed upon by the investigator and the Medical Monitor. </w:t>
      </w:r>
    </w:p>
    <w:p w14:paraId="20C2B6B5" w14:textId="77777777" w:rsidR="000B3C5C" w:rsidRDefault="00ED192D">
      <w:pPr>
        <w:numPr>
          <w:ilvl w:val="0"/>
          <w:numId w:val="81"/>
        </w:numPr>
        <w:spacing w:after="12"/>
        <w:ind w:right="2" w:hanging="245"/>
      </w:pPr>
      <w:r>
        <w:rPr>
          <w:rFonts w:ascii="Arial" w:eastAsia="Arial" w:hAnsi="Arial" w:cs="Arial"/>
          <w:sz w:val="18"/>
        </w:rPr>
        <w:t xml:space="preserve">If corticosteroids have been initiated, they must be tapered over </w:t>
      </w:r>
      <w:r>
        <w:rPr>
          <w:rFonts w:ascii="Segoe UI Symbol" w:eastAsia="Segoe UI Symbol" w:hAnsi="Segoe UI Symbol" w:cs="Segoe UI Symbol"/>
          <w:sz w:val="18"/>
        </w:rPr>
        <w:t></w:t>
      </w:r>
      <w:r>
        <w:rPr>
          <w:rFonts w:ascii="Arial" w:eastAsia="Arial" w:hAnsi="Arial" w:cs="Arial"/>
          <w:sz w:val="18"/>
        </w:rPr>
        <w:t xml:space="preserve">1 month to </w:t>
      </w:r>
      <w:r>
        <w:rPr>
          <w:rFonts w:ascii="Segoe UI Symbol" w:eastAsia="Segoe UI Symbol" w:hAnsi="Segoe UI Symbol" w:cs="Segoe UI Symbol"/>
          <w:sz w:val="18"/>
        </w:rPr>
        <w:t></w:t>
      </w:r>
      <w:r>
        <w:rPr>
          <w:rFonts w:ascii="Arial" w:eastAsia="Arial" w:hAnsi="Arial" w:cs="Arial"/>
          <w:sz w:val="18"/>
        </w:rPr>
        <w:t xml:space="preserve">10 mg/day oral prednisone or equivalent before atezolizumab can be resumed. </w:t>
      </w:r>
    </w:p>
    <w:p w14:paraId="68E803CF" w14:textId="77777777" w:rsidR="000B3C5C" w:rsidRDefault="00ED192D">
      <w:pPr>
        <w:numPr>
          <w:ilvl w:val="0"/>
          <w:numId w:val="81"/>
        </w:numPr>
        <w:spacing w:after="12"/>
        <w:ind w:right="2" w:hanging="245"/>
      </w:pP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w:t>
      </w:r>
    </w:p>
    <w:p w14:paraId="27E71609" w14:textId="77777777" w:rsidR="000B3C5C" w:rsidRDefault="00ED192D">
      <w:pPr>
        <w:spacing w:after="12"/>
        <w:ind w:left="255" w:right="2"/>
      </w:pPr>
      <w:r>
        <w:rPr>
          <w:rFonts w:ascii="Arial" w:eastAsia="Arial" w:hAnsi="Arial" w:cs="Arial"/>
          <w:sz w:val="18"/>
        </w:rPr>
        <w:t xml:space="preserve">Abbreviation: ECMO </w:t>
      </w:r>
      <w:r>
        <w:rPr>
          <w:rFonts w:ascii="Segoe UI Symbol" w:eastAsia="Segoe UI Symbol" w:hAnsi="Segoe UI Symbol" w:cs="Segoe UI Symbol"/>
          <w:sz w:val="18"/>
        </w:rPr>
        <w:t>=</w:t>
      </w:r>
      <w:r>
        <w:rPr>
          <w:rFonts w:ascii="Arial" w:eastAsia="Arial" w:hAnsi="Arial" w:cs="Arial"/>
          <w:sz w:val="18"/>
        </w:rPr>
        <w:t xml:space="preserve"> extracorporeal membrane oxygenation; VAD </w:t>
      </w:r>
      <w:r>
        <w:rPr>
          <w:rFonts w:ascii="Segoe UI Symbol" w:eastAsia="Segoe UI Symbol" w:hAnsi="Segoe UI Symbol" w:cs="Segoe UI Symbol"/>
          <w:sz w:val="18"/>
        </w:rPr>
        <w:t>=</w:t>
      </w:r>
      <w:r>
        <w:rPr>
          <w:rFonts w:ascii="Arial" w:eastAsia="Arial" w:hAnsi="Arial" w:cs="Arial"/>
          <w:sz w:val="18"/>
        </w:rPr>
        <w:t xml:space="preserve"> ventricular assist device. </w:t>
      </w:r>
    </w:p>
    <w:p w14:paraId="67451815" w14:textId="77777777" w:rsidR="000B3C5C" w:rsidRDefault="00ED192D">
      <w:pPr>
        <w:pStyle w:val="Heading3"/>
        <w:spacing w:after="231"/>
        <w:ind w:left="-5" w:right="51"/>
      </w:pPr>
      <w:r>
        <w:rPr>
          <w:rFonts w:ascii="Times New Roman" w:eastAsia="Times New Roman" w:hAnsi="Times New Roman" w:cs="Times New Roman"/>
          <w:sz w:val="24"/>
        </w:rPr>
        <w:t xml:space="preserve">Infusion-Associated Reactions </w:t>
      </w:r>
    </w:p>
    <w:p w14:paraId="60B9BC09" w14:textId="77777777" w:rsidR="000B3C5C" w:rsidRDefault="00ED192D">
      <w:pPr>
        <w:ind w:left="-3" w:right="14"/>
      </w:pPr>
      <w:r>
        <w:t xml:space="preserve">Metamizole (dipyrone) is prohibited in treating atezolizumab associated infusion-associated </w:t>
      </w:r>
      <w:r>
        <w:t xml:space="preserve">reactions, due to its potential for causing agranulocytosis. </w:t>
      </w:r>
    </w:p>
    <w:p w14:paraId="506FA060" w14:textId="77777777" w:rsidR="000B3C5C" w:rsidRDefault="00ED192D">
      <w:pPr>
        <w:spacing w:after="310"/>
        <w:ind w:left="-3" w:right="14"/>
      </w:pPr>
      <w:r>
        <w:t xml:space="preserve">Guidelines for medical management of infusion-associated reactions are provided in </w:t>
      </w:r>
      <w:r>
        <w:rPr>
          <w:color w:val="0000FF"/>
        </w:rPr>
        <w:t>Table 23</w:t>
      </w:r>
      <w:r>
        <w:t xml:space="preserve">. </w:t>
      </w:r>
    </w:p>
    <w:p w14:paraId="65686D6C" w14:textId="77777777" w:rsidR="000B3C5C" w:rsidRDefault="00ED192D">
      <w:pPr>
        <w:spacing w:after="4" w:line="250" w:lineRule="auto"/>
        <w:ind w:left="15" w:right="44"/>
        <w:jc w:val="center"/>
      </w:pPr>
      <w:r>
        <w:rPr>
          <w:rFonts w:ascii="Arial" w:eastAsia="Arial" w:hAnsi="Arial" w:cs="Arial"/>
          <w:b/>
          <w:sz w:val="20"/>
        </w:rPr>
        <w:t xml:space="preserve">Table 23 - Management Guidelines for Infusion-Associated Reactions  </w:t>
      </w:r>
    </w:p>
    <w:tbl>
      <w:tblPr>
        <w:tblStyle w:val="TableGrid"/>
        <w:tblW w:w="9686" w:type="dxa"/>
        <w:tblInd w:w="-108" w:type="dxa"/>
        <w:tblCellMar>
          <w:top w:w="82" w:type="dxa"/>
          <w:left w:w="0" w:type="dxa"/>
          <w:bottom w:w="66" w:type="dxa"/>
          <w:right w:w="65" w:type="dxa"/>
        </w:tblCellMar>
        <w:tblLook w:val="04A0" w:firstRow="1" w:lastRow="0" w:firstColumn="1" w:lastColumn="0" w:noHBand="0" w:noVBand="1"/>
      </w:tblPr>
      <w:tblGrid>
        <w:gridCol w:w="1394"/>
        <w:gridCol w:w="2531"/>
        <w:gridCol w:w="2235"/>
        <w:gridCol w:w="3526"/>
      </w:tblGrid>
      <w:tr w:rsidR="000B3C5C" w14:paraId="6F86768E" w14:textId="77777777">
        <w:trPr>
          <w:trHeight w:val="590"/>
        </w:trPr>
        <w:tc>
          <w:tcPr>
            <w:tcW w:w="1394" w:type="dxa"/>
            <w:tcBorders>
              <w:top w:val="single" w:sz="4" w:space="0" w:color="000000"/>
              <w:left w:val="nil"/>
              <w:bottom w:val="single" w:sz="4" w:space="0" w:color="000000"/>
              <w:right w:val="nil"/>
            </w:tcBorders>
            <w:vAlign w:val="bottom"/>
          </w:tcPr>
          <w:p w14:paraId="723AAD4F" w14:textId="77777777" w:rsidR="000B3C5C" w:rsidRDefault="00ED192D">
            <w:pPr>
              <w:spacing w:after="0" w:line="259" w:lineRule="auto"/>
              <w:ind w:left="0" w:right="51" w:firstLine="0"/>
              <w:jc w:val="center"/>
            </w:pPr>
            <w:r>
              <w:rPr>
                <w:rFonts w:ascii="Arial" w:eastAsia="Arial" w:hAnsi="Arial" w:cs="Arial"/>
                <w:b/>
                <w:sz w:val="20"/>
              </w:rPr>
              <w:t xml:space="preserve">Event </w:t>
            </w:r>
          </w:p>
        </w:tc>
        <w:tc>
          <w:tcPr>
            <w:tcW w:w="2531" w:type="dxa"/>
            <w:tcBorders>
              <w:top w:val="single" w:sz="4" w:space="0" w:color="000000"/>
              <w:left w:val="nil"/>
              <w:bottom w:val="single" w:sz="4" w:space="0" w:color="000000"/>
              <w:right w:val="nil"/>
            </w:tcBorders>
          </w:tcPr>
          <w:p w14:paraId="5017B12D" w14:textId="77777777" w:rsidR="000B3C5C" w:rsidRDefault="00ED192D">
            <w:pPr>
              <w:spacing w:after="0" w:line="259" w:lineRule="auto"/>
              <w:ind w:left="622" w:hanging="91"/>
            </w:pPr>
            <w:r>
              <w:rPr>
                <w:rFonts w:ascii="Arial" w:eastAsia="Arial" w:hAnsi="Arial" w:cs="Arial"/>
                <w:b/>
                <w:sz w:val="20"/>
              </w:rPr>
              <w:t xml:space="preserve">Management isatuximab </w:t>
            </w:r>
          </w:p>
        </w:tc>
        <w:tc>
          <w:tcPr>
            <w:tcW w:w="2235" w:type="dxa"/>
            <w:tcBorders>
              <w:top w:val="single" w:sz="4" w:space="0" w:color="000000"/>
              <w:left w:val="nil"/>
              <w:bottom w:val="single" w:sz="4" w:space="0" w:color="000000"/>
              <w:right w:val="nil"/>
            </w:tcBorders>
          </w:tcPr>
          <w:p w14:paraId="37F4E064" w14:textId="77777777" w:rsidR="000B3C5C" w:rsidRDefault="00ED192D">
            <w:pPr>
              <w:spacing w:after="0" w:line="259" w:lineRule="auto"/>
              <w:ind w:left="370" w:firstLine="17"/>
            </w:pPr>
            <w:r>
              <w:rPr>
                <w:rFonts w:ascii="Arial" w:eastAsia="Arial" w:hAnsi="Arial" w:cs="Arial"/>
                <w:b/>
                <w:sz w:val="20"/>
              </w:rPr>
              <w:t xml:space="preserve">Management atezolizumab </w:t>
            </w:r>
          </w:p>
        </w:tc>
        <w:tc>
          <w:tcPr>
            <w:tcW w:w="3526" w:type="dxa"/>
            <w:tcBorders>
              <w:top w:val="single" w:sz="4" w:space="0" w:color="000000"/>
              <w:left w:val="nil"/>
              <w:bottom w:val="single" w:sz="4" w:space="0" w:color="000000"/>
              <w:right w:val="nil"/>
            </w:tcBorders>
            <w:vAlign w:val="bottom"/>
          </w:tcPr>
          <w:p w14:paraId="48513C63" w14:textId="77777777" w:rsidR="000B3C5C" w:rsidRDefault="00ED192D">
            <w:pPr>
              <w:spacing w:after="0" w:line="259" w:lineRule="auto"/>
              <w:ind w:left="0" w:right="47" w:firstLine="0"/>
              <w:jc w:val="center"/>
            </w:pPr>
            <w:r>
              <w:rPr>
                <w:rFonts w:ascii="Arial" w:eastAsia="Arial" w:hAnsi="Arial" w:cs="Arial"/>
                <w:b/>
                <w:sz w:val="20"/>
              </w:rPr>
              <w:t xml:space="preserve">Action and guidance </w:t>
            </w:r>
          </w:p>
        </w:tc>
      </w:tr>
      <w:tr w:rsidR="000B3C5C" w14:paraId="760465EA" w14:textId="77777777">
        <w:trPr>
          <w:trHeight w:val="2560"/>
        </w:trPr>
        <w:tc>
          <w:tcPr>
            <w:tcW w:w="1394" w:type="dxa"/>
            <w:tcBorders>
              <w:top w:val="single" w:sz="4" w:space="0" w:color="000000"/>
              <w:left w:val="nil"/>
              <w:bottom w:val="nil"/>
              <w:right w:val="nil"/>
            </w:tcBorders>
          </w:tcPr>
          <w:p w14:paraId="147F2890" w14:textId="77777777" w:rsidR="000B3C5C" w:rsidRDefault="00ED192D">
            <w:pPr>
              <w:spacing w:after="0" w:line="259" w:lineRule="auto"/>
              <w:ind w:left="0" w:right="54" w:firstLine="0"/>
              <w:jc w:val="center"/>
            </w:pPr>
            <w:r>
              <w:rPr>
                <w:rFonts w:ascii="Arial" w:eastAsia="Arial" w:hAnsi="Arial" w:cs="Arial"/>
                <w:sz w:val="20"/>
              </w:rPr>
              <w:t xml:space="preserve">IAR, Grade 1  </w:t>
            </w:r>
          </w:p>
        </w:tc>
        <w:tc>
          <w:tcPr>
            <w:tcW w:w="2531" w:type="dxa"/>
            <w:tcBorders>
              <w:top w:val="single" w:sz="4" w:space="0" w:color="000000"/>
              <w:left w:val="nil"/>
              <w:bottom w:val="nil"/>
              <w:right w:val="nil"/>
            </w:tcBorders>
          </w:tcPr>
          <w:p w14:paraId="6D43E344" w14:textId="77777777" w:rsidR="000B3C5C" w:rsidRDefault="00ED192D">
            <w:pPr>
              <w:spacing w:after="1" w:line="241" w:lineRule="auto"/>
              <w:ind w:left="301" w:hanging="205"/>
            </w:pPr>
            <w:r>
              <w:rPr>
                <w:rFonts w:ascii="Arial" w:eastAsia="Arial" w:hAnsi="Arial" w:cs="Arial"/>
                <w:sz w:val="20"/>
              </w:rPr>
              <w:t xml:space="preserve">Continue isatuximab infusion per the judgment of the </w:t>
            </w:r>
          </w:p>
          <w:p w14:paraId="6072A86E" w14:textId="77777777" w:rsidR="000B3C5C" w:rsidRDefault="00ED192D">
            <w:pPr>
              <w:spacing w:after="61" w:line="240" w:lineRule="auto"/>
              <w:ind w:left="305" w:hanging="142"/>
            </w:pPr>
            <w:r>
              <w:rPr>
                <w:rFonts w:ascii="Arial" w:eastAsia="Arial" w:hAnsi="Arial" w:cs="Arial"/>
                <w:sz w:val="20"/>
              </w:rPr>
              <w:t xml:space="preserve">Investigator following close direct monitoring of the patient’s clinical status. </w:t>
            </w:r>
          </w:p>
          <w:p w14:paraId="29B4600D" w14:textId="77777777" w:rsidR="000B3C5C" w:rsidRDefault="00ED192D">
            <w:pPr>
              <w:spacing w:after="41" w:line="259" w:lineRule="auto"/>
              <w:ind w:left="0" w:right="134" w:firstLine="0"/>
              <w:jc w:val="center"/>
            </w:pPr>
            <w:r>
              <w:rPr>
                <w:rFonts w:ascii="Arial" w:eastAsia="Arial" w:hAnsi="Arial" w:cs="Arial"/>
                <w:sz w:val="20"/>
              </w:rPr>
              <w:t xml:space="preserve"> </w:t>
            </w:r>
          </w:p>
          <w:p w14:paraId="07D58F45" w14:textId="77777777" w:rsidR="000B3C5C" w:rsidRDefault="00ED192D">
            <w:pPr>
              <w:spacing w:after="0" w:line="259" w:lineRule="auto"/>
              <w:ind w:left="46" w:firstLine="106"/>
            </w:pPr>
            <w:r>
              <w:rPr>
                <w:rFonts w:ascii="Arial" w:eastAsia="Arial" w:hAnsi="Arial" w:cs="Arial"/>
                <w:sz w:val="20"/>
              </w:rPr>
              <w:t xml:space="preserve">Isatuximab infusion may be stopped at any time if deemed necessary. If stopped, IAR will be classified as Grade 2 </w:t>
            </w:r>
          </w:p>
        </w:tc>
        <w:tc>
          <w:tcPr>
            <w:tcW w:w="2235" w:type="dxa"/>
            <w:tcBorders>
              <w:top w:val="single" w:sz="4" w:space="0" w:color="000000"/>
              <w:left w:val="nil"/>
              <w:bottom w:val="nil"/>
              <w:right w:val="nil"/>
            </w:tcBorders>
          </w:tcPr>
          <w:p w14:paraId="26E5F48D" w14:textId="77777777" w:rsidR="000B3C5C" w:rsidRDefault="00ED192D">
            <w:pPr>
              <w:spacing w:after="60" w:line="242" w:lineRule="auto"/>
              <w:ind w:left="50" w:hanging="50"/>
            </w:pPr>
            <w:r>
              <w:rPr>
                <w:rFonts w:ascii="Arial" w:eastAsia="Arial" w:hAnsi="Arial" w:cs="Arial"/>
                <w:sz w:val="20"/>
              </w:rPr>
              <w:t xml:space="preserve">Reduce infusion rate to half the rate being given at the time of event onset. </w:t>
            </w:r>
          </w:p>
          <w:p w14:paraId="5EE39EAF" w14:textId="77777777" w:rsidR="000B3C5C" w:rsidRDefault="00ED192D">
            <w:pPr>
              <w:spacing w:after="0" w:line="259" w:lineRule="auto"/>
              <w:ind w:left="0" w:right="128" w:firstLine="0"/>
              <w:jc w:val="center"/>
            </w:pPr>
            <w:r>
              <w:rPr>
                <w:rFonts w:ascii="Arial" w:eastAsia="Arial" w:hAnsi="Arial" w:cs="Arial"/>
                <w:sz w:val="20"/>
              </w:rPr>
              <w:t xml:space="preserve"> </w:t>
            </w:r>
          </w:p>
        </w:tc>
        <w:tc>
          <w:tcPr>
            <w:tcW w:w="3526" w:type="dxa"/>
            <w:tcBorders>
              <w:top w:val="single" w:sz="4" w:space="0" w:color="000000"/>
              <w:left w:val="nil"/>
              <w:bottom w:val="nil"/>
              <w:right w:val="nil"/>
            </w:tcBorders>
          </w:tcPr>
          <w:p w14:paraId="5D4B9B21" w14:textId="77777777" w:rsidR="000B3C5C" w:rsidRDefault="00ED192D">
            <w:pPr>
              <w:spacing w:after="1" w:line="241" w:lineRule="auto"/>
              <w:ind w:left="178" w:hanging="178"/>
            </w:pPr>
            <w:r>
              <w:rPr>
                <w:rFonts w:ascii="Arial" w:eastAsia="Arial" w:hAnsi="Arial" w:cs="Arial"/>
                <w:sz w:val="20"/>
              </w:rPr>
              <w:t xml:space="preserve">For atezolizumab, after the event has resolved, the investigator should wait for 30 minutes </w:t>
            </w:r>
          </w:p>
          <w:p w14:paraId="388B2EFC" w14:textId="77777777" w:rsidR="000B3C5C" w:rsidRDefault="00ED192D">
            <w:pPr>
              <w:spacing w:after="0" w:line="259" w:lineRule="auto"/>
              <w:ind w:left="158" w:firstLine="0"/>
            </w:pPr>
            <w:r>
              <w:rPr>
                <w:rFonts w:ascii="Arial" w:eastAsia="Arial" w:hAnsi="Arial" w:cs="Arial"/>
                <w:sz w:val="20"/>
              </w:rPr>
              <w:t xml:space="preserve">while delivering the infusion at the reduced </w:t>
            </w:r>
          </w:p>
          <w:p w14:paraId="4E9645E6" w14:textId="77777777" w:rsidR="000B3C5C" w:rsidRDefault="00ED192D">
            <w:pPr>
              <w:spacing w:after="0" w:line="259" w:lineRule="auto"/>
              <w:ind w:left="7" w:firstLine="55"/>
            </w:pPr>
            <w:r>
              <w:rPr>
                <w:rFonts w:ascii="Arial" w:eastAsia="Arial" w:hAnsi="Arial" w:cs="Arial"/>
                <w:sz w:val="20"/>
              </w:rPr>
              <w:t xml:space="preserve">rate. If the infusion is tolerated at the reduced rate for 30 minutes after symptoms have resolved, the infusion rate may be increased to the original rate. </w:t>
            </w:r>
          </w:p>
        </w:tc>
      </w:tr>
      <w:tr w:rsidR="000B3C5C" w14:paraId="7CCC2762" w14:textId="77777777">
        <w:trPr>
          <w:trHeight w:val="3224"/>
        </w:trPr>
        <w:tc>
          <w:tcPr>
            <w:tcW w:w="1394" w:type="dxa"/>
            <w:tcBorders>
              <w:top w:val="nil"/>
              <w:left w:val="nil"/>
              <w:bottom w:val="nil"/>
              <w:right w:val="nil"/>
            </w:tcBorders>
          </w:tcPr>
          <w:p w14:paraId="21C6A849" w14:textId="77777777" w:rsidR="000B3C5C" w:rsidRDefault="00ED192D">
            <w:pPr>
              <w:spacing w:after="0" w:line="259" w:lineRule="auto"/>
              <w:ind w:left="161" w:firstLine="0"/>
            </w:pPr>
            <w:r>
              <w:rPr>
                <w:rFonts w:ascii="Arial" w:eastAsia="Arial" w:hAnsi="Arial" w:cs="Arial"/>
                <w:sz w:val="20"/>
              </w:rPr>
              <w:t xml:space="preserve">IAR, Grade 2 </w:t>
            </w:r>
          </w:p>
        </w:tc>
        <w:tc>
          <w:tcPr>
            <w:tcW w:w="2531" w:type="dxa"/>
            <w:tcBorders>
              <w:top w:val="nil"/>
              <w:left w:val="nil"/>
              <w:bottom w:val="nil"/>
              <w:right w:val="nil"/>
            </w:tcBorders>
          </w:tcPr>
          <w:p w14:paraId="5D32D01C" w14:textId="77777777" w:rsidR="000B3C5C" w:rsidRDefault="00ED192D">
            <w:pPr>
              <w:spacing w:after="0" w:line="259" w:lineRule="auto"/>
              <w:ind w:left="118" w:firstLine="0"/>
            </w:pPr>
            <w:r>
              <w:rPr>
                <w:rFonts w:ascii="Arial" w:eastAsia="Arial" w:hAnsi="Arial" w:cs="Arial"/>
                <w:sz w:val="20"/>
              </w:rPr>
              <w:t xml:space="preserve">Interrupt isatuximab infusion </w:t>
            </w:r>
          </w:p>
        </w:tc>
        <w:tc>
          <w:tcPr>
            <w:tcW w:w="2235" w:type="dxa"/>
            <w:tcBorders>
              <w:top w:val="nil"/>
              <w:left w:val="nil"/>
              <w:bottom w:val="nil"/>
              <w:right w:val="nil"/>
            </w:tcBorders>
          </w:tcPr>
          <w:p w14:paraId="0166A8FA" w14:textId="77777777" w:rsidR="000B3C5C" w:rsidRDefault="00ED192D">
            <w:pPr>
              <w:spacing w:after="58" w:line="241" w:lineRule="auto"/>
              <w:ind w:left="691" w:hanging="504"/>
            </w:pPr>
            <w:r>
              <w:rPr>
                <w:rFonts w:ascii="Arial" w:eastAsia="Arial" w:hAnsi="Arial" w:cs="Arial"/>
                <w:sz w:val="20"/>
              </w:rPr>
              <w:t xml:space="preserve">Interrupt atezolizumab infusion. </w:t>
            </w:r>
          </w:p>
          <w:p w14:paraId="5A6D3A63" w14:textId="77777777" w:rsidR="000B3C5C" w:rsidRDefault="00ED192D">
            <w:pPr>
              <w:spacing w:after="0" w:line="259" w:lineRule="auto"/>
              <w:ind w:left="0" w:right="128" w:firstLine="0"/>
              <w:jc w:val="center"/>
            </w:pPr>
            <w:r>
              <w:rPr>
                <w:rFonts w:ascii="Arial" w:eastAsia="Arial" w:hAnsi="Arial" w:cs="Arial"/>
                <w:sz w:val="20"/>
              </w:rPr>
              <w:t xml:space="preserve"> </w:t>
            </w:r>
          </w:p>
        </w:tc>
        <w:tc>
          <w:tcPr>
            <w:tcW w:w="3526" w:type="dxa"/>
            <w:tcBorders>
              <w:top w:val="nil"/>
              <w:left w:val="nil"/>
              <w:bottom w:val="nil"/>
              <w:right w:val="nil"/>
            </w:tcBorders>
          </w:tcPr>
          <w:p w14:paraId="2B65D151" w14:textId="77777777" w:rsidR="000B3C5C" w:rsidRDefault="00ED192D">
            <w:pPr>
              <w:spacing w:after="0" w:line="259" w:lineRule="auto"/>
              <w:ind w:left="48" w:firstLine="0"/>
            </w:pPr>
            <w:r>
              <w:rPr>
                <w:rFonts w:ascii="Arial" w:eastAsia="Arial" w:hAnsi="Arial" w:cs="Arial"/>
                <w:sz w:val="20"/>
              </w:rPr>
              <w:t xml:space="preserve">Administer aggressive symptomatic treatment </w:t>
            </w:r>
          </w:p>
          <w:p w14:paraId="7C1BDE33" w14:textId="77777777" w:rsidR="000B3C5C" w:rsidRDefault="00ED192D">
            <w:pPr>
              <w:spacing w:after="58" w:line="241" w:lineRule="auto"/>
              <w:ind w:left="226" w:firstLine="34"/>
            </w:pPr>
            <w:r>
              <w:rPr>
                <w:rFonts w:ascii="Arial" w:eastAsia="Arial" w:hAnsi="Arial" w:cs="Arial"/>
                <w:sz w:val="20"/>
              </w:rPr>
              <w:t>(eg, oral or IV antihistamine, anti-</w:t>
            </w:r>
            <w:r>
              <w:rPr>
                <w:rFonts w:ascii="Arial" w:eastAsia="Arial" w:hAnsi="Arial" w:cs="Arial"/>
                <w:sz w:val="20"/>
              </w:rPr>
              <w:t xml:space="preserve">pyretic medication, glucocorticoids, epinephrine, bronchodilators, oxygen). </w:t>
            </w:r>
          </w:p>
          <w:p w14:paraId="54283932" w14:textId="77777777" w:rsidR="000B3C5C" w:rsidRDefault="00ED192D">
            <w:pPr>
              <w:spacing w:after="0" w:line="259" w:lineRule="auto"/>
              <w:ind w:left="139" w:firstLine="0"/>
            </w:pPr>
            <w:r>
              <w:rPr>
                <w:rFonts w:ascii="Arial" w:eastAsia="Arial" w:hAnsi="Arial" w:cs="Arial"/>
                <w:sz w:val="20"/>
              </w:rPr>
              <w:t xml:space="preserve">After symptoms have resolved to Grade ≤1 </w:t>
            </w:r>
          </w:p>
          <w:p w14:paraId="262717F2" w14:textId="77777777" w:rsidR="000B3C5C" w:rsidRDefault="00ED192D">
            <w:pPr>
              <w:spacing w:after="2" w:line="239" w:lineRule="auto"/>
              <w:ind w:left="255" w:hanging="238"/>
            </w:pPr>
            <w:r>
              <w:rPr>
                <w:rFonts w:ascii="Arial" w:eastAsia="Arial" w:hAnsi="Arial" w:cs="Arial"/>
                <w:sz w:val="20"/>
              </w:rPr>
              <w:t xml:space="preserve">(for isatuximab) or baseline (for atezolizumab), resume infusion at half the initial rate for </w:t>
            </w:r>
          </w:p>
          <w:p w14:paraId="44CE5E27" w14:textId="77777777" w:rsidR="000B3C5C" w:rsidRDefault="00ED192D">
            <w:pPr>
              <w:spacing w:after="58" w:line="241" w:lineRule="auto"/>
              <w:ind w:left="231" w:hanging="154"/>
            </w:pPr>
            <w:r>
              <w:rPr>
                <w:rFonts w:ascii="Arial" w:eastAsia="Arial" w:hAnsi="Arial" w:cs="Arial"/>
                <w:sz w:val="20"/>
              </w:rPr>
              <w:t xml:space="preserve">isatuximab and at half the rate being given at the time of event onset for atezolizumab. </w:t>
            </w:r>
          </w:p>
          <w:p w14:paraId="3BFEE3B2" w14:textId="77777777" w:rsidR="000B3C5C" w:rsidRDefault="00ED192D">
            <w:pPr>
              <w:spacing w:after="0" w:line="241" w:lineRule="auto"/>
              <w:ind w:left="240" w:firstLine="197"/>
            </w:pPr>
            <w:r>
              <w:rPr>
                <w:rFonts w:ascii="Arial" w:eastAsia="Arial" w:hAnsi="Arial" w:cs="Arial"/>
                <w:sz w:val="20"/>
              </w:rPr>
              <w:t xml:space="preserve">For subsequent infusions, consider administration of oral premedication with </w:t>
            </w:r>
          </w:p>
          <w:p w14:paraId="3C720239" w14:textId="77777777" w:rsidR="000B3C5C" w:rsidRDefault="00ED192D">
            <w:pPr>
              <w:spacing w:after="0" w:line="259" w:lineRule="auto"/>
              <w:ind w:left="660" w:hanging="650"/>
            </w:pPr>
            <w:r>
              <w:rPr>
                <w:rFonts w:ascii="Arial" w:eastAsia="Arial" w:hAnsi="Arial" w:cs="Arial"/>
                <w:sz w:val="20"/>
              </w:rPr>
              <w:t xml:space="preserve">antihistamines, anti-pyretics, and/or analgesics and monitor closely for IARs. </w:t>
            </w:r>
          </w:p>
        </w:tc>
      </w:tr>
      <w:tr w:rsidR="000B3C5C" w14:paraId="05EDD9B6" w14:textId="77777777">
        <w:trPr>
          <w:trHeight w:val="2071"/>
        </w:trPr>
        <w:tc>
          <w:tcPr>
            <w:tcW w:w="1394" w:type="dxa"/>
            <w:tcBorders>
              <w:top w:val="nil"/>
              <w:left w:val="nil"/>
              <w:bottom w:val="single" w:sz="12" w:space="0" w:color="000000"/>
              <w:right w:val="nil"/>
            </w:tcBorders>
          </w:tcPr>
          <w:p w14:paraId="3F0FE345" w14:textId="77777777" w:rsidR="000B3C5C" w:rsidRDefault="00ED192D">
            <w:pPr>
              <w:spacing w:after="0" w:line="259" w:lineRule="auto"/>
              <w:ind w:left="497" w:hanging="367"/>
            </w:pPr>
            <w:r>
              <w:rPr>
                <w:rFonts w:ascii="Arial" w:eastAsia="Arial" w:hAnsi="Arial" w:cs="Arial"/>
                <w:sz w:val="20"/>
              </w:rPr>
              <w:t xml:space="preserve">IAR*, Grade 3 or 4 </w:t>
            </w:r>
          </w:p>
        </w:tc>
        <w:tc>
          <w:tcPr>
            <w:tcW w:w="2531" w:type="dxa"/>
            <w:tcBorders>
              <w:top w:val="nil"/>
              <w:left w:val="nil"/>
              <w:bottom w:val="single" w:sz="12" w:space="0" w:color="000000"/>
              <w:right w:val="nil"/>
            </w:tcBorders>
          </w:tcPr>
          <w:p w14:paraId="5F8EB3E4" w14:textId="77777777" w:rsidR="000B3C5C" w:rsidRDefault="00ED192D">
            <w:pPr>
              <w:spacing w:after="41" w:line="259" w:lineRule="auto"/>
              <w:ind w:left="646" w:firstLine="0"/>
            </w:pPr>
            <w:r>
              <w:rPr>
                <w:rFonts w:ascii="Arial" w:eastAsia="Arial" w:hAnsi="Arial" w:cs="Arial"/>
                <w:sz w:val="20"/>
              </w:rPr>
              <w:t xml:space="preserve">Stop infusion. </w:t>
            </w:r>
          </w:p>
          <w:p w14:paraId="00982C44" w14:textId="77777777" w:rsidR="000B3C5C" w:rsidRDefault="00ED192D">
            <w:pPr>
              <w:spacing w:after="0" w:line="241" w:lineRule="auto"/>
              <w:ind w:left="365" w:hanging="365"/>
            </w:pPr>
            <w:r>
              <w:rPr>
                <w:rFonts w:ascii="Arial" w:eastAsia="Arial" w:hAnsi="Arial" w:cs="Arial"/>
                <w:sz w:val="20"/>
              </w:rPr>
              <w:t xml:space="preserve">If occurred during atezolizumab infusion, permanently </w:t>
            </w:r>
          </w:p>
          <w:p w14:paraId="68E6D889" w14:textId="77777777" w:rsidR="000B3C5C" w:rsidRDefault="00ED192D">
            <w:pPr>
              <w:spacing w:after="58" w:line="241" w:lineRule="auto"/>
              <w:ind w:left="225" w:hanging="163"/>
            </w:pPr>
            <w:r>
              <w:rPr>
                <w:rFonts w:ascii="Arial" w:eastAsia="Arial" w:hAnsi="Arial" w:cs="Arial"/>
                <w:sz w:val="20"/>
              </w:rPr>
              <w:t xml:space="preserve">discontinue atezolizumab and continue with isatuximab. </w:t>
            </w:r>
          </w:p>
          <w:p w14:paraId="7B0DE392" w14:textId="77777777" w:rsidR="000B3C5C" w:rsidRDefault="00ED192D">
            <w:pPr>
              <w:spacing w:after="0" w:line="259" w:lineRule="auto"/>
              <w:ind w:left="365" w:hanging="274"/>
            </w:pPr>
            <w:r>
              <w:rPr>
                <w:rFonts w:ascii="Arial" w:eastAsia="Arial" w:hAnsi="Arial" w:cs="Arial"/>
                <w:sz w:val="20"/>
              </w:rPr>
              <w:t xml:space="preserve">If occurred during isatuximab infusion, permanently discontinue both. </w:t>
            </w:r>
          </w:p>
        </w:tc>
        <w:tc>
          <w:tcPr>
            <w:tcW w:w="2235" w:type="dxa"/>
            <w:tcBorders>
              <w:top w:val="nil"/>
              <w:left w:val="nil"/>
              <w:bottom w:val="single" w:sz="12" w:space="0" w:color="000000"/>
              <w:right w:val="nil"/>
            </w:tcBorders>
          </w:tcPr>
          <w:p w14:paraId="5EE0619B" w14:textId="77777777" w:rsidR="000B3C5C" w:rsidRDefault="00ED192D">
            <w:pPr>
              <w:spacing w:after="41" w:line="259" w:lineRule="auto"/>
              <w:ind w:left="502" w:firstLine="0"/>
            </w:pPr>
            <w:r>
              <w:rPr>
                <w:rFonts w:ascii="Arial" w:eastAsia="Arial" w:hAnsi="Arial" w:cs="Arial"/>
                <w:sz w:val="20"/>
              </w:rPr>
              <w:t xml:space="preserve">Stop infusion. </w:t>
            </w:r>
          </w:p>
          <w:p w14:paraId="610D6407" w14:textId="77777777" w:rsidR="000B3C5C" w:rsidRDefault="00ED192D">
            <w:pPr>
              <w:spacing w:after="0" w:line="259" w:lineRule="auto"/>
              <w:ind w:left="514" w:hanging="413"/>
            </w:pPr>
            <w:r>
              <w:rPr>
                <w:rFonts w:ascii="Arial" w:eastAsia="Arial" w:hAnsi="Arial" w:cs="Arial"/>
                <w:sz w:val="20"/>
              </w:rPr>
              <w:t xml:space="preserve">Permanently discontinue atezolizumab </w:t>
            </w:r>
          </w:p>
        </w:tc>
        <w:tc>
          <w:tcPr>
            <w:tcW w:w="3526" w:type="dxa"/>
            <w:tcBorders>
              <w:top w:val="nil"/>
              <w:left w:val="nil"/>
              <w:bottom w:val="single" w:sz="12" w:space="0" w:color="000000"/>
              <w:right w:val="nil"/>
            </w:tcBorders>
          </w:tcPr>
          <w:p w14:paraId="59C34FE3" w14:textId="77777777" w:rsidR="000B3C5C" w:rsidRDefault="00ED192D">
            <w:pPr>
              <w:spacing w:after="0" w:line="259" w:lineRule="auto"/>
              <w:ind w:left="48" w:firstLine="0"/>
            </w:pPr>
            <w:r>
              <w:rPr>
                <w:rFonts w:ascii="Arial" w:eastAsia="Arial" w:hAnsi="Arial" w:cs="Arial"/>
                <w:sz w:val="20"/>
              </w:rPr>
              <w:t xml:space="preserve">Administer aggressive symptomatic treatment </w:t>
            </w:r>
          </w:p>
          <w:p w14:paraId="34DC8E28" w14:textId="77777777" w:rsidR="000B3C5C" w:rsidRDefault="00ED192D">
            <w:pPr>
              <w:spacing w:after="130" w:line="241" w:lineRule="auto"/>
              <w:ind w:left="62" w:firstLine="173"/>
            </w:pPr>
            <w:r>
              <w:rPr>
                <w:rFonts w:ascii="Arial" w:eastAsia="Arial" w:hAnsi="Arial" w:cs="Arial"/>
                <w:sz w:val="20"/>
              </w:rPr>
              <w:t xml:space="preserve">(eg, oral or IV antihistamine, anti-pyretic, glucocorticoids, epinephrine, bronchodilators, oxygen). </w:t>
            </w:r>
          </w:p>
          <w:p w14:paraId="0C467471" w14:textId="77777777" w:rsidR="000B3C5C" w:rsidRDefault="00ED192D">
            <w:pPr>
              <w:spacing w:after="0" w:line="259" w:lineRule="auto"/>
              <w:ind w:left="0" w:right="47" w:firstLine="0"/>
              <w:jc w:val="center"/>
            </w:pPr>
            <w:r>
              <w:rPr>
                <w:rFonts w:ascii="Arial" w:eastAsia="Arial" w:hAnsi="Arial" w:cs="Arial"/>
                <w:sz w:val="20"/>
              </w:rPr>
              <w:t>Contact Medical Monitor</w:t>
            </w:r>
            <w:r>
              <w:rPr>
                <w:rFonts w:ascii="Arial" w:eastAsia="Arial" w:hAnsi="Arial" w:cs="Arial"/>
                <w:i/>
                <w:color w:val="0000FF"/>
                <w:sz w:val="28"/>
                <w:vertAlign w:val="superscript"/>
              </w:rPr>
              <w:t>a</w:t>
            </w:r>
            <w:r>
              <w:rPr>
                <w:rFonts w:ascii="Arial" w:eastAsia="Arial" w:hAnsi="Arial" w:cs="Arial"/>
                <w:sz w:val="20"/>
              </w:rPr>
              <w:t xml:space="preserve"> </w:t>
            </w:r>
          </w:p>
        </w:tc>
      </w:tr>
    </w:tbl>
    <w:p w14:paraId="10C5D99C" w14:textId="77777777" w:rsidR="000B3C5C" w:rsidRDefault="00ED192D">
      <w:pPr>
        <w:spacing w:after="12"/>
        <w:ind w:left="230" w:right="2" w:hanging="245"/>
      </w:pPr>
      <w:r>
        <w:rPr>
          <w:rFonts w:ascii="Arial" w:eastAsia="Arial" w:hAnsi="Arial" w:cs="Arial"/>
          <w:i/>
          <w:sz w:val="18"/>
        </w:rPr>
        <w:t xml:space="preserve">a </w:t>
      </w: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w:t>
      </w:r>
    </w:p>
    <w:p w14:paraId="1139FBE2" w14:textId="77777777" w:rsidR="000B3C5C" w:rsidRDefault="00ED192D">
      <w:pPr>
        <w:spacing w:after="12"/>
        <w:ind w:left="255" w:right="2"/>
      </w:pPr>
      <w:r>
        <w:rPr>
          <w:rFonts w:ascii="Arial" w:eastAsia="Arial" w:hAnsi="Arial" w:cs="Arial"/>
          <w:sz w:val="18"/>
        </w:rPr>
        <w:t xml:space="preserve">Abbreviation: IAR = infusion-associated reaction. </w:t>
      </w:r>
    </w:p>
    <w:p w14:paraId="7880C824" w14:textId="77777777" w:rsidR="000B3C5C" w:rsidRDefault="00ED192D">
      <w:pPr>
        <w:spacing w:after="12"/>
        <w:ind w:left="255" w:right="2"/>
      </w:pPr>
      <w:r>
        <w:rPr>
          <w:rFonts w:ascii="Arial" w:eastAsia="Arial" w:hAnsi="Arial" w:cs="Arial"/>
          <w:sz w:val="18"/>
        </w:rPr>
        <w:t xml:space="preserve">* Applicable to Grade 3 or 4 cytokine release syndrome and anaphylactic reactions. </w:t>
      </w:r>
    </w:p>
    <w:p w14:paraId="7F8B125F" w14:textId="77777777" w:rsidR="000B3C5C" w:rsidRDefault="00ED192D">
      <w:pPr>
        <w:pStyle w:val="Heading3"/>
        <w:spacing w:after="231"/>
        <w:ind w:left="-5" w:right="51"/>
      </w:pPr>
      <w:r>
        <w:rPr>
          <w:rFonts w:ascii="Times New Roman" w:eastAsia="Times New Roman" w:hAnsi="Times New Roman" w:cs="Times New Roman"/>
          <w:sz w:val="24"/>
        </w:rPr>
        <w:t xml:space="preserve">Pancreatic Events </w:t>
      </w:r>
    </w:p>
    <w:p w14:paraId="154CCC1D" w14:textId="77777777" w:rsidR="000B3C5C" w:rsidRDefault="00ED192D">
      <w:pPr>
        <w:spacing w:after="314"/>
        <w:ind w:left="-3" w:right="14"/>
      </w:pPr>
      <w:r>
        <w:t xml:space="preserve">The differential diagnosis of acute abdominal pain should include pancreatitis. Management guidelines for pancreatic events, including pancreatitis, are provided in </w:t>
      </w:r>
      <w:r>
        <w:rPr>
          <w:color w:val="0000FF"/>
        </w:rPr>
        <w:t>Table 24</w:t>
      </w:r>
      <w:r>
        <w:t xml:space="preserve">. </w:t>
      </w:r>
    </w:p>
    <w:p w14:paraId="3E3F22EB" w14:textId="77777777" w:rsidR="000B3C5C" w:rsidRDefault="00ED192D">
      <w:pPr>
        <w:pStyle w:val="Heading4"/>
        <w:spacing w:after="3" w:line="259" w:lineRule="auto"/>
        <w:ind w:left="958"/>
      </w:pPr>
      <w:r>
        <w:rPr>
          <w:sz w:val="20"/>
        </w:rPr>
        <w:t xml:space="preserve">Table 24 - Management Guidelines for Pancreatic Events, Including Pancreatitis  </w:t>
      </w:r>
    </w:p>
    <w:tbl>
      <w:tblPr>
        <w:tblStyle w:val="TableGrid"/>
        <w:tblW w:w="9573" w:type="dxa"/>
        <w:tblInd w:w="-58" w:type="dxa"/>
        <w:tblCellMar>
          <w:top w:w="23" w:type="dxa"/>
          <w:left w:w="0" w:type="dxa"/>
          <w:bottom w:w="66" w:type="dxa"/>
          <w:right w:w="73" w:type="dxa"/>
        </w:tblCellMar>
        <w:tblLook w:val="04A0" w:firstRow="1" w:lastRow="0" w:firstColumn="1" w:lastColumn="0" w:noHBand="0" w:noVBand="1"/>
      </w:tblPr>
      <w:tblGrid>
        <w:gridCol w:w="1743"/>
        <w:gridCol w:w="259"/>
        <w:gridCol w:w="2213"/>
        <w:gridCol w:w="2110"/>
        <w:gridCol w:w="3248"/>
      </w:tblGrid>
      <w:tr w:rsidR="000B3C5C" w14:paraId="19166E26" w14:textId="77777777">
        <w:trPr>
          <w:trHeight w:val="590"/>
        </w:trPr>
        <w:tc>
          <w:tcPr>
            <w:tcW w:w="1743" w:type="dxa"/>
            <w:tcBorders>
              <w:top w:val="single" w:sz="4" w:space="0" w:color="000000"/>
              <w:left w:val="nil"/>
              <w:bottom w:val="single" w:sz="4" w:space="0" w:color="000000"/>
              <w:right w:val="nil"/>
            </w:tcBorders>
            <w:vAlign w:val="bottom"/>
          </w:tcPr>
          <w:p w14:paraId="172B558F" w14:textId="77777777" w:rsidR="000B3C5C" w:rsidRDefault="00ED192D">
            <w:pPr>
              <w:spacing w:after="0" w:line="259" w:lineRule="auto"/>
              <w:ind w:left="0" w:right="69" w:firstLine="0"/>
              <w:jc w:val="center"/>
            </w:pPr>
            <w:r>
              <w:rPr>
                <w:rFonts w:ascii="Arial" w:eastAsia="Arial" w:hAnsi="Arial" w:cs="Arial"/>
                <w:b/>
                <w:sz w:val="20"/>
              </w:rPr>
              <w:t xml:space="preserve">Event </w:t>
            </w:r>
          </w:p>
        </w:tc>
        <w:tc>
          <w:tcPr>
            <w:tcW w:w="2472" w:type="dxa"/>
            <w:gridSpan w:val="2"/>
            <w:tcBorders>
              <w:top w:val="single" w:sz="4" w:space="0" w:color="000000"/>
              <w:left w:val="nil"/>
              <w:bottom w:val="single" w:sz="4" w:space="0" w:color="000000"/>
              <w:right w:val="nil"/>
            </w:tcBorders>
          </w:tcPr>
          <w:p w14:paraId="747E0DA9" w14:textId="77777777" w:rsidR="000B3C5C" w:rsidRDefault="00ED192D">
            <w:pPr>
              <w:spacing w:after="0" w:line="259" w:lineRule="auto"/>
              <w:ind w:left="487" w:firstLine="94"/>
            </w:pPr>
            <w:r>
              <w:rPr>
                <w:rFonts w:ascii="Arial" w:eastAsia="Arial" w:hAnsi="Arial" w:cs="Arial"/>
                <w:b/>
                <w:sz w:val="20"/>
              </w:rPr>
              <w:t xml:space="preserve">Isatuximab management </w:t>
            </w:r>
          </w:p>
        </w:tc>
        <w:tc>
          <w:tcPr>
            <w:tcW w:w="2110" w:type="dxa"/>
            <w:tcBorders>
              <w:top w:val="single" w:sz="4" w:space="0" w:color="000000"/>
              <w:left w:val="nil"/>
              <w:bottom w:val="single" w:sz="4" w:space="0" w:color="000000"/>
              <w:right w:val="nil"/>
            </w:tcBorders>
          </w:tcPr>
          <w:p w14:paraId="22DF0DDF" w14:textId="77777777" w:rsidR="000B3C5C" w:rsidRDefault="00ED192D">
            <w:pPr>
              <w:spacing w:after="0" w:line="259" w:lineRule="auto"/>
              <w:ind w:left="324" w:hanging="26"/>
            </w:pPr>
            <w:r>
              <w:rPr>
                <w:rFonts w:ascii="Arial" w:eastAsia="Arial" w:hAnsi="Arial" w:cs="Arial"/>
                <w:b/>
                <w:sz w:val="20"/>
              </w:rPr>
              <w:t xml:space="preserve">Atezolizumab management </w:t>
            </w:r>
          </w:p>
        </w:tc>
        <w:tc>
          <w:tcPr>
            <w:tcW w:w="3248" w:type="dxa"/>
            <w:tcBorders>
              <w:top w:val="single" w:sz="4" w:space="0" w:color="000000"/>
              <w:left w:val="nil"/>
              <w:bottom w:val="single" w:sz="4" w:space="0" w:color="000000"/>
              <w:right w:val="nil"/>
            </w:tcBorders>
            <w:vAlign w:val="bottom"/>
          </w:tcPr>
          <w:p w14:paraId="6223F90E" w14:textId="77777777" w:rsidR="000B3C5C" w:rsidRDefault="00ED192D">
            <w:pPr>
              <w:spacing w:after="0" w:line="259" w:lineRule="auto"/>
              <w:ind w:left="0" w:right="47" w:firstLine="0"/>
              <w:jc w:val="center"/>
            </w:pPr>
            <w:r>
              <w:rPr>
                <w:rFonts w:ascii="Arial" w:eastAsia="Arial" w:hAnsi="Arial" w:cs="Arial"/>
                <w:b/>
                <w:sz w:val="20"/>
              </w:rPr>
              <w:t xml:space="preserve">Action and guidance </w:t>
            </w:r>
          </w:p>
        </w:tc>
      </w:tr>
      <w:tr w:rsidR="000B3C5C" w14:paraId="0395751B" w14:textId="77777777">
        <w:trPr>
          <w:trHeight w:val="833"/>
        </w:trPr>
        <w:tc>
          <w:tcPr>
            <w:tcW w:w="1743" w:type="dxa"/>
            <w:tcBorders>
              <w:top w:val="single" w:sz="4" w:space="0" w:color="000000"/>
              <w:left w:val="nil"/>
              <w:bottom w:val="nil"/>
              <w:right w:val="nil"/>
            </w:tcBorders>
          </w:tcPr>
          <w:p w14:paraId="0C8C560A" w14:textId="77777777" w:rsidR="000B3C5C" w:rsidRDefault="00ED192D">
            <w:pPr>
              <w:spacing w:after="0" w:line="241" w:lineRule="auto"/>
              <w:ind w:left="214" w:firstLine="17"/>
            </w:pPr>
            <w:r>
              <w:rPr>
                <w:rFonts w:ascii="Arial" w:eastAsia="Arial" w:hAnsi="Arial" w:cs="Arial"/>
                <w:sz w:val="20"/>
              </w:rPr>
              <w:t xml:space="preserve">Amylase and/or lipase elevation, </w:t>
            </w:r>
          </w:p>
          <w:p w14:paraId="7ECD73E1" w14:textId="77777777" w:rsidR="000B3C5C" w:rsidRDefault="00ED192D">
            <w:pPr>
              <w:spacing w:after="0" w:line="259" w:lineRule="auto"/>
              <w:ind w:left="0" w:right="69" w:firstLine="0"/>
              <w:jc w:val="center"/>
            </w:pPr>
            <w:r>
              <w:rPr>
                <w:rFonts w:ascii="Arial" w:eastAsia="Arial" w:hAnsi="Arial" w:cs="Arial"/>
                <w:sz w:val="20"/>
              </w:rPr>
              <w:t xml:space="preserve">Grade 1 </w:t>
            </w:r>
          </w:p>
        </w:tc>
        <w:tc>
          <w:tcPr>
            <w:tcW w:w="2472" w:type="dxa"/>
            <w:gridSpan w:val="2"/>
            <w:tcBorders>
              <w:top w:val="single" w:sz="4" w:space="0" w:color="000000"/>
              <w:left w:val="nil"/>
              <w:bottom w:val="nil"/>
              <w:right w:val="nil"/>
            </w:tcBorders>
          </w:tcPr>
          <w:p w14:paraId="2AE36C0F" w14:textId="77777777" w:rsidR="000B3C5C" w:rsidRDefault="00ED192D">
            <w:pPr>
              <w:spacing w:after="0" w:line="259" w:lineRule="auto"/>
              <w:ind w:left="420" w:firstLine="0"/>
            </w:pPr>
            <w:r>
              <w:rPr>
                <w:rFonts w:ascii="Arial" w:eastAsia="Arial" w:hAnsi="Arial" w:cs="Arial"/>
                <w:sz w:val="20"/>
              </w:rPr>
              <w:t xml:space="preserve">No change in dose </w:t>
            </w:r>
          </w:p>
        </w:tc>
        <w:tc>
          <w:tcPr>
            <w:tcW w:w="2110" w:type="dxa"/>
            <w:tcBorders>
              <w:top w:val="single" w:sz="4" w:space="0" w:color="000000"/>
              <w:left w:val="nil"/>
              <w:bottom w:val="nil"/>
              <w:right w:val="nil"/>
            </w:tcBorders>
          </w:tcPr>
          <w:p w14:paraId="71B555E3" w14:textId="77777777" w:rsidR="000B3C5C" w:rsidRDefault="00ED192D">
            <w:pPr>
              <w:spacing w:after="0" w:line="259" w:lineRule="auto"/>
              <w:ind w:left="257" w:firstLine="0"/>
            </w:pPr>
            <w:r>
              <w:rPr>
                <w:rFonts w:ascii="Arial" w:eastAsia="Arial" w:hAnsi="Arial" w:cs="Arial"/>
                <w:sz w:val="20"/>
              </w:rPr>
              <w:t xml:space="preserve">No change in dose </w:t>
            </w:r>
          </w:p>
        </w:tc>
        <w:tc>
          <w:tcPr>
            <w:tcW w:w="3248" w:type="dxa"/>
            <w:tcBorders>
              <w:top w:val="single" w:sz="4" w:space="0" w:color="000000"/>
              <w:left w:val="nil"/>
              <w:bottom w:val="nil"/>
              <w:right w:val="nil"/>
            </w:tcBorders>
          </w:tcPr>
          <w:p w14:paraId="54ACC885" w14:textId="77777777" w:rsidR="000B3C5C" w:rsidRDefault="00ED192D">
            <w:pPr>
              <w:spacing w:after="0" w:line="259" w:lineRule="auto"/>
              <w:ind w:left="0" w:firstLine="0"/>
            </w:pPr>
            <w:r>
              <w:rPr>
                <w:rFonts w:ascii="Arial" w:eastAsia="Arial" w:hAnsi="Arial" w:cs="Arial"/>
                <w:sz w:val="20"/>
              </w:rPr>
              <w:t xml:space="preserve">Monitor amylase and lipase prior to dosing. </w:t>
            </w:r>
          </w:p>
        </w:tc>
      </w:tr>
      <w:tr w:rsidR="000B3C5C" w14:paraId="63862C1B" w14:textId="77777777">
        <w:trPr>
          <w:trHeight w:val="1114"/>
        </w:trPr>
        <w:tc>
          <w:tcPr>
            <w:tcW w:w="1743" w:type="dxa"/>
            <w:tcBorders>
              <w:top w:val="nil"/>
              <w:left w:val="nil"/>
              <w:bottom w:val="nil"/>
              <w:right w:val="nil"/>
            </w:tcBorders>
          </w:tcPr>
          <w:p w14:paraId="17BA37AC" w14:textId="77777777" w:rsidR="000B3C5C" w:rsidRDefault="00ED192D">
            <w:pPr>
              <w:spacing w:after="0" w:line="241" w:lineRule="auto"/>
              <w:ind w:left="214" w:firstLine="17"/>
            </w:pPr>
            <w:r>
              <w:rPr>
                <w:rFonts w:ascii="Arial" w:eastAsia="Arial" w:hAnsi="Arial" w:cs="Arial"/>
                <w:sz w:val="20"/>
              </w:rPr>
              <w:t xml:space="preserve">Amylase and/or lipase elevation, </w:t>
            </w:r>
          </w:p>
          <w:p w14:paraId="5DF67110" w14:textId="77777777" w:rsidR="000B3C5C" w:rsidRDefault="00ED192D">
            <w:pPr>
              <w:spacing w:after="0" w:line="259" w:lineRule="auto"/>
              <w:ind w:left="0" w:right="69" w:firstLine="0"/>
              <w:jc w:val="center"/>
            </w:pPr>
            <w:r>
              <w:rPr>
                <w:rFonts w:ascii="Arial" w:eastAsia="Arial" w:hAnsi="Arial" w:cs="Arial"/>
                <w:sz w:val="20"/>
              </w:rPr>
              <w:t xml:space="preserve">Grade 2 </w:t>
            </w:r>
          </w:p>
        </w:tc>
        <w:tc>
          <w:tcPr>
            <w:tcW w:w="2472" w:type="dxa"/>
            <w:gridSpan w:val="2"/>
            <w:tcBorders>
              <w:top w:val="nil"/>
              <w:left w:val="nil"/>
              <w:bottom w:val="nil"/>
              <w:right w:val="nil"/>
            </w:tcBorders>
          </w:tcPr>
          <w:p w14:paraId="525C59C3" w14:textId="77777777" w:rsidR="000B3C5C" w:rsidRDefault="00ED192D">
            <w:pPr>
              <w:spacing w:after="0" w:line="259" w:lineRule="auto"/>
              <w:ind w:left="420" w:firstLine="0"/>
            </w:pPr>
            <w:r>
              <w:rPr>
                <w:rFonts w:ascii="Arial" w:eastAsia="Arial" w:hAnsi="Arial" w:cs="Arial"/>
                <w:sz w:val="20"/>
              </w:rPr>
              <w:t xml:space="preserve">No change in dose </w:t>
            </w:r>
          </w:p>
        </w:tc>
        <w:tc>
          <w:tcPr>
            <w:tcW w:w="2110" w:type="dxa"/>
            <w:tcBorders>
              <w:top w:val="nil"/>
              <w:left w:val="nil"/>
              <w:bottom w:val="nil"/>
              <w:right w:val="nil"/>
            </w:tcBorders>
          </w:tcPr>
          <w:p w14:paraId="3BEC7DB5" w14:textId="77777777" w:rsidR="000B3C5C" w:rsidRDefault="00ED192D">
            <w:pPr>
              <w:spacing w:after="41" w:line="259" w:lineRule="auto"/>
              <w:ind w:left="257" w:firstLine="0"/>
            </w:pPr>
            <w:r>
              <w:rPr>
                <w:rFonts w:ascii="Arial" w:eastAsia="Arial" w:hAnsi="Arial" w:cs="Arial"/>
                <w:sz w:val="20"/>
              </w:rPr>
              <w:t xml:space="preserve">No change in dose </w:t>
            </w:r>
          </w:p>
          <w:p w14:paraId="7A9F69DC" w14:textId="77777777" w:rsidR="000B3C5C" w:rsidRDefault="00ED192D">
            <w:pPr>
              <w:spacing w:after="0" w:line="259" w:lineRule="auto"/>
              <w:ind w:left="0" w:right="109" w:firstLine="0"/>
              <w:jc w:val="center"/>
            </w:pPr>
            <w:r>
              <w:rPr>
                <w:rFonts w:ascii="Arial" w:eastAsia="Arial" w:hAnsi="Arial" w:cs="Arial"/>
                <w:sz w:val="20"/>
              </w:rPr>
              <w:t xml:space="preserve"> </w:t>
            </w:r>
          </w:p>
        </w:tc>
        <w:tc>
          <w:tcPr>
            <w:tcW w:w="3248" w:type="dxa"/>
            <w:tcBorders>
              <w:top w:val="nil"/>
              <w:left w:val="nil"/>
              <w:bottom w:val="nil"/>
              <w:right w:val="nil"/>
            </w:tcBorders>
          </w:tcPr>
          <w:p w14:paraId="50AD0658" w14:textId="77777777" w:rsidR="000B3C5C" w:rsidRDefault="00ED192D">
            <w:pPr>
              <w:spacing w:after="55" w:line="259" w:lineRule="auto"/>
              <w:ind w:left="0" w:right="45" w:firstLine="0"/>
              <w:jc w:val="center"/>
            </w:pPr>
            <w:r>
              <w:rPr>
                <w:rFonts w:ascii="Arial" w:eastAsia="Arial" w:hAnsi="Arial" w:cs="Arial"/>
                <w:sz w:val="20"/>
              </w:rPr>
              <w:t xml:space="preserve">Monitor amylase and lipase weekly. </w:t>
            </w:r>
          </w:p>
          <w:p w14:paraId="18D94DB1" w14:textId="77777777" w:rsidR="000B3C5C" w:rsidRDefault="00ED192D">
            <w:pPr>
              <w:spacing w:after="0" w:line="259" w:lineRule="auto"/>
              <w:ind w:left="151" w:hanging="19"/>
            </w:pPr>
            <w:r>
              <w:rPr>
                <w:rFonts w:ascii="Arial" w:eastAsia="Arial" w:hAnsi="Arial" w:cs="Arial"/>
                <w:sz w:val="20"/>
              </w:rPr>
              <w:t xml:space="preserve">For prolonged elevation (eg </w:t>
            </w:r>
            <w:r>
              <w:rPr>
                <w:rFonts w:ascii="Segoe UI Symbol" w:eastAsia="Segoe UI Symbol" w:hAnsi="Segoe UI Symbol" w:cs="Segoe UI Symbol"/>
                <w:sz w:val="20"/>
              </w:rPr>
              <w:t></w:t>
            </w:r>
            <w:r>
              <w:rPr>
                <w:rFonts w:ascii="Arial" w:eastAsia="Arial" w:hAnsi="Arial" w:cs="Arial"/>
                <w:sz w:val="20"/>
              </w:rPr>
              <w:t xml:space="preserve">3 weeks), consider treatment with 10 mg/day oral prednisone or equivalent. </w:t>
            </w:r>
          </w:p>
        </w:tc>
      </w:tr>
      <w:tr w:rsidR="000B3C5C" w14:paraId="79880D7E" w14:textId="77777777">
        <w:trPr>
          <w:trHeight w:val="3596"/>
        </w:trPr>
        <w:tc>
          <w:tcPr>
            <w:tcW w:w="1743" w:type="dxa"/>
            <w:tcBorders>
              <w:top w:val="nil"/>
              <w:left w:val="nil"/>
              <w:bottom w:val="nil"/>
              <w:right w:val="nil"/>
            </w:tcBorders>
          </w:tcPr>
          <w:p w14:paraId="2D56F97A" w14:textId="77777777" w:rsidR="000B3C5C" w:rsidRDefault="00ED192D">
            <w:pPr>
              <w:spacing w:after="0" w:line="241" w:lineRule="auto"/>
              <w:ind w:left="214" w:firstLine="17"/>
            </w:pPr>
            <w:r>
              <w:rPr>
                <w:rFonts w:ascii="Arial" w:eastAsia="Arial" w:hAnsi="Arial" w:cs="Arial"/>
                <w:sz w:val="20"/>
              </w:rPr>
              <w:t xml:space="preserve">Amylase and/or lipase elevation, </w:t>
            </w:r>
          </w:p>
          <w:p w14:paraId="7CAD85D9" w14:textId="77777777" w:rsidR="000B3C5C" w:rsidRDefault="00ED192D">
            <w:pPr>
              <w:spacing w:after="0" w:line="259" w:lineRule="auto"/>
              <w:ind w:left="0" w:right="71" w:firstLine="0"/>
              <w:jc w:val="center"/>
            </w:pPr>
            <w:r>
              <w:rPr>
                <w:rFonts w:ascii="Arial" w:eastAsia="Arial" w:hAnsi="Arial" w:cs="Arial"/>
                <w:sz w:val="20"/>
              </w:rPr>
              <w:t xml:space="preserve">Grade 3 or 4 </w:t>
            </w:r>
          </w:p>
        </w:tc>
        <w:tc>
          <w:tcPr>
            <w:tcW w:w="2472" w:type="dxa"/>
            <w:gridSpan w:val="2"/>
            <w:tcBorders>
              <w:top w:val="nil"/>
              <w:left w:val="nil"/>
              <w:bottom w:val="nil"/>
              <w:right w:val="nil"/>
            </w:tcBorders>
          </w:tcPr>
          <w:p w14:paraId="27F4CF71" w14:textId="77777777" w:rsidR="000B3C5C" w:rsidRDefault="00ED192D">
            <w:pPr>
              <w:spacing w:after="0" w:line="259" w:lineRule="auto"/>
              <w:ind w:left="247" w:firstLine="0"/>
            </w:pPr>
            <w:r>
              <w:rPr>
                <w:rFonts w:ascii="Arial" w:eastAsia="Arial" w:hAnsi="Arial" w:cs="Arial"/>
                <w:sz w:val="20"/>
              </w:rPr>
              <w:t xml:space="preserve">Delay or omit dose until </w:t>
            </w:r>
          </w:p>
          <w:p w14:paraId="75C6F465" w14:textId="77777777" w:rsidR="000B3C5C" w:rsidRDefault="00ED192D">
            <w:pPr>
              <w:spacing w:after="0" w:line="259" w:lineRule="auto"/>
              <w:ind w:left="96" w:firstLine="0"/>
            </w:pPr>
            <w:r>
              <w:rPr>
                <w:rFonts w:ascii="Arial" w:eastAsia="Arial" w:hAnsi="Arial" w:cs="Arial"/>
                <w:sz w:val="20"/>
              </w:rPr>
              <w:t xml:space="preserve">≤Grade 2 </w:t>
            </w:r>
            <w:r>
              <w:rPr>
                <w:rFonts w:ascii="Arial" w:eastAsia="Arial" w:hAnsi="Arial" w:cs="Arial"/>
                <w:sz w:val="20"/>
              </w:rPr>
              <w:t xml:space="preserve">for a maximum of </w:t>
            </w:r>
          </w:p>
          <w:p w14:paraId="6C9AB86E" w14:textId="77777777" w:rsidR="000B3C5C" w:rsidRDefault="00ED192D">
            <w:pPr>
              <w:spacing w:after="0" w:line="259" w:lineRule="auto"/>
              <w:ind w:left="254" w:hanging="163"/>
            </w:pPr>
            <w:r>
              <w:rPr>
                <w:rFonts w:ascii="Arial" w:eastAsia="Arial" w:hAnsi="Arial" w:cs="Arial"/>
                <w:sz w:val="20"/>
              </w:rPr>
              <w:t xml:space="preserve">2 weeks (see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and resume isatuximab </w:t>
            </w:r>
          </w:p>
        </w:tc>
        <w:tc>
          <w:tcPr>
            <w:tcW w:w="2110" w:type="dxa"/>
            <w:tcBorders>
              <w:top w:val="nil"/>
              <w:left w:val="nil"/>
              <w:bottom w:val="nil"/>
              <w:right w:val="nil"/>
            </w:tcBorders>
          </w:tcPr>
          <w:p w14:paraId="06A249D4" w14:textId="77777777" w:rsidR="000B3C5C" w:rsidRDefault="00ED192D">
            <w:pPr>
              <w:spacing w:after="0" w:line="259" w:lineRule="auto"/>
              <w:ind w:left="182" w:firstLine="0"/>
            </w:pPr>
            <w:r>
              <w:rPr>
                <w:rFonts w:ascii="Arial" w:eastAsia="Arial" w:hAnsi="Arial" w:cs="Arial"/>
                <w:sz w:val="20"/>
              </w:rPr>
              <w:t xml:space="preserve">Delay cycle and then </w:t>
            </w:r>
          </w:p>
          <w:p w14:paraId="1AF6F2DB" w14:textId="77777777" w:rsidR="000B3C5C" w:rsidRDefault="00ED192D">
            <w:pPr>
              <w:spacing w:after="2" w:line="239" w:lineRule="auto"/>
              <w:ind w:left="134" w:firstLine="312"/>
            </w:pPr>
            <w:r>
              <w:rPr>
                <w:rFonts w:ascii="Arial" w:eastAsia="Arial" w:hAnsi="Arial" w:cs="Arial"/>
                <w:sz w:val="20"/>
              </w:rPr>
              <w:t xml:space="preserve">Withhold/omit atezolizumab for up to </w:t>
            </w:r>
          </w:p>
          <w:p w14:paraId="0ECF6ED0" w14:textId="77777777" w:rsidR="000B3C5C" w:rsidRDefault="00ED192D">
            <w:pPr>
              <w:spacing w:after="28" w:line="219" w:lineRule="auto"/>
              <w:ind w:left="701" w:hanging="516"/>
            </w:pPr>
            <w:r>
              <w:rPr>
                <w:rFonts w:ascii="Arial" w:eastAsia="Arial" w:hAnsi="Arial" w:cs="Arial"/>
                <w:sz w:val="20"/>
              </w:rPr>
              <w:t>12 weeks after event onset</w:t>
            </w:r>
            <w:r>
              <w:rPr>
                <w:rFonts w:ascii="Arial" w:eastAsia="Arial" w:hAnsi="Arial" w:cs="Arial"/>
                <w:i/>
                <w:color w:val="0000FF"/>
                <w:sz w:val="28"/>
                <w:vertAlign w:val="superscript"/>
              </w:rPr>
              <w:t>a</w:t>
            </w:r>
            <w:r>
              <w:rPr>
                <w:rFonts w:ascii="Arial" w:eastAsia="Arial" w:hAnsi="Arial" w:cs="Arial"/>
                <w:sz w:val="20"/>
              </w:rPr>
              <w:t xml:space="preserve"> </w:t>
            </w:r>
          </w:p>
          <w:p w14:paraId="46DADE54" w14:textId="77777777" w:rsidR="000B3C5C" w:rsidRDefault="00ED192D">
            <w:pPr>
              <w:spacing w:after="0" w:line="259" w:lineRule="auto"/>
              <w:ind w:left="254" w:firstLine="0"/>
            </w:pPr>
            <w:r>
              <w:rPr>
                <w:rFonts w:ascii="Arial" w:eastAsia="Arial" w:hAnsi="Arial" w:cs="Arial"/>
                <w:sz w:val="20"/>
              </w:rPr>
              <w:t xml:space="preserve">If event resolves to </w:t>
            </w:r>
          </w:p>
          <w:p w14:paraId="55902244" w14:textId="77777777" w:rsidR="000B3C5C" w:rsidRDefault="00ED192D">
            <w:pPr>
              <w:spacing w:after="19" w:line="222" w:lineRule="auto"/>
              <w:ind w:left="120" w:firstLine="173"/>
            </w:pPr>
            <w:r>
              <w:rPr>
                <w:rFonts w:ascii="Arial" w:eastAsia="Arial" w:hAnsi="Arial" w:cs="Arial"/>
                <w:sz w:val="20"/>
              </w:rPr>
              <w:t>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157F7E2C" w14:textId="77777777" w:rsidR="000B3C5C" w:rsidRDefault="00ED192D">
            <w:pPr>
              <w:spacing w:after="0" w:line="259" w:lineRule="auto"/>
              <w:ind w:left="48" w:firstLine="0"/>
            </w:pPr>
            <w:r>
              <w:rPr>
                <w:rFonts w:ascii="Arial" w:eastAsia="Arial" w:hAnsi="Arial" w:cs="Arial"/>
                <w:sz w:val="20"/>
              </w:rPr>
              <w:t xml:space="preserve">If event does not resolve </w:t>
            </w:r>
          </w:p>
          <w:p w14:paraId="57180DF0" w14:textId="77777777" w:rsidR="000B3C5C" w:rsidRDefault="00ED192D">
            <w:pPr>
              <w:spacing w:after="0" w:line="259" w:lineRule="auto"/>
              <w:ind w:left="17" w:firstLine="0"/>
            </w:pPr>
            <w:r>
              <w:rPr>
                <w:rFonts w:ascii="Arial" w:eastAsia="Arial" w:hAnsi="Arial" w:cs="Arial"/>
                <w:sz w:val="20"/>
              </w:rPr>
              <w:t xml:space="preserve">to Grade 1 or better while </w:t>
            </w:r>
          </w:p>
          <w:p w14:paraId="50DB939E" w14:textId="77777777" w:rsidR="000B3C5C" w:rsidRDefault="00ED192D">
            <w:pPr>
              <w:spacing w:after="0" w:line="259" w:lineRule="auto"/>
              <w:ind w:left="2" w:firstLine="0"/>
            </w:pPr>
            <w:r>
              <w:rPr>
                <w:rFonts w:ascii="Arial" w:eastAsia="Arial" w:hAnsi="Arial" w:cs="Arial"/>
                <w:sz w:val="20"/>
              </w:rPr>
              <w:t xml:space="preserve">withholding atezolizumab, </w:t>
            </w:r>
          </w:p>
          <w:p w14:paraId="12BAEFAA" w14:textId="77777777" w:rsidR="000B3C5C" w:rsidRDefault="00ED192D">
            <w:pPr>
              <w:spacing w:after="60" w:line="241" w:lineRule="auto"/>
              <w:ind w:left="459" w:hanging="406"/>
            </w:pPr>
            <w:r>
              <w:rPr>
                <w:rFonts w:ascii="Arial" w:eastAsia="Arial" w:hAnsi="Arial" w:cs="Arial"/>
                <w:sz w:val="20"/>
              </w:rPr>
              <w:t xml:space="preserve">permanently discontinue atezolizumab </w:t>
            </w:r>
          </w:p>
          <w:p w14:paraId="28890960" w14:textId="77777777" w:rsidR="000B3C5C" w:rsidRDefault="00ED192D">
            <w:pPr>
              <w:spacing w:after="0" w:line="259" w:lineRule="auto"/>
              <w:ind w:left="0" w:right="109" w:firstLine="0"/>
              <w:jc w:val="center"/>
            </w:pPr>
            <w:r>
              <w:rPr>
                <w:rFonts w:ascii="Arial" w:eastAsia="Arial" w:hAnsi="Arial" w:cs="Arial"/>
                <w:sz w:val="20"/>
              </w:rPr>
              <w:t xml:space="preserve"> </w:t>
            </w:r>
          </w:p>
        </w:tc>
        <w:tc>
          <w:tcPr>
            <w:tcW w:w="3248" w:type="dxa"/>
            <w:tcBorders>
              <w:top w:val="nil"/>
              <w:left w:val="nil"/>
              <w:bottom w:val="nil"/>
              <w:right w:val="nil"/>
            </w:tcBorders>
          </w:tcPr>
          <w:p w14:paraId="2C397FB1" w14:textId="77777777" w:rsidR="000B3C5C" w:rsidRDefault="00ED192D">
            <w:pPr>
              <w:spacing w:after="41" w:line="259" w:lineRule="auto"/>
              <w:ind w:left="0" w:right="47" w:firstLine="0"/>
              <w:jc w:val="center"/>
            </w:pPr>
            <w:r>
              <w:rPr>
                <w:rFonts w:ascii="Arial" w:eastAsia="Arial" w:hAnsi="Arial" w:cs="Arial"/>
                <w:sz w:val="20"/>
              </w:rPr>
              <w:t xml:space="preserve">Refer patient to GI specialist. </w:t>
            </w:r>
          </w:p>
          <w:p w14:paraId="34E47EA5" w14:textId="77777777" w:rsidR="000B3C5C" w:rsidRDefault="00ED192D">
            <w:pPr>
              <w:spacing w:after="58" w:line="241" w:lineRule="auto"/>
              <w:ind w:left="1409" w:hanging="1277"/>
            </w:pPr>
            <w:r>
              <w:rPr>
                <w:rFonts w:ascii="Arial" w:eastAsia="Arial" w:hAnsi="Arial" w:cs="Arial"/>
                <w:sz w:val="20"/>
              </w:rPr>
              <w:t xml:space="preserve">Monitor amylase and lipase every other day. </w:t>
            </w:r>
          </w:p>
          <w:p w14:paraId="3CDB5583" w14:textId="77777777" w:rsidR="000B3C5C" w:rsidRDefault="00ED192D">
            <w:pPr>
              <w:spacing w:after="0" w:line="259" w:lineRule="auto"/>
              <w:ind w:left="14" w:firstLine="0"/>
            </w:pPr>
            <w:r>
              <w:rPr>
                <w:rFonts w:ascii="Arial" w:eastAsia="Arial" w:hAnsi="Arial" w:cs="Arial"/>
                <w:sz w:val="20"/>
              </w:rPr>
              <w:t xml:space="preserve">If no improvement, consider treatment with </w:t>
            </w:r>
          </w:p>
          <w:p w14:paraId="456C46B3" w14:textId="77777777" w:rsidR="000B3C5C" w:rsidRDefault="00ED192D">
            <w:pPr>
              <w:spacing w:after="128" w:line="243" w:lineRule="auto"/>
              <w:ind w:left="1167" w:hanging="833"/>
            </w:pPr>
            <w:r>
              <w:rPr>
                <w:rFonts w:ascii="Arial" w:eastAsia="Arial" w:hAnsi="Arial" w:cs="Arial"/>
                <w:sz w:val="20"/>
              </w:rPr>
              <w:t>1</w:t>
            </w:r>
            <w:r>
              <w:rPr>
                <w:rFonts w:ascii="Segoe UI Symbol" w:eastAsia="Segoe UI Symbol" w:hAnsi="Segoe UI Symbol" w:cs="Segoe UI Symbol"/>
                <w:sz w:val="20"/>
              </w:rPr>
              <w:t>−</w:t>
            </w:r>
            <w:r>
              <w:rPr>
                <w:rFonts w:ascii="Arial" w:eastAsia="Arial" w:hAnsi="Arial" w:cs="Arial"/>
                <w:sz w:val="20"/>
              </w:rPr>
              <w:t xml:space="preserve">2 mg/kg/day oral prednisone or equivalent. </w:t>
            </w:r>
          </w:p>
          <w:p w14:paraId="65E11F23" w14:textId="77777777" w:rsidR="000B3C5C" w:rsidRDefault="00ED192D">
            <w:pPr>
              <w:spacing w:after="0" w:line="259" w:lineRule="auto"/>
              <w:ind w:left="0" w:right="46"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087460F4" w14:textId="77777777" w:rsidR="000B3C5C" w:rsidRDefault="00ED192D">
            <w:pPr>
              <w:spacing w:after="64" w:line="241" w:lineRule="auto"/>
              <w:ind w:left="197" w:firstLine="132"/>
            </w:pPr>
            <w:r>
              <w:rPr>
                <w:rFonts w:ascii="Arial" w:eastAsia="Arial" w:hAnsi="Arial" w:cs="Arial"/>
                <w:sz w:val="20"/>
              </w:rPr>
              <w:t xml:space="preserve">For recurrent events, permanently discontinue atezolizumab and contact </w:t>
            </w:r>
          </w:p>
          <w:p w14:paraId="73B81EF2" w14:textId="77777777" w:rsidR="000B3C5C" w:rsidRDefault="00ED192D">
            <w:pPr>
              <w:spacing w:after="0" w:line="259" w:lineRule="auto"/>
              <w:ind w:left="0" w:right="46" w:firstLine="0"/>
              <w:jc w:val="center"/>
            </w:pPr>
            <w:r>
              <w:rPr>
                <w:rFonts w:ascii="Arial" w:eastAsia="Arial" w:hAnsi="Arial" w:cs="Arial"/>
                <w:sz w:val="20"/>
              </w:rPr>
              <w:t>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695C85F9" w14:textId="77777777">
        <w:trPr>
          <w:trHeight w:val="3682"/>
        </w:trPr>
        <w:tc>
          <w:tcPr>
            <w:tcW w:w="1743" w:type="dxa"/>
            <w:tcBorders>
              <w:top w:val="nil"/>
              <w:left w:val="nil"/>
              <w:bottom w:val="single" w:sz="4" w:space="0" w:color="000000"/>
              <w:right w:val="nil"/>
            </w:tcBorders>
          </w:tcPr>
          <w:p w14:paraId="737A840B" w14:textId="77777777" w:rsidR="000B3C5C" w:rsidRDefault="00ED192D">
            <w:pPr>
              <w:spacing w:after="0" w:line="241" w:lineRule="auto"/>
              <w:ind w:left="358" w:hanging="132"/>
            </w:pPr>
            <w:r>
              <w:rPr>
                <w:rFonts w:ascii="Arial" w:eastAsia="Arial" w:hAnsi="Arial" w:cs="Arial"/>
                <w:sz w:val="20"/>
              </w:rPr>
              <w:t xml:space="preserve">Immune-related pancreatitis, </w:t>
            </w:r>
          </w:p>
          <w:p w14:paraId="3E28A224" w14:textId="77777777" w:rsidR="000B3C5C" w:rsidRDefault="00ED192D">
            <w:pPr>
              <w:spacing w:after="41" w:line="259" w:lineRule="auto"/>
              <w:ind w:left="0" w:right="71" w:firstLine="0"/>
              <w:jc w:val="center"/>
            </w:pPr>
            <w:r>
              <w:rPr>
                <w:rFonts w:ascii="Arial" w:eastAsia="Arial" w:hAnsi="Arial" w:cs="Arial"/>
                <w:sz w:val="20"/>
              </w:rPr>
              <w:t xml:space="preserve">Grade 2 or 3 </w:t>
            </w:r>
          </w:p>
          <w:p w14:paraId="37E11A91" w14:textId="77777777" w:rsidR="000B3C5C" w:rsidRDefault="00ED192D">
            <w:pPr>
              <w:spacing w:after="0" w:line="259" w:lineRule="auto"/>
              <w:ind w:left="0" w:right="25" w:firstLine="0"/>
              <w:jc w:val="center"/>
            </w:pPr>
            <w:r>
              <w:rPr>
                <w:rFonts w:ascii="Arial" w:eastAsia="Arial" w:hAnsi="Arial" w:cs="Arial"/>
                <w:sz w:val="20"/>
              </w:rPr>
              <w:t xml:space="preserve"> </w:t>
            </w:r>
          </w:p>
        </w:tc>
        <w:tc>
          <w:tcPr>
            <w:tcW w:w="2472" w:type="dxa"/>
            <w:gridSpan w:val="2"/>
            <w:tcBorders>
              <w:top w:val="nil"/>
              <w:left w:val="nil"/>
              <w:bottom w:val="single" w:sz="4" w:space="0" w:color="000000"/>
              <w:right w:val="nil"/>
            </w:tcBorders>
          </w:tcPr>
          <w:p w14:paraId="51C4FE32" w14:textId="77777777" w:rsidR="000B3C5C" w:rsidRDefault="00ED192D">
            <w:pPr>
              <w:spacing w:after="43" w:line="259" w:lineRule="auto"/>
              <w:ind w:left="91" w:firstLine="0"/>
            </w:pPr>
            <w:r>
              <w:rPr>
                <w:rFonts w:ascii="Arial" w:eastAsia="Arial" w:hAnsi="Arial" w:cs="Arial"/>
                <w:sz w:val="20"/>
              </w:rPr>
              <w:t xml:space="preserve">Grade 2: no change in dose </w:t>
            </w:r>
          </w:p>
          <w:p w14:paraId="0D58B5FC" w14:textId="77777777" w:rsidR="000B3C5C" w:rsidRDefault="00ED192D">
            <w:pPr>
              <w:spacing w:after="0" w:line="259" w:lineRule="auto"/>
              <w:ind w:left="0" w:right="23" w:firstLine="91"/>
            </w:pPr>
            <w:r>
              <w:rPr>
                <w:rFonts w:ascii="Arial" w:eastAsia="Arial" w:hAnsi="Arial" w:cs="Arial"/>
                <w:sz w:val="20"/>
              </w:rPr>
              <w:t xml:space="preserve">Grade 3: delay or omit dose until ≤Grade 2 </w:t>
            </w:r>
            <w:r>
              <w:rPr>
                <w:rFonts w:ascii="Arial" w:eastAsia="Arial" w:hAnsi="Arial" w:cs="Arial"/>
                <w:sz w:val="20"/>
              </w:rPr>
              <w:t xml:space="preserve">for a maximum of 2 weeks (see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110" w:type="dxa"/>
            <w:tcBorders>
              <w:top w:val="nil"/>
              <w:left w:val="nil"/>
              <w:bottom w:val="single" w:sz="4" w:space="0" w:color="000000"/>
              <w:right w:val="nil"/>
            </w:tcBorders>
          </w:tcPr>
          <w:p w14:paraId="1F4A34A7" w14:textId="77777777" w:rsidR="000B3C5C" w:rsidRDefault="00ED192D">
            <w:pPr>
              <w:spacing w:after="101" w:line="259" w:lineRule="auto"/>
              <w:ind w:left="0" w:right="109" w:firstLine="0"/>
              <w:jc w:val="center"/>
            </w:pPr>
            <w:r>
              <w:rPr>
                <w:rFonts w:ascii="Arial" w:eastAsia="Arial" w:hAnsi="Arial" w:cs="Arial"/>
                <w:sz w:val="20"/>
              </w:rPr>
              <w:t xml:space="preserve"> </w:t>
            </w:r>
          </w:p>
          <w:p w14:paraId="7CD2B5AB" w14:textId="77777777" w:rsidR="000B3C5C" w:rsidRDefault="00ED192D">
            <w:pPr>
              <w:spacing w:after="58" w:line="241" w:lineRule="auto"/>
              <w:ind w:left="0" w:firstLine="0"/>
            </w:pPr>
            <w:r>
              <w:rPr>
                <w:rFonts w:ascii="Arial" w:eastAsia="Arial" w:hAnsi="Arial" w:cs="Arial"/>
                <w:sz w:val="20"/>
              </w:rPr>
              <w:t xml:space="preserve">Grade 2: omit/withhold atezolizumab </w:t>
            </w:r>
          </w:p>
          <w:p w14:paraId="3A905A81" w14:textId="77777777" w:rsidR="000B3C5C" w:rsidRDefault="00ED192D">
            <w:pPr>
              <w:spacing w:after="6" w:line="231" w:lineRule="auto"/>
              <w:ind w:left="0" w:firstLine="0"/>
            </w:pPr>
            <w:r>
              <w:rPr>
                <w:rFonts w:ascii="Arial" w:eastAsia="Arial" w:hAnsi="Arial" w:cs="Arial"/>
                <w:sz w:val="20"/>
              </w:rPr>
              <w:t>Grade 3: Delay cycle and then Withhold/omit atezolizumab</w:t>
            </w:r>
            <w:r>
              <w:rPr>
                <w:rFonts w:ascii="Arial" w:eastAsia="Arial" w:hAnsi="Arial" w:cs="Arial"/>
                <w:i/>
                <w:color w:val="0000FF"/>
                <w:sz w:val="28"/>
                <w:vertAlign w:val="superscript"/>
              </w:rPr>
              <w:t>a</w:t>
            </w:r>
            <w:r>
              <w:rPr>
                <w:rFonts w:ascii="Arial" w:eastAsia="Arial" w:hAnsi="Arial" w:cs="Arial"/>
                <w:sz w:val="20"/>
              </w:rPr>
              <w:t xml:space="preserve"> </w:t>
            </w:r>
          </w:p>
          <w:p w14:paraId="4EECEA98" w14:textId="77777777" w:rsidR="000B3C5C" w:rsidRDefault="00ED192D">
            <w:pPr>
              <w:spacing w:after="0" w:line="259" w:lineRule="auto"/>
              <w:ind w:left="254" w:firstLine="0"/>
            </w:pPr>
            <w:r>
              <w:rPr>
                <w:rFonts w:ascii="Arial" w:eastAsia="Arial" w:hAnsi="Arial" w:cs="Arial"/>
                <w:sz w:val="20"/>
              </w:rPr>
              <w:t xml:space="preserve">If event resolves to </w:t>
            </w:r>
          </w:p>
          <w:p w14:paraId="71F099FD" w14:textId="77777777" w:rsidR="000B3C5C" w:rsidRDefault="00ED192D">
            <w:pPr>
              <w:spacing w:after="17" w:line="222" w:lineRule="auto"/>
              <w:ind w:left="120" w:firstLine="173"/>
            </w:pPr>
            <w:r>
              <w:rPr>
                <w:rFonts w:ascii="Arial" w:eastAsia="Arial" w:hAnsi="Arial" w:cs="Arial"/>
                <w:sz w:val="20"/>
              </w:rPr>
              <w:t>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365077C5" w14:textId="77777777" w:rsidR="000B3C5C" w:rsidRDefault="00ED192D">
            <w:pPr>
              <w:spacing w:after="0" w:line="259" w:lineRule="auto"/>
              <w:ind w:left="48" w:firstLine="0"/>
            </w:pPr>
            <w:r>
              <w:rPr>
                <w:rFonts w:ascii="Arial" w:eastAsia="Arial" w:hAnsi="Arial" w:cs="Arial"/>
                <w:sz w:val="20"/>
              </w:rPr>
              <w:t xml:space="preserve">If event does not resolve </w:t>
            </w:r>
          </w:p>
          <w:p w14:paraId="480F99F5" w14:textId="77777777" w:rsidR="000B3C5C" w:rsidRDefault="00ED192D">
            <w:pPr>
              <w:spacing w:after="0" w:line="259" w:lineRule="auto"/>
              <w:ind w:left="17" w:firstLine="0"/>
            </w:pPr>
            <w:r>
              <w:rPr>
                <w:rFonts w:ascii="Arial" w:eastAsia="Arial" w:hAnsi="Arial" w:cs="Arial"/>
                <w:sz w:val="20"/>
              </w:rPr>
              <w:t xml:space="preserve">to Grade 1 or better while </w:t>
            </w:r>
          </w:p>
          <w:p w14:paraId="19921A3B" w14:textId="77777777" w:rsidR="000B3C5C" w:rsidRDefault="00ED192D">
            <w:pPr>
              <w:spacing w:after="0" w:line="259" w:lineRule="auto"/>
              <w:ind w:left="2" w:firstLine="0"/>
            </w:pPr>
            <w:r>
              <w:rPr>
                <w:rFonts w:ascii="Arial" w:eastAsia="Arial" w:hAnsi="Arial" w:cs="Arial"/>
                <w:sz w:val="20"/>
              </w:rPr>
              <w:t xml:space="preserve">withholding atezolizumab, </w:t>
            </w:r>
          </w:p>
          <w:p w14:paraId="15051530" w14:textId="77777777" w:rsidR="000B3C5C" w:rsidRDefault="00ED192D">
            <w:pPr>
              <w:spacing w:after="0" w:line="259" w:lineRule="auto"/>
              <w:ind w:left="423" w:hanging="370"/>
            </w:pPr>
            <w:r>
              <w:rPr>
                <w:rFonts w:ascii="Arial" w:eastAsia="Arial" w:hAnsi="Arial" w:cs="Arial"/>
                <w:sz w:val="20"/>
              </w:rPr>
              <w:t>permanently discontinue atezolizumab</w:t>
            </w:r>
            <w:r>
              <w:rPr>
                <w:rFonts w:ascii="Arial" w:eastAsia="Arial" w:hAnsi="Arial" w:cs="Arial"/>
                <w:i/>
                <w:color w:val="0000FF"/>
                <w:sz w:val="28"/>
                <w:vertAlign w:val="superscript"/>
              </w:rPr>
              <w:t>c</w:t>
            </w:r>
            <w:r>
              <w:rPr>
                <w:rFonts w:ascii="Arial" w:eastAsia="Arial" w:hAnsi="Arial" w:cs="Arial"/>
                <w:sz w:val="20"/>
              </w:rPr>
              <w:t xml:space="preserve"> </w:t>
            </w:r>
          </w:p>
        </w:tc>
        <w:tc>
          <w:tcPr>
            <w:tcW w:w="3248" w:type="dxa"/>
            <w:tcBorders>
              <w:top w:val="nil"/>
              <w:left w:val="nil"/>
              <w:bottom w:val="single" w:sz="4" w:space="0" w:color="000000"/>
              <w:right w:val="nil"/>
            </w:tcBorders>
          </w:tcPr>
          <w:p w14:paraId="7F0A9E69" w14:textId="77777777" w:rsidR="000B3C5C" w:rsidRDefault="00ED192D">
            <w:pPr>
              <w:spacing w:after="58" w:line="259" w:lineRule="auto"/>
              <w:ind w:left="0" w:right="47" w:firstLine="0"/>
              <w:jc w:val="center"/>
            </w:pPr>
            <w:r>
              <w:rPr>
                <w:rFonts w:ascii="Arial" w:eastAsia="Arial" w:hAnsi="Arial" w:cs="Arial"/>
                <w:sz w:val="20"/>
              </w:rPr>
              <w:t xml:space="preserve">Refer patient to GI specialist. </w:t>
            </w:r>
          </w:p>
          <w:p w14:paraId="556C2964" w14:textId="77777777" w:rsidR="000B3C5C" w:rsidRDefault="00ED192D">
            <w:pPr>
              <w:spacing w:after="13" w:line="243" w:lineRule="auto"/>
              <w:ind w:left="201" w:hanging="86"/>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IV methylprednisolone or equivalent and </w:t>
            </w:r>
          </w:p>
          <w:p w14:paraId="317CB5EC" w14:textId="77777777" w:rsidR="000B3C5C" w:rsidRDefault="00ED192D">
            <w:pPr>
              <w:spacing w:after="126" w:line="243" w:lineRule="auto"/>
              <w:ind w:left="370" w:hanging="324"/>
            </w:pPr>
            <w:r>
              <w:rPr>
                <w:rFonts w:ascii="Arial" w:eastAsia="Arial" w:hAnsi="Arial" w:cs="Arial"/>
                <w:sz w:val="20"/>
              </w:rPr>
              <w:t>convert to 1</w:t>
            </w:r>
            <w:r>
              <w:rPr>
                <w:rFonts w:ascii="Segoe UI Symbol" w:eastAsia="Segoe UI Symbol" w:hAnsi="Segoe UI Symbol" w:cs="Segoe UI Symbol"/>
                <w:sz w:val="20"/>
              </w:rPr>
              <w:t>−</w:t>
            </w:r>
            <w:r>
              <w:rPr>
                <w:rFonts w:ascii="Arial" w:eastAsia="Arial" w:hAnsi="Arial" w:cs="Arial"/>
                <w:sz w:val="20"/>
              </w:rPr>
              <w:t xml:space="preserve">2 mg/kg/day oral prednisone or equivalent upon improvement. </w:t>
            </w:r>
          </w:p>
          <w:p w14:paraId="185BFB59" w14:textId="77777777" w:rsidR="000B3C5C" w:rsidRDefault="00ED192D">
            <w:pPr>
              <w:spacing w:after="0" w:line="259" w:lineRule="auto"/>
              <w:ind w:left="0" w:right="46"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1BC64C4B" w14:textId="77777777" w:rsidR="000B3C5C" w:rsidRDefault="00ED192D">
            <w:pPr>
              <w:spacing w:after="68" w:line="239" w:lineRule="auto"/>
              <w:ind w:left="197" w:firstLine="132"/>
            </w:pPr>
            <w:r>
              <w:rPr>
                <w:rFonts w:ascii="Arial" w:eastAsia="Arial" w:hAnsi="Arial" w:cs="Arial"/>
                <w:sz w:val="20"/>
              </w:rPr>
              <w:t xml:space="preserve">For recurrent events, permanently discontinue atezolizumab and contact </w:t>
            </w:r>
          </w:p>
          <w:p w14:paraId="21698D40" w14:textId="77777777" w:rsidR="000B3C5C" w:rsidRDefault="00ED192D">
            <w:pPr>
              <w:spacing w:after="0" w:line="259" w:lineRule="auto"/>
              <w:ind w:left="0" w:right="46" w:firstLine="0"/>
              <w:jc w:val="center"/>
            </w:pPr>
            <w:r>
              <w:rPr>
                <w:rFonts w:ascii="Arial" w:eastAsia="Arial" w:hAnsi="Arial" w:cs="Arial"/>
                <w:sz w:val="20"/>
              </w:rPr>
              <w:t>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17265765" w14:textId="77777777">
        <w:trPr>
          <w:trHeight w:val="590"/>
        </w:trPr>
        <w:tc>
          <w:tcPr>
            <w:tcW w:w="2002" w:type="dxa"/>
            <w:gridSpan w:val="2"/>
            <w:tcBorders>
              <w:top w:val="single" w:sz="4" w:space="0" w:color="000000"/>
              <w:left w:val="nil"/>
              <w:bottom w:val="single" w:sz="4" w:space="0" w:color="000000"/>
              <w:right w:val="nil"/>
            </w:tcBorders>
            <w:vAlign w:val="bottom"/>
          </w:tcPr>
          <w:p w14:paraId="1D8C845D" w14:textId="77777777" w:rsidR="000B3C5C" w:rsidRDefault="00ED192D">
            <w:pPr>
              <w:spacing w:after="0" w:line="259" w:lineRule="auto"/>
              <w:ind w:left="514" w:firstLine="0"/>
            </w:pPr>
            <w:r>
              <w:rPr>
                <w:rFonts w:ascii="Arial" w:eastAsia="Arial" w:hAnsi="Arial" w:cs="Arial"/>
                <w:b/>
                <w:sz w:val="20"/>
              </w:rPr>
              <w:t xml:space="preserve">Event </w:t>
            </w:r>
          </w:p>
        </w:tc>
        <w:tc>
          <w:tcPr>
            <w:tcW w:w="2213" w:type="dxa"/>
            <w:tcBorders>
              <w:top w:val="single" w:sz="4" w:space="0" w:color="000000"/>
              <w:left w:val="nil"/>
              <w:bottom w:val="single" w:sz="4" w:space="0" w:color="000000"/>
              <w:right w:val="nil"/>
            </w:tcBorders>
          </w:tcPr>
          <w:p w14:paraId="32BEB4A2" w14:textId="77777777" w:rsidR="000B3C5C" w:rsidRDefault="00ED192D">
            <w:pPr>
              <w:spacing w:after="0" w:line="259" w:lineRule="auto"/>
              <w:ind w:left="228" w:firstLine="94"/>
            </w:pPr>
            <w:r>
              <w:rPr>
                <w:rFonts w:ascii="Arial" w:eastAsia="Arial" w:hAnsi="Arial" w:cs="Arial"/>
                <w:b/>
                <w:sz w:val="20"/>
              </w:rPr>
              <w:t xml:space="preserve">Isatuximab management </w:t>
            </w:r>
          </w:p>
        </w:tc>
        <w:tc>
          <w:tcPr>
            <w:tcW w:w="2110" w:type="dxa"/>
            <w:tcBorders>
              <w:top w:val="single" w:sz="4" w:space="0" w:color="000000"/>
              <w:left w:val="nil"/>
              <w:bottom w:val="single" w:sz="4" w:space="0" w:color="000000"/>
              <w:right w:val="nil"/>
            </w:tcBorders>
          </w:tcPr>
          <w:p w14:paraId="59248451" w14:textId="77777777" w:rsidR="000B3C5C" w:rsidRDefault="00ED192D">
            <w:pPr>
              <w:spacing w:after="0" w:line="259" w:lineRule="auto"/>
              <w:ind w:left="316" w:hanging="26"/>
            </w:pPr>
            <w:r>
              <w:rPr>
                <w:rFonts w:ascii="Arial" w:eastAsia="Arial" w:hAnsi="Arial" w:cs="Arial"/>
                <w:b/>
                <w:sz w:val="20"/>
              </w:rPr>
              <w:t xml:space="preserve">Atezolizumab management </w:t>
            </w:r>
          </w:p>
        </w:tc>
        <w:tc>
          <w:tcPr>
            <w:tcW w:w="3248" w:type="dxa"/>
            <w:tcBorders>
              <w:top w:val="single" w:sz="4" w:space="0" w:color="000000"/>
              <w:left w:val="nil"/>
              <w:bottom w:val="single" w:sz="4" w:space="0" w:color="000000"/>
              <w:right w:val="nil"/>
            </w:tcBorders>
            <w:vAlign w:val="bottom"/>
          </w:tcPr>
          <w:p w14:paraId="68F4EC9E" w14:textId="77777777" w:rsidR="000B3C5C" w:rsidRDefault="00ED192D">
            <w:pPr>
              <w:spacing w:after="0" w:line="259" w:lineRule="auto"/>
              <w:ind w:left="0" w:right="44" w:firstLine="0"/>
              <w:jc w:val="center"/>
            </w:pPr>
            <w:r>
              <w:rPr>
                <w:rFonts w:ascii="Arial" w:eastAsia="Arial" w:hAnsi="Arial" w:cs="Arial"/>
                <w:b/>
                <w:sz w:val="20"/>
              </w:rPr>
              <w:t xml:space="preserve">Action and guidance </w:t>
            </w:r>
          </w:p>
        </w:tc>
      </w:tr>
      <w:tr w:rsidR="000B3C5C" w14:paraId="25A8B79F" w14:textId="77777777">
        <w:trPr>
          <w:trHeight w:val="2991"/>
        </w:trPr>
        <w:tc>
          <w:tcPr>
            <w:tcW w:w="2002" w:type="dxa"/>
            <w:gridSpan w:val="2"/>
            <w:tcBorders>
              <w:top w:val="single" w:sz="4" w:space="0" w:color="000000"/>
              <w:left w:val="nil"/>
              <w:bottom w:val="single" w:sz="12" w:space="0" w:color="000000"/>
              <w:right w:val="nil"/>
            </w:tcBorders>
          </w:tcPr>
          <w:p w14:paraId="34F38A0B" w14:textId="77777777" w:rsidR="000B3C5C" w:rsidRDefault="00ED192D">
            <w:pPr>
              <w:spacing w:after="2" w:line="239" w:lineRule="auto"/>
              <w:ind w:left="343" w:hanging="132"/>
            </w:pPr>
            <w:r>
              <w:rPr>
                <w:rFonts w:ascii="Arial" w:eastAsia="Arial" w:hAnsi="Arial" w:cs="Arial"/>
                <w:sz w:val="20"/>
              </w:rPr>
              <w:t xml:space="preserve">Immune-related pancreatitis, </w:t>
            </w:r>
          </w:p>
          <w:p w14:paraId="7E03A55A" w14:textId="77777777" w:rsidR="000B3C5C" w:rsidRDefault="00ED192D">
            <w:pPr>
              <w:spacing w:after="0" w:line="259" w:lineRule="auto"/>
              <w:ind w:left="490" w:firstLine="0"/>
            </w:pPr>
            <w:r>
              <w:rPr>
                <w:rFonts w:ascii="Arial" w:eastAsia="Arial" w:hAnsi="Arial" w:cs="Arial"/>
                <w:sz w:val="20"/>
              </w:rPr>
              <w:t xml:space="preserve">Grade 4 </w:t>
            </w:r>
          </w:p>
        </w:tc>
        <w:tc>
          <w:tcPr>
            <w:tcW w:w="2213" w:type="dxa"/>
            <w:tcBorders>
              <w:top w:val="single" w:sz="4" w:space="0" w:color="000000"/>
              <w:left w:val="nil"/>
              <w:bottom w:val="single" w:sz="12" w:space="0" w:color="000000"/>
              <w:right w:val="nil"/>
            </w:tcBorders>
          </w:tcPr>
          <w:p w14:paraId="6CEB7A55" w14:textId="77777777" w:rsidR="000B3C5C" w:rsidRDefault="00ED192D">
            <w:pPr>
              <w:spacing w:after="0" w:line="259" w:lineRule="auto"/>
              <w:ind w:left="0" w:firstLine="0"/>
            </w:pPr>
            <w:r>
              <w:rPr>
                <w:rFonts w:ascii="Arial" w:eastAsia="Arial" w:hAnsi="Arial" w:cs="Arial"/>
                <w:sz w:val="20"/>
              </w:rPr>
              <w:t xml:space="preserve">Discontinue isatuximab </w:t>
            </w:r>
          </w:p>
        </w:tc>
        <w:tc>
          <w:tcPr>
            <w:tcW w:w="2110" w:type="dxa"/>
            <w:tcBorders>
              <w:top w:val="single" w:sz="4" w:space="0" w:color="000000"/>
              <w:left w:val="nil"/>
              <w:bottom w:val="single" w:sz="12" w:space="0" w:color="000000"/>
              <w:right w:val="nil"/>
            </w:tcBorders>
          </w:tcPr>
          <w:p w14:paraId="20C10CD6" w14:textId="77777777" w:rsidR="000B3C5C" w:rsidRDefault="00ED192D">
            <w:pPr>
              <w:spacing w:after="0" w:line="259" w:lineRule="auto"/>
              <w:ind w:left="0" w:firstLine="0"/>
            </w:pPr>
            <w:r>
              <w:rPr>
                <w:rFonts w:ascii="Arial" w:eastAsia="Arial" w:hAnsi="Arial" w:cs="Arial"/>
                <w:sz w:val="20"/>
              </w:rPr>
              <w:t xml:space="preserve">Discontinue atezolizumab </w:t>
            </w:r>
          </w:p>
        </w:tc>
        <w:tc>
          <w:tcPr>
            <w:tcW w:w="3248" w:type="dxa"/>
            <w:tcBorders>
              <w:top w:val="single" w:sz="4" w:space="0" w:color="000000"/>
              <w:left w:val="nil"/>
              <w:bottom w:val="single" w:sz="12" w:space="0" w:color="000000"/>
              <w:right w:val="nil"/>
            </w:tcBorders>
          </w:tcPr>
          <w:p w14:paraId="29162E42" w14:textId="77777777" w:rsidR="000B3C5C" w:rsidRDefault="00ED192D">
            <w:pPr>
              <w:spacing w:after="0" w:line="259" w:lineRule="auto"/>
              <w:ind w:left="0" w:right="43"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52F95C83" w14:textId="77777777" w:rsidR="000B3C5C" w:rsidRDefault="00ED192D">
            <w:pPr>
              <w:spacing w:after="55" w:line="259" w:lineRule="auto"/>
              <w:ind w:left="0" w:right="44" w:firstLine="0"/>
              <w:jc w:val="center"/>
            </w:pPr>
            <w:r>
              <w:rPr>
                <w:rFonts w:ascii="Arial" w:eastAsia="Arial" w:hAnsi="Arial" w:cs="Arial"/>
                <w:sz w:val="20"/>
              </w:rPr>
              <w:t xml:space="preserve">Refer patient to GI specialist. </w:t>
            </w:r>
          </w:p>
          <w:p w14:paraId="435EF2D1" w14:textId="77777777" w:rsidR="000B3C5C" w:rsidRDefault="00ED192D">
            <w:pPr>
              <w:spacing w:after="13" w:line="243" w:lineRule="auto"/>
              <w:ind w:left="206" w:hanging="86"/>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 xml:space="preserve">2 mg/kg/day IV methylprednisolone or equivalent and </w:t>
            </w:r>
          </w:p>
          <w:p w14:paraId="2C9624FA" w14:textId="77777777" w:rsidR="000B3C5C" w:rsidRDefault="00ED192D">
            <w:pPr>
              <w:spacing w:after="56" w:line="243" w:lineRule="auto"/>
              <w:ind w:left="374" w:hanging="324"/>
            </w:pPr>
            <w:r>
              <w:rPr>
                <w:rFonts w:ascii="Arial" w:eastAsia="Arial" w:hAnsi="Arial" w:cs="Arial"/>
                <w:sz w:val="20"/>
              </w:rPr>
              <w:t>convert to 1</w:t>
            </w:r>
            <w:r>
              <w:rPr>
                <w:rFonts w:ascii="Segoe UI Symbol" w:eastAsia="Segoe UI Symbol" w:hAnsi="Segoe UI Symbol" w:cs="Segoe UI Symbol"/>
                <w:sz w:val="20"/>
              </w:rPr>
              <w:t>−</w:t>
            </w:r>
            <w:r>
              <w:rPr>
                <w:rFonts w:ascii="Arial" w:eastAsia="Arial" w:hAnsi="Arial" w:cs="Arial"/>
                <w:sz w:val="20"/>
              </w:rPr>
              <w:t xml:space="preserve">2 mg/kg/day oral prednisone or equivalent upon improvement. </w:t>
            </w:r>
          </w:p>
          <w:p w14:paraId="171557A0" w14:textId="77777777" w:rsidR="000B3C5C" w:rsidRDefault="00ED192D">
            <w:pPr>
              <w:spacing w:after="0" w:line="241" w:lineRule="auto"/>
              <w:ind w:left="175" w:hanging="101"/>
            </w:pPr>
            <w:r>
              <w:rPr>
                <w:rFonts w:ascii="Arial" w:eastAsia="Arial" w:hAnsi="Arial" w:cs="Arial"/>
                <w:sz w:val="20"/>
              </w:rPr>
              <w:t xml:space="preserve">If event </w:t>
            </w:r>
            <w:r>
              <w:rPr>
                <w:rFonts w:ascii="Arial" w:eastAsia="Arial" w:hAnsi="Arial" w:cs="Arial"/>
                <w:sz w:val="20"/>
              </w:rPr>
              <w:t xml:space="preserve">does not improve within 48 hours after initiating corticosteroids, consider </w:t>
            </w:r>
          </w:p>
          <w:p w14:paraId="28CF4F92" w14:textId="77777777" w:rsidR="000B3C5C" w:rsidRDefault="00ED192D">
            <w:pPr>
              <w:spacing w:after="41" w:line="259" w:lineRule="auto"/>
              <w:ind w:left="206" w:firstLine="0"/>
            </w:pPr>
            <w:r>
              <w:rPr>
                <w:rFonts w:ascii="Arial" w:eastAsia="Arial" w:hAnsi="Arial" w:cs="Arial"/>
                <w:sz w:val="20"/>
              </w:rPr>
              <w:t xml:space="preserve">adding an immunosuppressive agent. </w:t>
            </w:r>
          </w:p>
          <w:p w14:paraId="342C6197" w14:textId="77777777" w:rsidR="000B3C5C" w:rsidRDefault="00ED192D">
            <w:pPr>
              <w:spacing w:after="0" w:line="259" w:lineRule="auto"/>
              <w:ind w:left="461" w:hanging="461"/>
            </w:pPr>
            <w:r>
              <w:rPr>
                <w:rFonts w:ascii="Arial" w:eastAsia="Arial" w:hAnsi="Arial" w:cs="Arial"/>
                <w:sz w:val="20"/>
              </w:rPr>
              <w:t xml:space="preserve">If event resolves to Grade 1 or better, taper corticosteroids over </w:t>
            </w:r>
            <w:r>
              <w:rPr>
                <w:rFonts w:ascii="Segoe UI Symbol" w:eastAsia="Segoe UI Symbol" w:hAnsi="Segoe UI Symbol" w:cs="Segoe UI Symbol"/>
                <w:sz w:val="20"/>
              </w:rPr>
              <w:t></w:t>
            </w:r>
            <w:r>
              <w:rPr>
                <w:rFonts w:ascii="Arial" w:eastAsia="Arial" w:hAnsi="Arial" w:cs="Arial"/>
                <w:sz w:val="20"/>
              </w:rPr>
              <w:t xml:space="preserve">1 month. </w:t>
            </w:r>
          </w:p>
        </w:tc>
      </w:tr>
    </w:tbl>
    <w:p w14:paraId="54991977" w14:textId="77777777" w:rsidR="000B3C5C" w:rsidRDefault="00ED192D">
      <w:pPr>
        <w:spacing w:after="12"/>
        <w:ind w:left="-5" w:right="278"/>
      </w:pPr>
      <w:r>
        <w:rPr>
          <w:rFonts w:ascii="Arial" w:eastAsia="Arial" w:hAnsi="Arial" w:cs="Arial"/>
          <w:i/>
          <w:sz w:val="18"/>
        </w:rPr>
        <w:t xml:space="preserve">a </w:t>
      </w:r>
      <w:r>
        <w:rPr>
          <w:rFonts w:ascii="Arial" w:eastAsia="Arial" w:hAnsi="Arial" w:cs="Arial"/>
          <w:sz w:val="18"/>
        </w:rPr>
        <w:t xml:space="preserve">Atezolizumab may be withheld for a longer period of time (ie, </w:t>
      </w:r>
      <w:r>
        <w:rPr>
          <w:rFonts w:ascii="Segoe UI Symbol" w:eastAsia="Segoe UI Symbol" w:hAnsi="Segoe UI Symbol" w:cs="Segoe UI Symbol"/>
          <w:sz w:val="18"/>
        </w:rPr>
        <w:t></w:t>
      </w:r>
      <w:r>
        <w:rPr>
          <w:rFonts w:ascii="Arial" w:eastAsia="Arial" w:hAnsi="Arial" w:cs="Arial"/>
          <w:sz w:val="18"/>
        </w:rPr>
        <w:t xml:space="preserve"> 12 weeks after event onset) to allow for corticosteroids (if initiated) to be reduced to </w:t>
      </w:r>
      <w:r>
        <w:rPr>
          <w:rFonts w:ascii="Segoe UI Symbol" w:eastAsia="Segoe UI Symbol" w:hAnsi="Segoe UI Symbol" w:cs="Segoe UI Symbol"/>
          <w:sz w:val="18"/>
        </w:rPr>
        <w:t></w:t>
      </w:r>
      <w:r>
        <w:rPr>
          <w:rFonts w:ascii="Arial" w:eastAsia="Arial" w:hAnsi="Arial" w:cs="Arial"/>
          <w:sz w:val="18"/>
        </w:rPr>
        <w:t xml:space="preserve"> 10 mg/day oral prednisone or equivalent. The acceptable length of the extended period of time must be agreed upon by the investigator and the Medical Monitor. </w:t>
      </w:r>
      <w:r>
        <w:rPr>
          <w:rFonts w:ascii="Arial" w:eastAsia="Arial" w:hAnsi="Arial" w:cs="Arial"/>
          <w:i/>
          <w:sz w:val="18"/>
        </w:rPr>
        <w:t xml:space="preserve">b </w:t>
      </w:r>
      <w:r>
        <w:rPr>
          <w:rFonts w:ascii="Arial" w:eastAsia="Arial" w:hAnsi="Arial" w:cs="Arial"/>
          <w:sz w:val="18"/>
        </w:rPr>
        <w:t xml:space="preserve">If corticosteroids have been initiated, they must be tapered over </w:t>
      </w:r>
      <w:r>
        <w:rPr>
          <w:rFonts w:ascii="Segoe UI Symbol" w:eastAsia="Segoe UI Symbol" w:hAnsi="Segoe UI Symbol" w:cs="Segoe UI Symbol"/>
          <w:sz w:val="18"/>
        </w:rPr>
        <w:t></w:t>
      </w:r>
      <w:r>
        <w:rPr>
          <w:rFonts w:ascii="Arial" w:eastAsia="Arial" w:hAnsi="Arial" w:cs="Arial"/>
          <w:sz w:val="18"/>
        </w:rPr>
        <w:t xml:space="preserve"> 1 month to </w:t>
      </w:r>
      <w:r>
        <w:rPr>
          <w:rFonts w:ascii="Segoe UI Symbol" w:eastAsia="Segoe UI Symbol" w:hAnsi="Segoe UI Symbol" w:cs="Segoe UI Symbol"/>
          <w:sz w:val="18"/>
        </w:rPr>
        <w:t></w:t>
      </w:r>
      <w:r>
        <w:rPr>
          <w:rFonts w:ascii="Arial" w:eastAsia="Arial" w:hAnsi="Arial" w:cs="Arial"/>
          <w:sz w:val="18"/>
        </w:rPr>
        <w:t xml:space="preserve"> 10 mg/day oral prednisone or equivalent before atezolizumab can be resumed. </w:t>
      </w:r>
    </w:p>
    <w:p w14:paraId="1072C7BF" w14:textId="77777777" w:rsidR="000B3C5C" w:rsidRDefault="00ED192D">
      <w:pPr>
        <w:spacing w:after="277"/>
        <w:ind w:left="230" w:right="427" w:hanging="245"/>
      </w:pPr>
      <w:r>
        <w:rPr>
          <w:rFonts w:ascii="Arial" w:eastAsia="Arial" w:hAnsi="Arial" w:cs="Arial"/>
          <w:i/>
          <w:sz w:val="18"/>
        </w:rPr>
        <w:t xml:space="preserve">c </w:t>
      </w: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Abbreviation: GI </w:t>
      </w:r>
      <w:r>
        <w:rPr>
          <w:rFonts w:ascii="Segoe UI Symbol" w:eastAsia="Segoe UI Symbol" w:hAnsi="Segoe UI Symbol" w:cs="Segoe UI Symbol"/>
          <w:sz w:val="18"/>
        </w:rPr>
        <w:t>=</w:t>
      </w:r>
      <w:r>
        <w:rPr>
          <w:rFonts w:ascii="Arial" w:eastAsia="Arial" w:hAnsi="Arial" w:cs="Arial"/>
          <w:sz w:val="18"/>
        </w:rPr>
        <w:t xml:space="preserve"> gastrointestinal. </w:t>
      </w:r>
    </w:p>
    <w:p w14:paraId="1E6591E0" w14:textId="77777777" w:rsidR="000B3C5C" w:rsidRDefault="00ED192D">
      <w:pPr>
        <w:pStyle w:val="Heading3"/>
        <w:spacing w:after="231"/>
        <w:ind w:left="-5" w:right="51"/>
      </w:pPr>
      <w:r>
        <w:rPr>
          <w:rFonts w:ascii="Times New Roman" w:eastAsia="Times New Roman" w:hAnsi="Times New Roman" w:cs="Times New Roman"/>
          <w:sz w:val="24"/>
        </w:rPr>
        <w:t xml:space="preserve">Dermatologic Events </w:t>
      </w:r>
    </w:p>
    <w:p w14:paraId="399A0DA6" w14:textId="77777777" w:rsidR="000B3C5C" w:rsidRDefault="00ED192D">
      <w:pPr>
        <w:ind w:left="-3" w:right="14"/>
      </w:pPr>
      <w:r>
        <w:t xml:space="preserve">Severe Cutaneous Adverse Reactions (SCARs) are a heterogeneous group of immunologically mediated drug eruptions. </w:t>
      </w:r>
    </w:p>
    <w:p w14:paraId="660A79E3" w14:textId="77777777" w:rsidR="000B3C5C" w:rsidRDefault="00ED192D">
      <w:pPr>
        <w:ind w:left="-3" w:right="14"/>
      </w:pPr>
      <w:r>
        <w:t xml:space="preserve">Although rare, these events are potentially fatal, and mainly constituted by erythema multiforme, acute generalized exanthematous pustulosis, SJS, TEN, and DRESS. </w:t>
      </w:r>
    </w:p>
    <w:p w14:paraId="3AF2D879" w14:textId="77777777" w:rsidR="000B3C5C" w:rsidRDefault="00ED192D">
      <w:pPr>
        <w:spacing w:after="132"/>
        <w:ind w:left="-3" w:right="14"/>
      </w:pPr>
      <w:r>
        <w:t xml:space="preserve">The recommendations for SCARs are: </w:t>
      </w:r>
    </w:p>
    <w:p w14:paraId="11678016" w14:textId="77777777" w:rsidR="000B3C5C" w:rsidRDefault="00ED192D">
      <w:pPr>
        <w:numPr>
          <w:ilvl w:val="0"/>
          <w:numId w:val="82"/>
        </w:numPr>
        <w:spacing w:after="135"/>
        <w:ind w:right="14" w:hanging="358"/>
      </w:pPr>
      <w:r>
        <w:t xml:space="preserve">For suspected SCARs the patients should be referred to a dermatologist for further diagnosis and management </w:t>
      </w:r>
    </w:p>
    <w:p w14:paraId="4AA99592" w14:textId="77777777" w:rsidR="000B3C5C" w:rsidRDefault="00ED192D">
      <w:pPr>
        <w:numPr>
          <w:ilvl w:val="0"/>
          <w:numId w:val="82"/>
        </w:numPr>
        <w:spacing w:after="90"/>
        <w:ind w:right="14" w:hanging="358"/>
      </w:pPr>
      <w:r>
        <w:t xml:space="preserve">Atezolizumab should be withheld for patients with suspected SJS or TEN </w:t>
      </w:r>
    </w:p>
    <w:p w14:paraId="66DBEA1D" w14:textId="77777777" w:rsidR="000B3C5C" w:rsidRDefault="00ED192D">
      <w:pPr>
        <w:numPr>
          <w:ilvl w:val="0"/>
          <w:numId w:val="82"/>
        </w:numPr>
        <w:spacing w:after="87" w:line="249" w:lineRule="auto"/>
        <w:ind w:right="14" w:hanging="358"/>
      </w:pPr>
      <w:r>
        <w:t xml:space="preserve">Atezolizumab should be permanently withdrawn for any grade confirmed SJS or TEN </w:t>
      </w:r>
    </w:p>
    <w:p w14:paraId="1DB13FD7" w14:textId="77777777" w:rsidR="000B3C5C" w:rsidRDefault="00ED192D">
      <w:pPr>
        <w:numPr>
          <w:ilvl w:val="0"/>
          <w:numId w:val="82"/>
        </w:numPr>
        <w:ind w:right="14" w:hanging="358"/>
      </w:pPr>
      <w:r>
        <w:t xml:space="preserve">Caution should be used when considering the use of atezolizumab in a patient who has previously experienced a severe or life-threatening skin adverse reaction on prior treatment with other immune-stimulatory anticancer agents. </w:t>
      </w:r>
    </w:p>
    <w:p w14:paraId="33EAE4C3" w14:textId="77777777" w:rsidR="000B3C5C" w:rsidRDefault="00ED192D">
      <w:pPr>
        <w:ind w:left="-3" w:right="14"/>
      </w:pPr>
      <w:r>
        <w:t xml:space="preserve">Regarding other dermatological events, a  dermatologist should evaluate persistent and/or severe rash or pruritus. Management guidelines for other dermatologic events are provided in </w:t>
      </w:r>
      <w:r>
        <w:rPr>
          <w:color w:val="0000FF"/>
        </w:rPr>
        <w:t>Table 25</w:t>
      </w:r>
      <w:r>
        <w:t xml:space="preserve">. </w:t>
      </w:r>
    </w:p>
    <w:p w14:paraId="5556D585" w14:textId="77777777" w:rsidR="000B3C5C" w:rsidRDefault="00ED192D">
      <w:pPr>
        <w:spacing w:after="4" w:line="250" w:lineRule="auto"/>
        <w:ind w:left="15" w:right="47"/>
        <w:jc w:val="center"/>
      </w:pPr>
      <w:r>
        <w:rPr>
          <w:rFonts w:ascii="Arial" w:eastAsia="Arial" w:hAnsi="Arial" w:cs="Arial"/>
          <w:b/>
          <w:sz w:val="20"/>
        </w:rPr>
        <w:t xml:space="preserve">Table 25 - Management Guidelines for Dermatologic Events  </w:t>
      </w:r>
    </w:p>
    <w:tbl>
      <w:tblPr>
        <w:tblStyle w:val="TableGrid"/>
        <w:tblW w:w="9686" w:type="dxa"/>
        <w:tblInd w:w="-108" w:type="dxa"/>
        <w:tblCellMar>
          <w:top w:w="81" w:type="dxa"/>
          <w:left w:w="0" w:type="dxa"/>
          <w:bottom w:w="66" w:type="dxa"/>
          <w:right w:w="78" w:type="dxa"/>
        </w:tblCellMar>
        <w:tblLook w:val="04A0" w:firstRow="1" w:lastRow="0" w:firstColumn="1" w:lastColumn="0" w:noHBand="0" w:noVBand="1"/>
      </w:tblPr>
      <w:tblGrid>
        <w:gridCol w:w="1777"/>
        <w:gridCol w:w="2225"/>
        <w:gridCol w:w="2528"/>
        <w:gridCol w:w="3156"/>
      </w:tblGrid>
      <w:tr w:rsidR="000B3C5C" w14:paraId="65017284" w14:textId="77777777">
        <w:trPr>
          <w:trHeight w:val="590"/>
        </w:trPr>
        <w:tc>
          <w:tcPr>
            <w:tcW w:w="1777" w:type="dxa"/>
            <w:tcBorders>
              <w:top w:val="single" w:sz="4" w:space="0" w:color="000000"/>
              <w:left w:val="nil"/>
              <w:bottom w:val="single" w:sz="4" w:space="0" w:color="000000"/>
              <w:right w:val="nil"/>
            </w:tcBorders>
            <w:vAlign w:val="bottom"/>
          </w:tcPr>
          <w:p w14:paraId="7F4A307F" w14:textId="77777777" w:rsidR="000B3C5C" w:rsidRDefault="00ED192D">
            <w:pPr>
              <w:spacing w:after="0" w:line="259" w:lineRule="auto"/>
              <w:ind w:left="502" w:firstLine="0"/>
            </w:pPr>
            <w:r>
              <w:rPr>
                <w:rFonts w:ascii="Arial" w:eastAsia="Arial" w:hAnsi="Arial" w:cs="Arial"/>
                <w:b/>
                <w:sz w:val="20"/>
              </w:rPr>
              <w:t xml:space="preserve">Event </w:t>
            </w:r>
          </w:p>
        </w:tc>
        <w:tc>
          <w:tcPr>
            <w:tcW w:w="2225" w:type="dxa"/>
            <w:tcBorders>
              <w:top w:val="single" w:sz="4" w:space="0" w:color="000000"/>
              <w:left w:val="nil"/>
              <w:bottom w:val="single" w:sz="4" w:space="0" w:color="000000"/>
              <w:right w:val="nil"/>
            </w:tcBorders>
          </w:tcPr>
          <w:p w14:paraId="5C336887" w14:textId="77777777" w:rsidR="000B3C5C" w:rsidRDefault="00ED192D">
            <w:pPr>
              <w:spacing w:after="0" w:line="259" w:lineRule="auto"/>
              <w:ind w:left="281" w:firstLine="94"/>
            </w:pPr>
            <w:r>
              <w:rPr>
                <w:rFonts w:ascii="Arial" w:eastAsia="Arial" w:hAnsi="Arial" w:cs="Arial"/>
                <w:b/>
                <w:sz w:val="20"/>
              </w:rPr>
              <w:t xml:space="preserve">Isatuximab management </w:t>
            </w:r>
          </w:p>
        </w:tc>
        <w:tc>
          <w:tcPr>
            <w:tcW w:w="2528" w:type="dxa"/>
            <w:tcBorders>
              <w:top w:val="single" w:sz="4" w:space="0" w:color="000000"/>
              <w:left w:val="nil"/>
              <w:bottom w:val="single" w:sz="4" w:space="0" w:color="000000"/>
              <w:right w:val="nil"/>
            </w:tcBorders>
          </w:tcPr>
          <w:p w14:paraId="3B3DEE91" w14:textId="77777777" w:rsidR="000B3C5C" w:rsidRDefault="00ED192D">
            <w:pPr>
              <w:spacing w:after="0" w:line="259" w:lineRule="auto"/>
              <w:ind w:left="484" w:hanging="26"/>
            </w:pPr>
            <w:r>
              <w:rPr>
                <w:rFonts w:ascii="Arial" w:eastAsia="Arial" w:hAnsi="Arial" w:cs="Arial"/>
                <w:b/>
                <w:sz w:val="20"/>
              </w:rPr>
              <w:t xml:space="preserve">Atezolizumab management </w:t>
            </w:r>
          </w:p>
        </w:tc>
        <w:tc>
          <w:tcPr>
            <w:tcW w:w="3156" w:type="dxa"/>
            <w:tcBorders>
              <w:top w:val="single" w:sz="4" w:space="0" w:color="000000"/>
              <w:left w:val="nil"/>
              <w:bottom w:val="single" w:sz="4" w:space="0" w:color="000000"/>
              <w:right w:val="nil"/>
            </w:tcBorders>
            <w:vAlign w:val="bottom"/>
          </w:tcPr>
          <w:p w14:paraId="51F5FD40" w14:textId="77777777" w:rsidR="000B3C5C" w:rsidRDefault="00ED192D">
            <w:pPr>
              <w:spacing w:after="0" w:line="259" w:lineRule="auto"/>
              <w:ind w:left="0" w:right="49" w:firstLine="0"/>
              <w:jc w:val="center"/>
            </w:pPr>
            <w:r>
              <w:rPr>
                <w:rFonts w:ascii="Arial" w:eastAsia="Arial" w:hAnsi="Arial" w:cs="Arial"/>
                <w:b/>
                <w:sz w:val="20"/>
              </w:rPr>
              <w:t xml:space="preserve">Action and guidance </w:t>
            </w:r>
          </w:p>
        </w:tc>
      </w:tr>
      <w:tr w:rsidR="000B3C5C" w14:paraId="22A073CD" w14:textId="77777777">
        <w:trPr>
          <w:trHeight w:val="833"/>
        </w:trPr>
        <w:tc>
          <w:tcPr>
            <w:tcW w:w="1777" w:type="dxa"/>
            <w:tcBorders>
              <w:top w:val="single" w:sz="4" w:space="0" w:color="000000"/>
              <w:left w:val="nil"/>
              <w:bottom w:val="nil"/>
              <w:right w:val="nil"/>
            </w:tcBorders>
          </w:tcPr>
          <w:p w14:paraId="03930BDF" w14:textId="77777777" w:rsidR="000B3C5C" w:rsidRDefault="00ED192D">
            <w:pPr>
              <w:spacing w:after="0" w:line="259" w:lineRule="auto"/>
              <w:ind w:left="230" w:firstLine="60"/>
            </w:pPr>
            <w:r>
              <w:rPr>
                <w:rFonts w:ascii="Arial" w:eastAsia="Arial" w:hAnsi="Arial" w:cs="Arial"/>
                <w:sz w:val="20"/>
              </w:rPr>
              <w:t xml:space="preserve">Dermatologic event, Grade 1  </w:t>
            </w:r>
          </w:p>
        </w:tc>
        <w:tc>
          <w:tcPr>
            <w:tcW w:w="2225" w:type="dxa"/>
            <w:tcBorders>
              <w:top w:val="single" w:sz="4" w:space="0" w:color="000000"/>
              <w:left w:val="nil"/>
              <w:bottom w:val="nil"/>
              <w:right w:val="nil"/>
            </w:tcBorders>
          </w:tcPr>
          <w:p w14:paraId="3B3B1C4A" w14:textId="77777777" w:rsidR="000B3C5C" w:rsidRDefault="00ED192D">
            <w:pPr>
              <w:spacing w:after="0" w:line="259" w:lineRule="auto"/>
              <w:ind w:left="214" w:firstLine="0"/>
            </w:pPr>
            <w:r>
              <w:rPr>
                <w:rFonts w:ascii="Arial" w:eastAsia="Arial" w:hAnsi="Arial" w:cs="Arial"/>
                <w:sz w:val="20"/>
              </w:rPr>
              <w:t xml:space="preserve">No change in dose </w:t>
            </w:r>
          </w:p>
        </w:tc>
        <w:tc>
          <w:tcPr>
            <w:tcW w:w="2528" w:type="dxa"/>
            <w:tcBorders>
              <w:top w:val="single" w:sz="4" w:space="0" w:color="000000"/>
              <w:left w:val="nil"/>
              <w:bottom w:val="nil"/>
              <w:right w:val="nil"/>
            </w:tcBorders>
          </w:tcPr>
          <w:p w14:paraId="65B91826" w14:textId="77777777" w:rsidR="000B3C5C" w:rsidRDefault="00ED192D">
            <w:pPr>
              <w:spacing w:after="0" w:line="259" w:lineRule="auto"/>
              <w:ind w:left="418" w:firstLine="0"/>
            </w:pPr>
            <w:r>
              <w:rPr>
                <w:rFonts w:ascii="Arial" w:eastAsia="Arial" w:hAnsi="Arial" w:cs="Arial"/>
                <w:sz w:val="20"/>
              </w:rPr>
              <w:t xml:space="preserve">No change in dose </w:t>
            </w:r>
          </w:p>
        </w:tc>
        <w:tc>
          <w:tcPr>
            <w:tcW w:w="3156" w:type="dxa"/>
            <w:tcBorders>
              <w:top w:val="single" w:sz="4" w:space="0" w:color="000000"/>
              <w:left w:val="nil"/>
              <w:bottom w:val="nil"/>
              <w:right w:val="nil"/>
            </w:tcBorders>
          </w:tcPr>
          <w:p w14:paraId="08E05EC5" w14:textId="77777777" w:rsidR="000B3C5C" w:rsidRDefault="00ED192D">
            <w:pPr>
              <w:spacing w:after="0" w:line="259" w:lineRule="auto"/>
              <w:ind w:left="41" w:firstLine="353"/>
            </w:pPr>
            <w:r>
              <w:rPr>
                <w:rFonts w:ascii="Arial" w:eastAsia="Arial" w:hAnsi="Arial" w:cs="Arial"/>
                <w:sz w:val="20"/>
              </w:rPr>
              <w:t xml:space="preserve">Consider treatment with topical corticosteroids and/or other symptomatic therapy (eg, antihistamines). </w:t>
            </w:r>
          </w:p>
        </w:tc>
      </w:tr>
      <w:tr w:rsidR="000B3C5C" w14:paraId="277E691C" w14:textId="77777777">
        <w:trPr>
          <w:trHeight w:val="1615"/>
        </w:trPr>
        <w:tc>
          <w:tcPr>
            <w:tcW w:w="1777" w:type="dxa"/>
            <w:tcBorders>
              <w:top w:val="nil"/>
              <w:left w:val="nil"/>
              <w:bottom w:val="nil"/>
              <w:right w:val="nil"/>
            </w:tcBorders>
          </w:tcPr>
          <w:p w14:paraId="008736D9" w14:textId="77777777" w:rsidR="000B3C5C" w:rsidRDefault="00ED192D">
            <w:pPr>
              <w:spacing w:after="0" w:line="259" w:lineRule="auto"/>
              <w:ind w:left="230" w:firstLine="60"/>
            </w:pPr>
            <w:r>
              <w:rPr>
                <w:rFonts w:ascii="Arial" w:eastAsia="Arial" w:hAnsi="Arial" w:cs="Arial"/>
                <w:sz w:val="20"/>
              </w:rPr>
              <w:t xml:space="preserve">Dermatologic event, Grade 2  </w:t>
            </w:r>
          </w:p>
        </w:tc>
        <w:tc>
          <w:tcPr>
            <w:tcW w:w="2225" w:type="dxa"/>
            <w:tcBorders>
              <w:top w:val="nil"/>
              <w:left w:val="nil"/>
              <w:bottom w:val="nil"/>
              <w:right w:val="nil"/>
            </w:tcBorders>
          </w:tcPr>
          <w:p w14:paraId="5E4FDF39" w14:textId="77777777" w:rsidR="000B3C5C" w:rsidRDefault="00ED192D">
            <w:pPr>
              <w:spacing w:after="0" w:line="259" w:lineRule="auto"/>
              <w:ind w:left="214" w:firstLine="0"/>
            </w:pPr>
            <w:r>
              <w:rPr>
                <w:rFonts w:ascii="Arial" w:eastAsia="Arial" w:hAnsi="Arial" w:cs="Arial"/>
                <w:sz w:val="20"/>
              </w:rPr>
              <w:t xml:space="preserve">No change in dose </w:t>
            </w:r>
          </w:p>
        </w:tc>
        <w:tc>
          <w:tcPr>
            <w:tcW w:w="2528" w:type="dxa"/>
            <w:tcBorders>
              <w:top w:val="nil"/>
              <w:left w:val="nil"/>
              <w:bottom w:val="nil"/>
              <w:right w:val="nil"/>
            </w:tcBorders>
          </w:tcPr>
          <w:p w14:paraId="393376FC" w14:textId="77777777" w:rsidR="000B3C5C" w:rsidRDefault="00ED192D">
            <w:pPr>
              <w:spacing w:after="0" w:line="259" w:lineRule="auto"/>
              <w:ind w:left="418" w:firstLine="0"/>
            </w:pPr>
            <w:r>
              <w:rPr>
                <w:rFonts w:ascii="Arial" w:eastAsia="Arial" w:hAnsi="Arial" w:cs="Arial"/>
                <w:sz w:val="20"/>
              </w:rPr>
              <w:t xml:space="preserve">No change in dose </w:t>
            </w:r>
          </w:p>
        </w:tc>
        <w:tc>
          <w:tcPr>
            <w:tcW w:w="3156" w:type="dxa"/>
            <w:tcBorders>
              <w:top w:val="nil"/>
              <w:left w:val="nil"/>
              <w:bottom w:val="nil"/>
              <w:right w:val="nil"/>
            </w:tcBorders>
          </w:tcPr>
          <w:p w14:paraId="0668685C" w14:textId="77777777" w:rsidR="000B3C5C" w:rsidRDefault="00ED192D">
            <w:pPr>
              <w:spacing w:after="41" w:line="259" w:lineRule="auto"/>
              <w:ind w:left="7" w:firstLine="0"/>
            </w:pPr>
            <w:r>
              <w:rPr>
                <w:rFonts w:ascii="Arial" w:eastAsia="Arial" w:hAnsi="Arial" w:cs="Arial"/>
                <w:sz w:val="20"/>
              </w:rPr>
              <w:t xml:space="preserve">Consider patient referral to dermatologist. </w:t>
            </w:r>
          </w:p>
          <w:p w14:paraId="6E78377C" w14:textId="77777777" w:rsidR="000B3C5C" w:rsidRDefault="00ED192D">
            <w:pPr>
              <w:spacing w:after="58" w:line="241" w:lineRule="auto"/>
              <w:ind w:left="965" w:hanging="485"/>
            </w:pPr>
            <w:r>
              <w:rPr>
                <w:rFonts w:ascii="Arial" w:eastAsia="Arial" w:hAnsi="Arial" w:cs="Arial"/>
                <w:sz w:val="20"/>
              </w:rPr>
              <w:t xml:space="preserve">Initiate treatment with topical corticosteroids. </w:t>
            </w:r>
          </w:p>
          <w:p w14:paraId="14F57461" w14:textId="77777777" w:rsidR="000B3C5C" w:rsidRDefault="00ED192D">
            <w:pPr>
              <w:spacing w:after="0" w:line="259" w:lineRule="auto"/>
              <w:ind w:left="103" w:hanging="17"/>
            </w:pPr>
            <w:r>
              <w:rPr>
                <w:rFonts w:ascii="Arial" w:eastAsia="Arial" w:hAnsi="Arial" w:cs="Arial"/>
                <w:sz w:val="20"/>
              </w:rPr>
              <w:t xml:space="preserve">Consider treatment with higher-potency topical corticosteroids if event does not improve. </w:t>
            </w:r>
          </w:p>
        </w:tc>
      </w:tr>
      <w:tr w:rsidR="000B3C5C" w14:paraId="7A0E8655" w14:textId="77777777">
        <w:trPr>
          <w:trHeight w:val="2146"/>
        </w:trPr>
        <w:tc>
          <w:tcPr>
            <w:tcW w:w="1777" w:type="dxa"/>
            <w:tcBorders>
              <w:top w:val="nil"/>
              <w:left w:val="nil"/>
              <w:bottom w:val="single" w:sz="4" w:space="0" w:color="000000"/>
              <w:right w:val="nil"/>
            </w:tcBorders>
          </w:tcPr>
          <w:p w14:paraId="37930FAB" w14:textId="77777777" w:rsidR="000B3C5C" w:rsidRDefault="00ED192D">
            <w:pPr>
              <w:spacing w:after="0" w:line="259" w:lineRule="auto"/>
              <w:ind w:left="230" w:firstLine="60"/>
            </w:pPr>
            <w:r>
              <w:rPr>
                <w:rFonts w:ascii="Arial" w:eastAsia="Arial" w:hAnsi="Arial" w:cs="Arial"/>
                <w:sz w:val="20"/>
              </w:rPr>
              <w:t xml:space="preserve">Dermatologic event, Grade 3  </w:t>
            </w:r>
          </w:p>
        </w:tc>
        <w:tc>
          <w:tcPr>
            <w:tcW w:w="2225" w:type="dxa"/>
            <w:tcBorders>
              <w:top w:val="nil"/>
              <w:left w:val="nil"/>
              <w:bottom w:val="single" w:sz="4" w:space="0" w:color="000000"/>
              <w:right w:val="nil"/>
            </w:tcBorders>
          </w:tcPr>
          <w:p w14:paraId="1FCCEB50" w14:textId="77777777" w:rsidR="000B3C5C" w:rsidRDefault="00ED192D">
            <w:pPr>
              <w:spacing w:after="0" w:line="259" w:lineRule="auto"/>
              <w:ind w:left="214" w:firstLine="0"/>
            </w:pPr>
            <w:r>
              <w:rPr>
                <w:rFonts w:ascii="Arial" w:eastAsia="Arial" w:hAnsi="Arial" w:cs="Arial"/>
                <w:sz w:val="20"/>
              </w:rPr>
              <w:t xml:space="preserve">No change in dose </w:t>
            </w:r>
          </w:p>
        </w:tc>
        <w:tc>
          <w:tcPr>
            <w:tcW w:w="2528" w:type="dxa"/>
            <w:tcBorders>
              <w:top w:val="nil"/>
              <w:left w:val="nil"/>
              <w:bottom w:val="single" w:sz="4" w:space="0" w:color="000000"/>
              <w:right w:val="nil"/>
            </w:tcBorders>
          </w:tcPr>
          <w:p w14:paraId="136C2DE3" w14:textId="77777777" w:rsidR="000B3C5C" w:rsidRDefault="00ED192D">
            <w:pPr>
              <w:spacing w:after="0" w:line="259" w:lineRule="auto"/>
              <w:ind w:left="103" w:firstLine="0"/>
            </w:pPr>
            <w:r>
              <w:rPr>
                <w:rFonts w:ascii="Arial" w:eastAsia="Arial" w:hAnsi="Arial" w:cs="Arial"/>
                <w:sz w:val="20"/>
              </w:rPr>
              <w:t>Omit/withold atezolizumab</w:t>
            </w:r>
            <w:r>
              <w:rPr>
                <w:rFonts w:ascii="Arial" w:eastAsia="Arial" w:hAnsi="Arial" w:cs="Arial"/>
                <w:i/>
                <w:color w:val="0000FF"/>
                <w:sz w:val="28"/>
                <w:vertAlign w:val="superscript"/>
              </w:rPr>
              <w:t>a</w:t>
            </w:r>
            <w:r>
              <w:rPr>
                <w:rFonts w:ascii="Arial" w:eastAsia="Arial" w:hAnsi="Arial" w:cs="Arial"/>
                <w:sz w:val="20"/>
              </w:rPr>
              <w:t xml:space="preserve"> </w:t>
            </w:r>
          </w:p>
          <w:p w14:paraId="38291E6E" w14:textId="77777777" w:rsidR="000B3C5C" w:rsidRDefault="00ED192D">
            <w:pPr>
              <w:spacing w:after="15" w:line="223" w:lineRule="auto"/>
              <w:ind w:left="26" w:hanging="26"/>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1C8127F2" w14:textId="77777777" w:rsidR="000B3C5C" w:rsidRDefault="00ED192D">
            <w:pPr>
              <w:spacing w:after="0" w:line="259" w:lineRule="auto"/>
              <w:ind w:left="118" w:firstLine="0"/>
            </w:pPr>
            <w:r>
              <w:rPr>
                <w:rFonts w:ascii="Arial" w:eastAsia="Arial" w:hAnsi="Arial" w:cs="Arial"/>
                <w:sz w:val="20"/>
              </w:rPr>
              <w:t xml:space="preserve">If event does not resolve to </w:t>
            </w:r>
          </w:p>
          <w:p w14:paraId="21E63B6B" w14:textId="77777777" w:rsidR="000B3C5C" w:rsidRDefault="00ED192D">
            <w:pPr>
              <w:spacing w:after="2" w:line="239" w:lineRule="auto"/>
              <w:ind w:left="163" w:firstLine="106"/>
            </w:pPr>
            <w:r>
              <w:rPr>
                <w:rFonts w:ascii="Arial" w:eastAsia="Arial" w:hAnsi="Arial" w:cs="Arial"/>
                <w:sz w:val="20"/>
              </w:rPr>
              <w:t xml:space="preserve">Grade 1 or better while withholding atezolizumab, </w:t>
            </w:r>
          </w:p>
          <w:p w14:paraId="18823CCF" w14:textId="77777777" w:rsidR="000B3C5C" w:rsidRDefault="00ED192D">
            <w:pPr>
              <w:spacing w:after="0" w:line="259" w:lineRule="auto"/>
              <w:ind w:left="620" w:hanging="406"/>
            </w:pPr>
            <w:r>
              <w:rPr>
                <w:rFonts w:ascii="Arial" w:eastAsia="Arial" w:hAnsi="Arial" w:cs="Arial"/>
                <w:sz w:val="20"/>
              </w:rPr>
              <w:t xml:space="preserve">permanently discontinue atezolizumab </w:t>
            </w:r>
          </w:p>
        </w:tc>
        <w:tc>
          <w:tcPr>
            <w:tcW w:w="3156" w:type="dxa"/>
            <w:tcBorders>
              <w:top w:val="nil"/>
              <w:left w:val="nil"/>
              <w:bottom w:val="single" w:sz="4" w:space="0" w:color="000000"/>
              <w:right w:val="nil"/>
            </w:tcBorders>
          </w:tcPr>
          <w:p w14:paraId="576388DF" w14:textId="77777777" w:rsidR="000B3C5C" w:rsidRDefault="00ED192D">
            <w:pPr>
              <w:spacing w:after="43" w:line="259" w:lineRule="auto"/>
              <w:ind w:left="0" w:right="49" w:firstLine="0"/>
              <w:jc w:val="center"/>
            </w:pPr>
            <w:r>
              <w:rPr>
                <w:rFonts w:ascii="Arial" w:eastAsia="Arial" w:hAnsi="Arial" w:cs="Arial"/>
                <w:sz w:val="20"/>
              </w:rPr>
              <w:t xml:space="preserve">Refer patient to dermatologist. </w:t>
            </w:r>
          </w:p>
          <w:p w14:paraId="2086AB48" w14:textId="77777777" w:rsidR="000B3C5C" w:rsidRDefault="00ED192D">
            <w:pPr>
              <w:spacing w:after="110" w:line="228" w:lineRule="auto"/>
              <w:ind w:left="0" w:firstLine="173"/>
            </w:pPr>
            <w:r>
              <w:rPr>
                <w:rFonts w:ascii="Arial" w:eastAsia="Arial" w:hAnsi="Arial" w:cs="Arial"/>
                <w:sz w:val="20"/>
              </w:rPr>
              <w:t>Initiate treatment with 10 mg/day oral prednisone or equivalent, increasing dose to 1</w:t>
            </w:r>
            <w:r>
              <w:rPr>
                <w:rFonts w:ascii="Segoe UI Symbol" w:eastAsia="Segoe UI Symbol" w:hAnsi="Segoe UI Symbol" w:cs="Segoe UI Symbol"/>
                <w:sz w:val="20"/>
              </w:rPr>
              <w:t>−</w:t>
            </w:r>
            <w:r>
              <w:rPr>
                <w:rFonts w:ascii="Arial" w:eastAsia="Arial" w:hAnsi="Arial" w:cs="Arial"/>
                <w:sz w:val="20"/>
              </w:rPr>
              <w:t>2 mg/kg/day if event does not improve within 48</w:t>
            </w:r>
            <w:r>
              <w:rPr>
                <w:rFonts w:ascii="Segoe UI Symbol" w:eastAsia="Segoe UI Symbol" w:hAnsi="Segoe UI Symbol" w:cs="Segoe UI Symbol"/>
                <w:sz w:val="20"/>
              </w:rPr>
              <w:t>−</w:t>
            </w:r>
            <w:r>
              <w:rPr>
                <w:rFonts w:ascii="Arial" w:eastAsia="Arial" w:hAnsi="Arial" w:cs="Arial"/>
                <w:sz w:val="20"/>
              </w:rPr>
              <w:t xml:space="preserve">72 hours. </w:t>
            </w:r>
          </w:p>
          <w:p w14:paraId="69659B95" w14:textId="77777777" w:rsidR="000B3C5C" w:rsidRDefault="00ED192D">
            <w:pPr>
              <w:spacing w:after="0" w:line="259" w:lineRule="auto"/>
              <w:ind w:left="0" w:right="48"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78BEA80A" w14:textId="77777777">
        <w:trPr>
          <w:trHeight w:val="1056"/>
        </w:trPr>
        <w:tc>
          <w:tcPr>
            <w:tcW w:w="1777" w:type="dxa"/>
            <w:tcBorders>
              <w:top w:val="single" w:sz="4" w:space="0" w:color="000000"/>
              <w:left w:val="nil"/>
              <w:bottom w:val="single" w:sz="12" w:space="0" w:color="000000"/>
              <w:right w:val="nil"/>
            </w:tcBorders>
          </w:tcPr>
          <w:p w14:paraId="1A44579A" w14:textId="77777777" w:rsidR="000B3C5C" w:rsidRDefault="00ED192D">
            <w:pPr>
              <w:spacing w:after="0" w:line="259" w:lineRule="auto"/>
              <w:ind w:left="230" w:firstLine="60"/>
            </w:pPr>
            <w:r>
              <w:rPr>
                <w:rFonts w:ascii="Arial" w:eastAsia="Arial" w:hAnsi="Arial" w:cs="Arial"/>
                <w:sz w:val="20"/>
              </w:rPr>
              <w:t xml:space="preserve">Dermatologic event, Grade 4 </w:t>
            </w:r>
          </w:p>
        </w:tc>
        <w:tc>
          <w:tcPr>
            <w:tcW w:w="2225" w:type="dxa"/>
            <w:tcBorders>
              <w:top w:val="single" w:sz="4" w:space="0" w:color="000000"/>
              <w:left w:val="nil"/>
              <w:bottom w:val="single" w:sz="12" w:space="0" w:color="000000"/>
              <w:right w:val="nil"/>
            </w:tcBorders>
          </w:tcPr>
          <w:p w14:paraId="4AE17800" w14:textId="77777777" w:rsidR="000B3C5C" w:rsidRDefault="00ED192D">
            <w:pPr>
              <w:spacing w:after="2" w:line="239" w:lineRule="auto"/>
              <w:ind w:left="185" w:right="9" w:hanging="185"/>
            </w:pPr>
            <w:r>
              <w:rPr>
                <w:rFonts w:ascii="Arial" w:eastAsia="Arial" w:hAnsi="Arial" w:cs="Arial"/>
                <w:sz w:val="20"/>
              </w:rPr>
              <w:t xml:space="preserve">Delay or omit isatuximab until ≤Grade 3 for a </w:t>
            </w:r>
          </w:p>
          <w:p w14:paraId="46C575A9" w14:textId="77777777" w:rsidR="000B3C5C" w:rsidRDefault="00ED192D">
            <w:pPr>
              <w:spacing w:after="0" w:line="259" w:lineRule="auto"/>
              <w:ind w:left="127" w:firstLine="0"/>
            </w:pPr>
            <w:r>
              <w:rPr>
                <w:rFonts w:ascii="Arial" w:eastAsia="Arial" w:hAnsi="Arial" w:cs="Arial"/>
                <w:sz w:val="20"/>
              </w:rPr>
              <w:t xml:space="preserve">maximum </w:t>
            </w:r>
            <w:r>
              <w:rPr>
                <w:rFonts w:ascii="Arial" w:eastAsia="Arial" w:hAnsi="Arial" w:cs="Arial"/>
                <w:sz w:val="20"/>
              </w:rPr>
              <w:t xml:space="preserve">of 2 weeks </w:t>
            </w:r>
          </w:p>
          <w:p w14:paraId="203FB02F" w14:textId="77777777" w:rsidR="000B3C5C" w:rsidRDefault="00ED192D">
            <w:pPr>
              <w:spacing w:after="0" w:line="259" w:lineRule="auto"/>
              <w:ind w:left="209"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528" w:type="dxa"/>
            <w:tcBorders>
              <w:top w:val="single" w:sz="4" w:space="0" w:color="000000"/>
              <w:left w:val="nil"/>
              <w:bottom w:val="single" w:sz="12" w:space="0" w:color="000000"/>
              <w:right w:val="nil"/>
            </w:tcBorders>
          </w:tcPr>
          <w:p w14:paraId="4656C21B" w14:textId="77777777" w:rsidR="000B3C5C" w:rsidRDefault="00ED192D">
            <w:pPr>
              <w:spacing w:after="0" w:line="259" w:lineRule="auto"/>
              <w:ind w:left="168" w:firstLine="0"/>
            </w:pPr>
            <w:r>
              <w:rPr>
                <w:rFonts w:ascii="Arial" w:eastAsia="Arial" w:hAnsi="Arial" w:cs="Arial"/>
                <w:sz w:val="20"/>
              </w:rPr>
              <w:t xml:space="preserve">Discontinue atezolizumab </w:t>
            </w:r>
          </w:p>
        </w:tc>
        <w:tc>
          <w:tcPr>
            <w:tcW w:w="3156" w:type="dxa"/>
            <w:tcBorders>
              <w:top w:val="single" w:sz="4" w:space="0" w:color="000000"/>
              <w:left w:val="nil"/>
              <w:bottom w:val="single" w:sz="12" w:space="0" w:color="000000"/>
              <w:right w:val="nil"/>
            </w:tcBorders>
          </w:tcPr>
          <w:p w14:paraId="09616725" w14:textId="77777777" w:rsidR="000B3C5C" w:rsidRDefault="00ED192D">
            <w:pPr>
              <w:spacing w:after="0" w:line="259" w:lineRule="auto"/>
              <w:ind w:left="0" w:right="48"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r>
    </w:tbl>
    <w:p w14:paraId="45419147" w14:textId="77777777" w:rsidR="000B3C5C" w:rsidRDefault="00ED192D">
      <w:pPr>
        <w:numPr>
          <w:ilvl w:val="0"/>
          <w:numId w:val="83"/>
        </w:numPr>
        <w:spacing w:after="12"/>
        <w:ind w:right="2" w:hanging="245"/>
      </w:pPr>
      <w:r>
        <w:rPr>
          <w:rFonts w:ascii="Arial" w:eastAsia="Arial" w:hAnsi="Arial" w:cs="Arial"/>
          <w:sz w:val="18"/>
        </w:rPr>
        <w:t xml:space="preserve">Atezolizumab may be withheld for a longer period of time (ie, </w:t>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12 weeks after event onset) to allow for corticosteroids (if initiated) to be reduced to </w:t>
      </w:r>
      <w:r>
        <w:rPr>
          <w:rFonts w:ascii="Segoe UI Symbol" w:eastAsia="Segoe UI Symbol" w:hAnsi="Segoe UI Symbol" w:cs="Segoe UI Symbol"/>
          <w:sz w:val="18"/>
        </w:rPr>
        <w:t></w:t>
      </w:r>
      <w:r>
        <w:rPr>
          <w:rFonts w:ascii="Arial" w:eastAsia="Arial" w:hAnsi="Arial" w:cs="Arial"/>
          <w:sz w:val="18"/>
        </w:rPr>
        <w:t xml:space="preserve"> 10 mg/day oral prednisone or equivalent.  The acceptable length of the extended period of time must be agreed upon by the investigator and the Medical Monitor. </w:t>
      </w:r>
    </w:p>
    <w:p w14:paraId="7F6F1E31" w14:textId="77777777" w:rsidR="000B3C5C" w:rsidRDefault="00ED192D">
      <w:pPr>
        <w:numPr>
          <w:ilvl w:val="0"/>
          <w:numId w:val="83"/>
        </w:numPr>
        <w:spacing w:after="12"/>
        <w:ind w:right="2" w:hanging="245"/>
      </w:pPr>
      <w:r>
        <w:rPr>
          <w:rFonts w:ascii="Arial" w:eastAsia="Arial" w:hAnsi="Arial" w:cs="Arial"/>
          <w:sz w:val="18"/>
        </w:rPr>
        <w:t xml:space="preserve">If corticosteroids have been initiated, they must be tapered over </w:t>
      </w:r>
      <w:r>
        <w:rPr>
          <w:rFonts w:ascii="Segoe UI Symbol" w:eastAsia="Segoe UI Symbol" w:hAnsi="Segoe UI Symbol" w:cs="Segoe UI Symbol"/>
          <w:sz w:val="18"/>
        </w:rPr>
        <w:t></w:t>
      </w:r>
      <w:r>
        <w:rPr>
          <w:rFonts w:ascii="Arial" w:eastAsia="Arial" w:hAnsi="Arial" w:cs="Arial"/>
          <w:sz w:val="18"/>
        </w:rPr>
        <w:t xml:space="preserve"> 1 month to </w:t>
      </w:r>
      <w:r>
        <w:rPr>
          <w:rFonts w:ascii="Segoe UI Symbol" w:eastAsia="Segoe UI Symbol" w:hAnsi="Segoe UI Symbol" w:cs="Segoe UI Symbol"/>
          <w:sz w:val="18"/>
        </w:rPr>
        <w:t></w:t>
      </w:r>
      <w:r>
        <w:rPr>
          <w:rFonts w:ascii="Arial" w:eastAsia="Arial" w:hAnsi="Arial" w:cs="Arial"/>
          <w:sz w:val="18"/>
        </w:rPr>
        <w:t xml:space="preserve"> 10 mg/day oral prednisone or equivalent before atezolizumab can be resumed. </w:t>
      </w:r>
    </w:p>
    <w:p w14:paraId="64E62FFD" w14:textId="77777777" w:rsidR="000B3C5C" w:rsidRDefault="00ED192D">
      <w:pPr>
        <w:numPr>
          <w:ilvl w:val="0"/>
          <w:numId w:val="83"/>
        </w:numPr>
        <w:spacing w:after="12"/>
        <w:ind w:right="2" w:hanging="245"/>
      </w:pP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w:t>
      </w:r>
    </w:p>
    <w:p w14:paraId="6DCBF637" w14:textId="77777777" w:rsidR="000B3C5C" w:rsidRDefault="00ED192D">
      <w:pPr>
        <w:pStyle w:val="Heading3"/>
        <w:spacing w:after="231"/>
        <w:ind w:left="-5" w:right="51"/>
      </w:pPr>
      <w:r>
        <w:rPr>
          <w:rFonts w:ascii="Times New Roman" w:eastAsia="Times New Roman" w:hAnsi="Times New Roman" w:cs="Times New Roman"/>
          <w:sz w:val="24"/>
        </w:rPr>
        <w:t xml:space="preserve">Neurologic Disorders </w:t>
      </w:r>
    </w:p>
    <w:p w14:paraId="44B19F1B" w14:textId="77777777" w:rsidR="000B3C5C" w:rsidRDefault="00ED192D">
      <w:pPr>
        <w:spacing w:after="194"/>
        <w:ind w:left="-3" w:right="14"/>
      </w:pPr>
      <w:r>
        <w:t xml:space="preserve">Patients may present with signs and symptoms of sensory and/or motor neuropathy. Diagnostic work-up is essential for an accurate characterization to differentiate between alternative etiologies. Management guidelines for neurologic disorders are provided in </w:t>
      </w:r>
      <w:r>
        <w:rPr>
          <w:color w:val="0000FF"/>
        </w:rPr>
        <w:t>Table 26</w:t>
      </w:r>
      <w:r>
        <w:t xml:space="preserve">. </w:t>
      </w:r>
    </w:p>
    <w:p w14:paraId="6D31A3B3" w14:textId="77777777" w:rsidR="000B3C5C" w:rsidRDefault="00ED192D">
      <w:pPr>
        <w:spacing w:after="4" w:line="250" w:lineRule="auto"/>
        <w:ind w:left="15" w:right="46"/>
        <w:jc w:val="center"/>
      </w:pPr>
      <w:r>
        <w:rPr>
          <w:rFonts w:ascii="Arial" w:eastAsia="Arial" w:hAnsi="Arial" w:cs="Arial"/>
          <w:b/>
          <w:sz w:val="20"/>
        </w:rPr>
        <w:t xml:space="preserve">Table 26 - Management Guidelines for Neurologic Disorders  </w:t>
      </w:r>
    </w:p>
    <w:tbl>
      <w:tblPr>
        <w:tblStyle w:val="TableGrid"/>
        <w:tblW w:w="9686" w:type="dxa"/>
        <w:tblInd w:w="-108" w:type="dxa"/>
        <w:tblCellMar>
          <w:top w:w="23" w:type="dxa"/>
          <w:left w:w="0" w:type="dxa"/>
          <w:bottom w:w="6" w:type="dxa"/>
          <w:right w:w="74" w:type="dxa"/>
        </w:tblCellMar>
        <w:tblLook w:val="04A0" w:firstRow="1" w:lastRow="0" w:firstColumn="1" w:lastColumn="0" w:noHBand="0" w:noVBand="1"/>
      </w:tblPr>
      <w:tblGrid>
        <w:gridCol w:w="1695"/>
        <w:gridCol w:w="2422"/>
        <w:gridCol w:w="2861"/>
        <w:gridCol w:w="2708"/>
      </w:tblGrid>
      <w:tr w:rsidR="000B3C5C" w14:paraId="08A5BEDD" w14:textId="77777777">
        <w:trPr>
          <w:trHeight w:val="470"/>
        </w:trPr>
        <w:tc>
          <w:tcPr>
            <w:tcW w:w="1695" w:type="dxa"/>
            <w:tcBorders>
              <w:top w:val="single" w:sz="4" w:space="0" w:color="000000"/>
              <w:left w:val="nil"/>
              <w:bottom w:val="single" w:sz="4" w:space="0" w:color="000000"/>
              <w:right w:val="nil"/>
            </w:tcBorders>
            <w:vAlign w:val="bottom"/>
          </w:tcPr>
          <w:p w14:paraId="24620284" w14:textId="77777777" w:rsidR="000B3C5C" w:rsidRDefault="00ED192D">
            <w:pPr>
              <w:spacing w:after="0" w:line="259" w:lineRule="auto"/>
              <w:ind w:left="0" w:right="74" w:firstLine="0"/>
              <w:jc w:val="center"/>
            </w:pPr>
            <w:r>
              <w:rPr>
                <w:rFonts w:ascii="Arial" w:eastAsia="Arial" w:hAnsi="Arial" w:cs="Arial"/>
                <w:b/>
                <w:sz w:val="20"/>
              </w:rPr>
              <w:t xml:space="preserve">Event </w:t>
            </w:r>
          </w:p>
        </w:tc>
        <w:tc>
          <w:tcPr>
            <w:tcW w:w="2422" w:type="dxa"/>
            <w:tcBorders>
              <w:top w:val="single" w:sz="4" w:space="0" w:color="000000"/>
              <w:left w:val="nil"/>
              <w:bottom w:val="single" w:sz="4" w:space="0" w:color="000000"/>
              <w:right w:val="nil"/>
            </w:tcBorders>
          </w:tcPr>
          <w:p w14:paraId="5F07386D" w14:textId="77777777" w:rsidR="000B3C5C" w:rsidRDefault="00ED192D">
            <w:pPr>
              <w:spacing w:after="0" w:line="259" w:lineRule="auto"/>
              <w:ind w:left="454" w:firstLine="94"/>
            </w:pPr>
            <w:r>
              <w:rPr>
                <w:rFonts w:ascii="Arial" w:eastAsia="Arial" w:hAnsi="Arial" w:cs="Arial"/>
                <w:b/>
                <w:sz w:val="20"/>
              </w:rPr>
              <w:t xml:space="preserve">Isatuximab management </w:t>
            </w:r>
          </w:p>
        </w:tc>
        <w:tc>
          <w:tcPr>
            <w:tcW w:w="2861" w:type="dxa"/>
            <w:tcBorders>
              <w:top w:val="single" w:sz="4" w:space="0" w:color="000000"/>
              <w:left w:val="nil"/>
              <w:bottom w:val="single" w:sz="4" w:space="0" w:color="000000"/>
              <w:right w:val="nil"/>
            </w:tcBorders>
          </w:tcPr>
          <w:p w14:paraId="330C8976" w14:textId="77777777" w:rsidR="000B3C5C" w:rsidRDefault="00ED192D">
            <w:pPr>
              <w:spacing w:after="0" w:line="259" w:lineRule="auto"/>
              <w:ind w:left="14" w:firstLine="0"/>
            </w:pPr>
            <w:r>
              <w:rPr>
                <w:rFonts w:ascii="Arial" w:eastAsia="Arial" w:hAnsi="Arial" w:cs="Arial"/>
                <w:b/>
                <w:sz w:val="20"/>
              </w:rPr>
              <w:t xml:space="preserve">Atezolizumab management </w:t>
            </w:r>
          </w:p>
        </w:tc>
        <w:tc>
          <w:tcPr>
            <w:tcW w:w="2708" w:type="dxa"/>
            <w:tcBorders>
              <w:top w:val="single" w:sz="4" w:space="0" w:color="000000"/>
              <w:left w:val="nil"/>
              <w:bottom w:val="single" w:sz="4" w:space="0" w:color="000000"/>
              <w:right w:val="nil"/>
            </w:tcBorders>
            <w:vAlign w:val="bottom"/>
          </w:tcPr>
          <w:p w14:paraId="030241DF" w14:textId="77777777" w:rsidR="000B3C5C" w:rsidRDefault="00ED192D">
            <w:pPr>
              <w:spacing w:after="0" w:line="259" w:lineRule="auto"/>
              <w:ind w:left="0" w:right="45" w:firstLine="0"/>
              <w:jc w:val="center"/>
            </w:pPr>
            <w:r>
              <w:rPr>
                <w:rFonts w:ascii="Arial" w:eastAsia="Arial" w:hAnsi="Arial" w:cs="Arial"/>
                <w:b/>
                <w:sz w:val="20"/>
              </w:rPr>
              <w:t xml:space="preserve">Action and guidance </w:t>
            </w:r>
          </w:p>
        </w:tc>
      </w:tr>
      <w:tr w:rsidR="000B3C5C" w14:paraId="73C31B8E" w14:textId="77777777">
        <w:trPr>
          <w:trHeight w:val="710"/>
        </w:trPr>
        <w:tc>
          <w:tcPr>
            <w:tcW w:w="1695" w:type="dxa"/>
            <w:tcBorders>
              <w:top w:val="single" w:sz="4" w:space="0" w:color="000000"/>
              <w:left w:val="nil"/>
              <w:bottom w:val="nil"/>
              <w:right w:val="nil"/>
            </w:tcBorders>
          </w:tcPr>
          <w:p w14:paraId="5997D643" w14:textId="77777777" w:rsidR="000B3C5C" w:rsidRDefault="00ED192D">
            <w:pPr>
              <w:spacing w:after="0" w:line="241" w:lineRule="auto"/>
              <w:ind w:left="341" w:hanging="142"/>
            </w:pPr>
            <w:r>
              <w:rPr>
                <w:rFonts w:ascii="Arial" w:eastAsia="Arial" w:hAnsi="Arial" w:cs="Arial"/>
                <w:sz w:val="20"/>
              </w:rPr>
              <w:t xml:space="preserve">Immune-related neuropathy, </w:t>
            </w:r>
          </w:p>
          <w:p w14:paraId="3103BF18" w14:textId="77777777" w:rsidR="000B3C5C" w:rsidRDefault="00ED192D">
            <w:pPr>
              <w:spacing w:after="0" w:line="259" w:lineRule="auto"/>
              <w:ind w:left="0" w:right="74" w:firstLine="0"/>
              <w:jc w:val="center"/>
            </w:pPr>
            <w:r>
              <w:rPr>
                <w:rFonts w:ascii="Arial" w:eastAsia="Arial" w:hAnsi="Arial" w:cs="Arial"/>
                <w:sz w:val="20"/>
              </w:rPr>
              <w:t xml:space="preserve">Grade 1 </w:t>
            </w:r>
          </w:p>
        </w:tc>
        <w:tc>
          <w:tcPr>
            <w:tcW w:w="2422" w:type="dxa"/>
            <w:tcBorders>
              <w:top w:val="single" w:sz="4" w:space="0" w:color="000000"/>
              <w:left w:val="nil"/>
              <w:bottom w:val="nil"/>
              <w:right w:val="nil"/>
            </w:tcBorders>
          </w:tcPr>
          <w:p w14:paraId="77C6C273" w14:textId="77777777" w:rsidR="000B3C5C" w:rsidRDefault="00ED192D">
            <w:pPr>
              <w:spacing w:after="0" w:line="259" w:lineRule="auto"/>
              <w:ind w:left="386" w:firstLine="0"/>
            </w:pPr>
            <w:r>
              <w:rPr>
                <w:rFonts w:ascii="Arial" w:eastAsia="Arial" w:hAnsi="Arial" w:cs="Arial"/>
                <w:sz w:val="20"/>
              </w:rPr>
              <w:t xml:space="preserve">No change in dose </w:t>
            </w:r>
          </w:p>
        </w:tc>
        <w:tc>
          <w:tcPr>
            <w:tcW w:w="2861" w:type="dxa"/>
            <w:tcBorders>
              <w:top w:val="single" w:sz="4" w:space="0" w:color="000000"/>
              <w:left w:val="nil"/>
              <w:bottom w:val="nil"/>
              <w:right w:val="nil"/>
            </w:tcBorders>
          </w:tcPr>
          <w:p w14:paraId="1F1EA19A" w14:textId="77777777" w:rsidR="000B3C5C" w:rsidRDefault="00ED192D">
            <w:pPr>
              <w:spacing w:after="0" w:line="259" w:lineRule="auto"/>
              <w:ind w:left="619" w:firstLine="0"/>
            </w:pPr>
            <w:r>
              <w:rPr>
                <w:rFonts w:ascii="Arial" w:eastAsia="Arial" w:hAnsi="Arial" w:cs="Arial"/>
                <w:sz w:val="20"/>
              </w:rPr>
              <w:t xml:space="preserve">No change in dose </w:t>
            </w:r>
          </w:p>
        </w:tc>
        <w:tc>
          <w:tcPr>
            <w:tcW w:w="2708" w:type="dxa"/>
            <w:tcBorders>
              <w:top w:val="single" w:sz="4" w:space="0" w:color="000000"/>
              <w:left w:val="nil"/>
              <w:bottom w:val="nil"/>
              <w:right w:val="nil"/>
            </w:tcBorders>
          </w:tcPr>
          <w:p w14:paraId="752A531B" w14:textId="77777777" w:rsidR="000B3C5C" w:rsidRDefault="00ED192D">
            <w:pPr>
              <w:spacing w:after="0" w:line="259" w:lineRule="auto"/>
              <w:ind w:left="0" w:right="47" w:firstLine="0"/>
              <w:jc w:val="center"/>
            </w:pPr>
            <w:r>
              <w:rPr>
                <w:rFonts w:ascii="Arial" w:eastAsia="Arial" w:hAnsi="Arial" w:cs="Arial"/>
                <w:sz w:val="20"/>
              </w:rPr>
              <w:t xml:space="preserve">Investigate etiology </w:t>
            </w:r>
          </w:p>
        </w:tc>
      </w:tr>
      <w:tr w:rsidR="000B3C5C" w14:paraId="05C65864" w14:textId="77777777">
        <w:trPr>
          <w:trHeight w:val="1689"/>
        </w:trPr>
        <w:tc>
          <w:tcPr>
            <w:tcW w:w="1695" w:type="dxa"/>
            <w:tcBorders>
              <w:top w:val="nil"/>
              <w:left w:val="nil"/>
              <w:bottom w:val="nil"/>
              <w:right w:val="nil"/>
            </w:tcBorders>
          </w:tcPr>
          <w:p w14:paraId="1F05143E" w14:textId="77777777" w:rsidR="000B3C5C" w:rsidRDefault="00ED192D">
            <w:pPr>
              <w:spacing w:after="0" w:line="242" w:lineRule="auto"/>
              <w:ind w:left="341" w:hanging="142"/>
            </w:pPr>
            <w:r>
              <w:rPr>
                <w:rFonts w:ascii="Arial" w:eastAsia="Arial" w:hAnsi="Arial" w:cs="Arial"/>
                <w:sz w:val="20"/>
              </w:rPr>
              <w:t xml:space="preserve">Immune-related neuropathy, </w:t>
            </w:r>
          </w:p>
          <w:p w14:paraId="20E65987" w14:textId="77777777" w:rsidR="000B3C5C" w:rsidRDefault="00ED192D">
            <w:pPr>
              <w:spacing w:after="0" w:line="259" w:lineRule="auto"/>
              <w:ind w:left="0" w:right="74" w:firstLine="0"/>
              <w:jc w:val="center"/>
            </w:pPr>
            <w:r>
              <w:rPr>
                <w:rFonts w:ascii="Arial" w:eastAsia="Arial" w:hAnsi="Arial" w:cs="Arial"/>
                <w:sz w:val="20"/>
              </w:rPr>
              <w:t xml:space="preserve">Grade 2  </w:t>
            </w:r>
          </w:p>
        </w:tc>
        <w:tc>
          <w:tcPr>
            <w:tcW w:w="2422" w:type="dxa"/>
            <w:tcBorders>
              <w:top w:val="nil"/>
              <w:left w:val="nil"/>
              <w:bottom w:val="nil"/>
              <w:right w:val="nil"/>
            </w:tcBorders>
          </w:tcPr>
          <w:p w14:paraId="40056310" w14:textId="77777777" w:rsidR="000B3C5C" w:rsidRDefault="00ED192D">
            <w:pPr>
              <w:spacing w:after="0" w:line="259" w:lineRule="auto"/>
              <w:ind w:left="386" w:firstLine="0"/>
            </w:pPr>
            <w:r>
              <w:rPr>
                <w:rFonts w:ascii="Arial" w:eastAsia="Arial" w:hAnsi="Arial" w:cs="Arial"/>
                <w:sz w:val="20"/>
              </w:rPr>
              <w:t xml:space="preserve">No change in dose </w:t>
            </w:r>
          </w:p>
        </w:tc>
        <w:tc>
          <w:tcPr>
            <w:tcW w:w="2861" w:type="dxa"/>
            <w:tcBorders>
              <w:top w:val="nil"/>
              <w:left w:val="nil"/>
              <w:bottom w:val="nil"/>
              <w:right w:val="nil"/>
            </w:tcBorders>
          </w:tcPr>
          <w:p w14:paraId="29B6408B" w14:textId="77777777" w:rsidR="000B3C5C" w:rsidRDefault="00ED192D">
            <w:pPr>
              <w:spacing w:after="0" w:line="259" w:lineRule="auto"/>
              <w:ind w:left="19" w:firstLine="0"/>
            </w:pPr>
            <w:r>
              <w:rPr>
                <w:rFonts w:ascii="Arial" w:eastAsia="Arial" w:hAnsi="Arial" w:cs="Arial"/>
                <w:sz w:val="20"/>
              </w:rPr>
              <w:t>Omit/withhold dose until Grade ≤1</w:t>
            </w:r>
            <w:r>
              <w:rPr>
                <w:rFonts w:ascii="Arial" w:eastAsia="Arial" w:hAnsi="Arial" w:cs="Arial"/>
                <w:i/>
                <w:color w:val="0000FF"/>
                <w:sz w:val="28"/>
                <w:vertAlign w:val="superscript"/>
              </w:rPr>
              <w:t>a</w:t>
            </w:r>
            <w:r>
              <w:rPr>
                <w:rFonts w:ascii="Arial" w:eastAsia="Arial" w:hAnsi="Arial" w:cs="Arial"/>
                <w:sz w:val="20"/>
              </w:rPr>
              <w:t xml:space="preserve"> </w:t>
            </w:r>
          </w:p>
          <w:p w14:paraId="4FD6E545" w14:textId="77777777" w:rsidR="000B3C5C" w:rsidRDefault="00ED192D">
            <w:pPr>
              <w:spacing w:after="0" w:line="223" w:lineRule="auto"/>
              <w:ind w:left="228" w:hanging="26"/>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02265A91" w14:textId="77777777" w:rsidR="000B3C5C" w:rsidRDefault="00ED192D">
            <w:pPr>
              <w:spacing w:after="0" w:line="241" w:lineRule="auto"/>
              <w:ind w:left="358" w:hanging="358"/>
            </w:pPr>
            <w:r>
              <w:rPr>
                <w:rFonts w:ascii="Arial" w:eastAsia="Arial" w:hAnsi="Arial" w:cs="Arial"/>
                <w:sz w:val="20"/>
              </w:rPr>
              <w:t xml:space="preserve">If event does not resolve to Grade 1 or better while withholding </w:t>
            </w:r>
          </w:p>
          <w:p w14:paraId="146D1FA1" w14:textId="77777777" w:rsidR="000B3C5C" w:rsidRDefault="00ED192D">
            <w:pPr>
              <w:spacing w:after="0" w:line="259" w:lineRule="auto"/>
              <w:ind w:left="384" w:hanging="60"/>
            </w:pPr>
            <w:r>
              <w:rPr>
                <w:rFonts w:ascii="Arial" w:eastAsia="Arial" w:hAnsi="Arial" w:cs="Arial"/>
                <w:sz w:val="20"/>
              </w:rPr>
              <w:t xml:space="preserve">atezolizumab, permanently discontinue atezolizumab </w:t>
            </w:r>
          </w:p>
        </w:tc>
        <w:tc>
          <w:tcPr>
            <w:tcW w:w="2708" w:type="dxa"/>
            <w:tcBorders>
              <w:top w:val="nil"/>
              <w:left w:val="nil"/>
              <w:bottom w:val="nil"/>
              <w:right w:val="nil"/>
            </w:tcBorders>
          </w:tcPr>
          <w:p w14:paraId="39632AC0" w14:textId="77777777" w:rsidR="000B3C5C" w:rsidRDefault="00ED192D">
            <w:pPr>
              <w:spacing w:after="0" w:line="259" w:lineRule="auto"/>
              <w:ind w:left="0" w:right="44" w:firstLine="0"/>
              <w:jc w:val="center"/>
            </w:pPr>
            <w:r>
              <w:rPr>
                <w:rFonts w:ascii="Arial" w:eastAsia="Arial" w:hAnsi="Arial" w:cs="Arial"/>
                <w:sz w:val="20"/>
              </w:rPr>
              <w:t xml:space="preserve">Investigate etiology. </w:t>
            </w:r>
          </w:p>
          <w:p w14:paraId="2C6BC844" w14:textId="77777777" w:rsidR="000B3C5C" w:rsidRDefault="00ED192D">
            <w:pPr>
              <w:spacing w:after="72" w:line="239" w:lineRule="auto"/>
              <w:ind w:left="902" w:hanging="902"/>
            </w:pPr>
            <w:r>
              <w:rPr>
                <w:rFonts w:ascii="Arial" w:eastAsia="Arial" w:hAnsi="Arial" w:cs="Arial"/>
                <w:sz w:val="20"/>
              </w:rPr>
              <w:t xml:space="preserve">Initiate treatment as per institutional guidelines. </w:t>
            </w:r>
          </w:p>
          <w:p w14:paraId="3DEE9B3D" w14:textId="77777777" w:rsidR="000B3C5C" w:rsidRDefault="00ED192D">
            <w:pPr>
              <w:spacing w:after="0" w:line="259" w:lineRule="auto"/>
              <w:ind w:left="0" w:right="44"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r>
      <w:tr w:rsidR="000B3C5C" w14:paraId="172B55F1" w14:textId="77777777">
        <w:trPr>
          <w:trHeight w:val="730"/>
        </w:trPr>
        <w:tc>
          <w:tcPr>
            <w:tcW w:w="1695" w:type="dxa"/>
            <w:tcBorders>
              <w:top w:val="nil"/>
              <w:left w:val="nil"/>
              <w:bottom w:val="nil"/>
              <w:right w:val="nil"/>
            </w:tcBorders>
          </w:tcPr>
          <w:p w14:paraId="2539B704" w14:textId="77777777" w:rsidR="000B3C5C" w:rsidRDefault="00ED192D">
            <w:pPr>
              <w:spacing w:after="0" w:line="241" w:lineRule="auto"/>
              <w:ind w:left="341" w:hanging="142"/>
            </w:pPr>
            <w:r>
              <w:rPr>
                <w:rFonts w:ascii="Arial" w:eastAsia="Arial" w:hAnsi="Arial" w:cs="Arial"/>
                <w:sz w:val="20"/>
              </w:rPr>
              <w:t>Immune-</w:t>
            </w:r>
            <w:r>
              <w:rPr>
                <w:rFonts w:ascii="Arial" w:eastAsia="Arial" w:hAnsi="Arial" w:cs="Arial"/>
                <w:sz w:val="20"/>
              </w:rPr>
              <w:t xml:space="preserve">related neuropathy, </w:t>
            </w:r>
          </w:p>
          <w:p w14:paraId="322EE141" w14:textId="77777777" w:rsidR="000B3C5C" w:rsidRDefault="00ED192D">
            <w:pPr>
              <w:spacing w:after="0" w:line="259" w:lineRule="auto"/>
              <w:ind w:left="312" w:firstLine="0"/>
            </w:pPr>
            <w:r>
              <w:rPr>
                <w:rFonts w:ascii="Arial" w:eastAsia="Arial" w:hAnsi="Arial" w:cs="Arial"/>
                <w:sz w:val="20"/>
              </w:rPr>
              <w:t xml:space="preserve">Grade 3 or 4 </w:t>
            </w:r>
          </w:p>
        </w:tc>
        <w:tc>
          <w:tcPr>
            <w:tcW w:w="2422" w:type="dxa"/>
            <w:tcBorders>
              <w:top w:val="nil"/>
              <w:left w:val="nil"/>
              <w:bottom w:val="nil"/>
              <w:right w:val="nil"/>
            </w:tcBorders>
          </w:tcPr>
          <w:p w14:paraId="4B845B6C" w14:textId="77777777" w:rsidR="000B3C5C" w:rsidRDefault="00ED192D">
            <w:pPr>
              <w:spacing w:after="0" w:line="259" w:lineRule="auto"/>
              <w:ind w:left="0" w:firstLine="0"/>
            </w:pPr>
            <w:r>
              <w:rPr>
                <w:rFonts w:ascii="Arial" w:eastAsia="Arial" w:hAnsi="Arial" w:cs="Arial"/>
                <w:sz w:val="20"/>
              </w:rPr>
              <w:t xml:space="preserve">Delay or omit isatuximab until </w:t>
            </w:r>
          </w:p>
          <w:p w14:paraId="2FB40BC9" w14:textId="77777777" w:rsidR="000B3C5C" w:rsidRDefault="00ED192D">
            <w:pPr>
              <w:spacing w:after="0" w:line="259" w:lineRule="auto"/>
              <w:ind w:left="62" w:firstLine="0"/>
            </w:pPr>
            <w:r>
              <w:rPr>
                <w:rFonts w:ascii="Arial" w:eastAsia="Arial" w:hAnsi="Arial" w:cs="Arial"/>
                <w:sz w:val="20"/>
              </w:rPr>
              <w:t xml:space="preserve">≤Grade 2 for a maximum of </w:t>
            </w:r>
          </w:p>
          <w:p w14:paraId="2934F7C9" w14:textId="77777777" w:rsidR="000B3C5C" w:rsidRDefault="00ED192D">
            <w:pPr>
              <w:spacing w:after="0" w:line="259" w:lineRule="auto"/>
              <w:ind w:left="58" w:firstLine="0"/>
            </w:pPr>
            <w:r>
              <w:rPr>
                <w:rFonts w:ascii="Arial" w:eastAsia="Arial" w:hAnsi="Arial" w:cs="Arial"/>
                <w:sz w:val="20"/>
              </w:rPr>
              <w:t xml:space="preserve">2 weeks (see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861" w:type="dxa"/>
            <w:tcBorders>
              <w:top w:val="nil"/>
              <w:left w:val="nil"/>
              <w:bottom w:val="nil"/>
              <w:right w:val="nil"/>
            </w:tcBorders>
          </w:tcPr>
          <w:p w14:paraId="7012A4B8" w14:textId="77777777" w:rsidR="000B3C5C" w:rsidRDefault="00ED192D">
            <w:pPr>
              <w:spacing w:after="0" w:line="259" w:lineRule="auto"/>
              <w:ind w:left="370" w:firstLine="0"/>
            </w:pPr>
            <w:r>
              <w:rPr>
                <w:rFonts w:ascii="Arial" w:eastAsia="Arial" w:hAnsi="Arial" w:cs="Arial"/>
                <w:sz w:val="20"/>
              </w:rPr>
              <w:t xml:space="preserve">Discontinue atezolizumab </w:t>
            </w:r>
          </w:p>
        </w:tc>
        <w:tc>
          <w:tcPr>
            <w:tcW w:w="2708" w:type="dxa"/>
            <w:tcBorders>
              <w:top w:val="nil"/>
              <w:left w:val="nil"/>
              <w:bottom w:val="nil"/>
              <w:right w:val="nil"/>
            </w:tcBorders>
          </w:tcPr>
          <w:p w14:paraId="16462AB8" w14:textId="77777777" w:rsidR="000B3C5C" w:rsidRDefault="00ED192D">
            <w:pPr>
              <w:spacing w:after="0" w:line="259" w:lineRule="auto"/>
              <w:ind w:left="0" w:right="44"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1CE1A2B2" w14:textId="77777777" w:rsidR="000B3C5C" w:rsidRDefault="00ED192D">
            <w:pPr>
              <w:spacing w:after="0" w:line="259" w:lineRule="auto"/>
              <w:ind w:left="902" w:hanging="902"/>
            </w:pPr>
            <w:r>
              <w:rPr>
                <w:rFonts w:ascii="Arial" w:eastAsia="Arial" w:hAnsi="Arial" w:cs="Arial"/>
                <w:sz w:val="20"/>
              </w:rPr>
              <w:t xml:space="preserve">Initiate treatment as per institutional guidelines. </w:t>
            </w:r>
          </w:p>
        </w:tc>
      </w:tr>
      <w:tr w:rsidR="000B3C5C" w14:paraId="3ED46CA2" w14:textId="77777777">
        <w:trPr>
          <w:trHeight w:val="1660"/>
        </w:trPr>
        <w:tc>
          <w:tcPr>
            <w:tcW w:w="1695" w:type="dxa"/>
            <w:tcBorders>
              <w:top w:val="nil"/>
              <w:left w:val="nil"/>
              <w:bottom w:val="single" w:sz="12" w:space="0" w:color="000000"/>
              <w:right w:val="nil"/>
            </w:tcBorders>
          </w:tcPr>
          <w:p w14:paraId="748CB8C4" w14:textId="77777777" w:rsidR="000B3C5C" w:rsidRDefault="00ED192D">
            <w:pPr>
              <w:spacing w:after="0" w:line="241" w:lineRule="auto"/>
              <w:ind w:left="113" w:firstLine="0"/>
            </w:pPr>
            <w:r>
              <w:rPr>
                <w:rFonts w:ascii="Arial" w:eastAsia="Arial" w:hAnsi="Arial" w:cs="Arial"/>
                <w:sz w:val="20"/>
              </w:rPr>
              <w:t xml:space="preserve">Myasthenia gravis and Guillain-Barré </w:t>
            </w:r>
          </w:p>
          <w:p w14:paraId="55993C93" w14:textId="77777777" w:rsidR="000B3C5C" w:rsidRDefault="00ED192D">
            <w:pPr>
              <w:spacing w:after="0" w:line="259" w:lineRule="auto"/>
              <w:ind w:left="535" w:hanging="305"/>
            </w:pPr>
            <w:r>
              <w:rPr>
                <w:rFonts w:ascii="Arial" w:eastAsia="Arial" w:hAnsi="Arial" w:cs="Arial"/>
                <w:sz w:val="20"/>
              </w:rPr>
              <w:t xml:space="preserve">syndrome (any grade) </w:t>
            </w:r>
          </w:p>
        </w:tc>
        <w:tc>
          <w:tcPr>
            <w:tcW w:w="2422" w:type="dxa"/>
            <w:tcBorders>
              <w:top w:val="nil"/>
              <w:left w:val="nil"/>
              <w:bottom w:val="single" w:sz="12" w:space="0" w:color="000000"/>
              <w:right w:val="nil"/>
            </w:tcBorders>
          </w:tcPr>
          <w:p w14:paraId="72B5B987" w14:textId="77777777" w:rsidR="000B3C5C" w:rsidRDefault="00ED192D">
            <w:pPr>
              <w:spacing w:after="0" w:line="259" w:lineRule="auto"/>
              <w:ind w:left="226" w:firstLine="0"/>
            </w:pPr>
            <w:r>
              <w:rPr>
                <w:rFonts w:ascii="Arial" w:eastAsia="Arial" w:hAnsi="Arial" w:cs="Arial"/>
                <w:sz w:val="20"/>
              </w:rPr>
              <w:t xml:space="preserve">Discontinue isatuximab </w:t>
            </w:r>
          </w:p>
        </w:tc>
        <w:tc>
          <w:tcPr>
            <w:tcW w:w="2861" w:type="dxa"/>
            <w:tcBorders>
              <w:top w:val="nil"/>
              <w:left w:val="nil"/>
              <w:bottom w:val="single" w:sz="12" w:space="0" w:color="000000"/>
              <w:right w:val="nil"/>
            </w:tcBorders>
          </w:tcPr>
          <w:p w14:paraId="409B5FFC" w14:textId="77777777" w:rsidR="000B3C5C" w:rsidRDefault="00ED192D">
            <w:pPr>
              <w:spacing w:after="0" w:line="259" w:lineRule="auto"/>
              <w:ind w:left="370" w:firstLine="0"/>
            </w:pPr>
            <w:r>
              <w:rPr>
                <w:rFonts w:ascii="Arial" w:eastAsia="Arial" w:hAnsi="Arial" w:cs="Arial"/>
                <w:sz w:val="20"/>
              </w:rPr>
              <w:t xml:space="preserve">Discontinue atezolizumab </w:t>
            </w:r>
          </w:p>
        </w:tc>
        <w:tc>
          <w:tcPr>
            <w:tcW w:w="2708" w:type="dxa"/>
            <w:tcBorders>
              <w:top w:val="nil"/>
              <w:left w:val="nil"/>
              <w:bottom w:val="single" w:sz="12" w:space="0" w:color="000000"/>
              <w:right w:val="nil"/>
            </w:tcBorders>
          </w:tcPr>
          <w:p w14:paraId="23BE2EA0" w14:textId="77777777" w:rsidR="000B3C5C" w:rsidRDefault="00ED192D">
            <w:pPr>
              <w:spacing w:after="0" w:line="260" w:lineRule="auto"/>
              <w:ind w:left="288" w:firstLine="86"/>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Refer patient to neurologist. </w:t>
            </w:r>
          </w:p>
          <w:p w14:paraId="520F6F10" w14:textId="77777777" w:rsidR="000B3C5C" w:rsidRDefault="00ED192D">
            <w:pPr>
              <w:spacing w:after="0" w:line="241" w:lineRule="auto"/>
              <w:ind w:left="902" w:hanging="902"/>
            </w:pPr>
            <w:r>
              <w:rPr>
                <w:rFonts w:ascii="Arial" w:eastAsia="Arial" w:hAnsi="Arial" w:cs="Arial"/>
                <w:sz w:val="20"/>
              </w:rPr>
              <w:t xml:space="preserve">Initiate treatment as per institutional guidelines. </w:t>
            </w:r>
          </w:p>
          <w:p w14:paraId="3524A8D5" w14:textId="77777777" w:rsidR="000B3C5C" w:rsidRDefault="00ED192D">
            <w:pPr>
              <w:spacing w:after="0" w:line="259" w:lineRule="auto"/>
              <w:ind w:left="0" w:right="42" w:firstLine="0"/>
              <w:jc w:val="center"/>
            </w:pPr>
            <w:r>
              <w:rPr>
                <w:rFonts w:ascii="Arial" w:eastAsia="Arial" w:hAnsi="Arial" w:cs="Arial"/>
                <w:sz w:val="20"/>
              </w:rPr>
              <w:t xml:space="preserve">Consider initiation of </w:t>
            </w:r>
          </w:p>
          <w:p w14:paraId="5A6DBC0F" w14:textId="77777777" w:rsidR="000B3C5C" w:rsidRDefault="00ED192D">
            <w:pPr>
              <w:spacing w:after="0" w:line="259" w:lineRule="auto"/>
              <w:ind w:left="374" w:firstLine="19"/>
              <w:jc w:val="both"/>
            </w:pPr>
            <w:r>
              <w:rPr>
                <w:rFonts w:ascii="Arial" w:eastAsia="Arial" w:hAnsi="Arial" w:cs="Arial"/>
                <w:sz w:val="20"/>
              </w:rPr>
              <w:t>1</w:t>
            </w:r>
            <w:r>
              <w:rPr>
                <w:rFonts w:ascii="Segoe UI Symbol" w:eastAsia="Segoe UI Symbol" w:hAnsi="Segoe UI Symbol" w:cs="Segoe UI Symbol"/>
                <w:sz w:val="20"/>
              </w:rPr>
              <w:t>−</w:t>
            </w:r>
            <w:r>
              <w:rPr>
                <w:rFonts w:ascii="Arial" w:eastAsia="Arial" w:hAnsi="Arial" w:cs="Arial"/>
                <w:sz w:val="20"/>
              </w:rPr>
              <w:t xml:space="preserve">2 mg/kg/day oral or IV prednisone or equivalent. </w:t>
            </w:r>
          </w:p>
        </w:tc>
      </w:tr>
    </w:tbl>
    <w:p w14:paraId="76584CE1" w14:textId="77777777" w:rsidR="000B3C5C" w:rsidRDefault="00ED192D">
      <w:pPr>
        <w:numPr>
          <w:ilvl w:val="0"/>
          <w:numId w:val="84"/>
        </w:numPr>
        <w:spacing w:after="12"/>
        <w:ind w:right="2" w:hanging="245"/>
      </w:pPr>
      <w:r>
        <w:rPr>
          <w:rFonts w:ascii="Arial" w:eastAsia="Arial" w:hAnsi="Arial" w:cs="Arial"/>
          <w:sz w:val="18"/>
        </w:rPr>
        <w:t xml:space="preserve">Atezolizumab may be withheld for a longer period of time (ie, </w:t>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 xml:space="preserve">12 weeks after event onset) to allow for corticosteroids (if initiated) to be reduced to </w:t>
      </w:r>
      <w:r>
        <w:rPr>
          <w:rFonts w:ascii="Segoe UI Symbol" w:eastAsia="Segoe UI Symbol" w:hAnsi="Segoe UI Symbol" w:cs="Segoe UI Symbol"/>
          <w:sz w:val="18"/>
        </w:rPr>
        <w:t></w:t>
      </w:r>
      <w:r>
        <w:rPr>
          <w:rFonts w:ascii="Arial" w:eastAsia="Arial" w:hAnsi="Arial" w:cs="Arial"/>
          <w:sz w:val="18"/>
        </w:rPr>
        <w:t xml:space="preserve"> 10 mg/day oral prednisone or equivalent.  The acceptable length of the extended period of time must be agreed upon by the investigator and the Medical Monitor. </w:t>
      </w:r>
    </w:p>
    <w:p w14:paraId="348A3F43" w14:textId="77777777" w:rsidR="000B3C5C" w:rsidRDefault="00ED192D">
      <w:pPr>
        <w:numPr>
          <w:ilvl w:val="0"/>
          <w:numId w:val="84"/>
        </w:numPr>
        <w:spacing w:after="12"/>
        <w:ind w:right="2" w:hanging="245"/>
      </w:pPr>
      <w:r>
        <w:rPr>
          <w:rFonts w:ascii="Arial" w:eastAsia="Arial" w:hAnsi="Arial" w:cs="Arial"/>
          <w:sz w:val="18"/>
        </w:rPr>
        <w:t xml:space="preserve">If corticosteroids have been initiated, they must be tapered over </w:t>
      </w:r>
      <w:r>
        <w:rPr>
          <w:rFonts w:ascii="Segoe UI Symbol" w:eastAsia="Segoe UI Symbol" w:hAnsi="Segoe UI Symbol" w:cs="Segoe UI Symbol"/>
          <w:sz w:val="18"/>
        </w:rPr>
        <w:t></w:t>
      </w:r>
      <w:r>
        <w:rPr>
          <w:rFonts w:ascii="Arial" w:eastAsia="Arial" w:hAnsi="Arial" w:cs="Arial"/>
          <w:sz w:val="18"/>
        </w:rPr>
        <w:t xml:space="preserve"> 1 month to </w:t>
      </w:r>
      <w:r>
        <w:rPr>
          <w:rFonts w:ascii="Segoe UI Symbol" w:eastAsia="Segoe UI Symbol" w:hAnsi="Segoe UI Symbol" w:cs="Segoe UI Symbol"/>
          <w:sz w:val="18"/>
        </w:rPr>
        <w:t></w:t>
      </w:r>
      <w:r>
        <w:rPr>
          <w:rFonts w:ascii="Arial" w:eastAsia="Arial" w:hAnsi="Arial" w:cs="Arial"/>
          <w:sz w:val="18"/>
        </w:rPr>
        <w:t xml:space="preserve"> 10 mg/day oral prednisone or equivalent before atezolizumab can be resumed. </w:t>
      </w:r>
    </w:p>
    <w:p w14:paraId="36A9B9FE" w14:textId="77777777" w:rsidR="000B3C5C" w:rsidRDefault="00ED192D">
      <w:pPr>
        <w:numPr>
          <w:ilvl w:val="0"/>
          <w:numId w:val="84"/>
        </w:numPr>
        <w:spacing w:after="289"/>
        <w:ind w:right="2" w:hanging="245"/>
      </w:pPr>
      <w:r>
        <w:rPr>
          <w:rFonts w:ascii="Arial" w:eastAsia="Arial" w:hAnsi="Arial" w:cs="Arial"/>
          <w:sz w:val="18"/>
        </w:rPr>
        <w:t xml:space="preserve">Resumption of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w:t>
      </w:r>
    </w:p>
    <w:p w14:paraId="28511825" w14:textId="77777777" w:rsidR="000B3C5C" w:rsidRDefault="00ED192D">
      <w:pPr>
        <w:pStyle w:val="Heading3"/>
        <w:spacing w:after="231"/>
        <w:ind w:left="-5" w:right="51"/>
      </w:pPr>
      <w:r>
        <w:rPr>
          <w:rFonts w:ascii="Times New Roman" w:eastAsia="Times New Roman" w:hAnsi="Times New Roman" w:cs="Times New Roman"/>
          <w:sz w:val="24"/>
        </w:rPr>
        <w:t xml:space="preserve">Immune-Related Meningoencephalitis </w:t>
      </w:r>
    </w:p>
    <w:p w14:paraId="4A18193C" w14:textId="77777777" w:rsidR="000B3C5C" w:rsidRDefault="00ED192D">
      <w:pPr>
        <w:ind w:left="-3" w:right="14"/>
      </w:pPr>
      <w:r>
        <w:t xml:space="preserve">Immune-related meningoencephalitis should be suspected in any patient presenting with signs or symptoms suggestive of meningitis or encephalitis, including, but not limited to, headache, neck pain, confusion, seizure, motor or sensory dysfunction, and altered or depressed level of consciousness. Encephalopathy from metabolic or electrolyte imbalances needs to be distinguished from potential meningoencephalitis resulting from infection (bacterial, viral, or fungal) or progression of malignancy, or secondary </w:t>
      </w:r>
      <w:r>
        <w:t xml:space="preserve">to a paraneoplastic process. </w:t>
      </w:r>
    </w:p>
    <w:p w14:paraId="198CEBD0" w14:textId="77777777" w:rsidR="000B3C5C" w:rsidRDefault="00ED192D">
      <w:pPr>
        <w:ind w:left="-3" w:right="14"/>
      </w:pPr>
      <w:r>
        <w:t xml:space="preserve">Patients with signs and symptoms of meningoencephalitis, in the absence of an identified alternate etiology, should be treated according to the guidelines in </w:t>
      </w:r>
      <w:r>
        <w:rPr>
          <w:color w:val="0000FF"/>
        </w:rPr>
        <w:t>Table 27</w:t>
      </w:r>
      <w:r>
        <w:t xml:space="preserve">. </w:t>
      </w:r>
    </w:p>
    <w:p w14:paraId="4E3F5C4F" w14:textId="77777777" w:rsidR="000B3C5C" w:rsidRDefault="00ED192D">
      <w:pPr>
        <w:pStyle w:val="Heading4"/>
        <w:spacing w:after="3" w:line="259" w:lineRule="auto"/>
        <w:ind w:left="1119"/>
      </w:pPr>
      <w:r>
        <w:rPr>
          <w:sz w:val="20"/>
        </w:rPr>
        <w:t xml:space="preserve">Table 27 - Management Guidelines for Immune-Related Meningoencephalitis </w:t>
      </w:r>
      <w:r>
        <w:rPr>
          <w:b w:val="0"/>
          <w:sz w:val="20"/>
        </w:rPr>
        <w:t xml:space="preserve"> </w:t>
      </w:r>
    </w:p>
    <w:tbl>
      <w:tblPr>
        <w:tblStyle w:val="TableGrid"/>
        <w:tblW w:w="9686" w:type="dxa"/>
        <w:tblInd w:w="-108" w:type="dxa"/>
        <w:tblCellMar>
          <w:top w:w="107" w:type="dxa"/>
          <w:left w:w="0" w:type="dxa"/>
          <w:bottom w:w="0" w:type="dxa"/>
          <w:right w:w="115" w:type="dxa"/>
        </w:tblCellMar>
        <w:tblLook w:val="04A0" w:firstRow="1" w:lastRow="0" w:firstColumn="1" w:lastColumn="0" w:noHBand="0" w:noVBand="1"/>
      </w:tblPr>
      <w:tblGrid>
        <w:gridCol w:w="2801"/>
        <w:gridCol w:w="6885"/>
      </w:tblGrid>
      <w:tr w:rsidR="000B3C5C" w14:paraId="148DD3CA" w14:textId="77777777">
        <w:trPr>
          <w:trHeight w:val="372"/>
        </w:trPr>
        <w:tc>
          <w:tcPr>
            <w:tcW w:w="2801" w:type="dxa"/>
            <w:tcBorders>
              <w:top w:val="single" w:sz="4" w:space="0" w:color="000000"/>
              <w:left w:val="nil"/>
              <w:bottom w:val="single" w:sz="4" w:space="0" w:color="000000"/>
              <w:right w:val="nil"/>
            </w:tcBorders>
          </w:tcPr>
          <w:p w14:paraId="6FC5230E" w14:textId="77777777" w:rsidR="000B3C5C" w:rsidRDefault="00ED192D">
            <w:pPr>
              <w:spacing w:after="0" w:line="259" w:lineRule="auto"/>
              <w:ind w:left="0" w:right="184" w:firstLine="0"/>
              <w:jc w:val="center"/>
            </w:pPr>
            <w:r>
              <w:rPr>
                <w:rFonts w:ascii="Arial" w:eastAsia="Arial" w:hAnsi="Arial" w:cs="Arial"/>
                <w:b/>
                <w:sz w:val="20"/>
              </w:rPr>
              <w:t xml:space="preserve">Event </w:t>
            </w:r>
          </w:p>
        </w:tc>
        <w:tc>
          <w:tcPr>
            <w:tcW w:w="6885" w:type="dxa"/>
            <w:tcBorders>
              <w:top w:val="single" w:sz="4" w:space="0" w:color="000000"/>
              <w:left w:val="nil"/>
              <w:bottom w:val="single" w:sz="4" w:space="0" w:color="000000"/>
              <w:right w:val="nil"/>
            </w:tcBorders>
          </w:tcPr>
          <w:p w14:paraId="78DEC08D" w14:textId="77777777" w:rsidR="000B3C5C" w:rsidRDefault="00ED192D">
            <w:pPr>
              <w:spacing w:after="0" w:line="259" w:lineRule="auto"/>
              <w:ind w:left="0" w:right="180" w:firstLine="0"/>
              <w:jc w:val="center"/>
            </w:pPr>
            <w:r>
              <w:rPr>
                <w:rFonts w:ascii="Arial" w:eastAsia="Arial" w:hAnsi="Arial" w:cs="Arial"/>
                <w:b/>
                <w:sz w:val="20"/>
              </w:rPr>
              <w:t xml:space="preserve">Management </w:t>
            </w:r>
          </w:p>
        </w:tc>
      </w:tr>
      <w:tr w:rsidR="000B3C5C" w14:paraId="1B941E80" w14:textId="77777777">
        <w:trPr>
          <w:trHeight w:val="2074"/>
        </w:trPr>
        <w:tc>
          <w:tcPr>
            <w:tcW w:w="2801" w:type="dxa"/>
            <w:tcBorders>
              <w:top w:val="single" w:sz="4" w:space="0" w:color="000000"/>
              <w:left w:val="nil"/>
              <w:bottom w:val="single" w:sz="12" w:space="0" w:color="000000"/>
              <w:right w:val="nil"/>
            </w:tcBorders>
          </w:tcPr>
          <w:p w14:paraId="2002BBE2" w14:textId="77777777" w:rsidR="000B3C5C" w:rsidRDefault="00ED192D">
            <w:pPr>
              <w:spacing w:after="0" w:line="241" w:lineRule="auto"/>
              <w:ind w:left="379" w:firstLine="298"/>
            </w:pPr>
            <w:r>
              <w:rPr>
                <w:rFonts w:ascii="Arial" w:eastAsia="Arial" w:hAnsi="Arial" w:cs="Arial"/>
                <w:sz w:val="20"/>
              </w:rPr>
              <w:t xml:space="preserve">Immune-related meningoencephalitis, all </w:t>
            </w:r>
          </w:p>
          <w:p w14:paraId="23EE9C3A" w14:textId="77777777" w:rsidR="000B3C5C" w:rsidRDefault="00ED192D">
            <w:pPr>
              <w:spacing w:after="0" w:line="259" w:lineRule="auto"/>
              <w:ind w:left="0" w:right="184" w:firstLine="0"/>
              <w:jc w:val="center"/>
            </w:pPr>
            <w:r>
              <w:rPr>
                <w:rFonts w:ascii="Arial" w:eastAsia="Arial" w:hAnsi="Arial" w:cs="Arial"/>
                <w:sz w:val="20"/>
              </w:rPr>
              <w:t xml:space="preserve">grades </w:t>
            </w:r>
          </w:p>
        </w:tc>
        <w:tc>
          <w:tcPr>
            <w:tcW w:w="6885" w:type="dxa"/>
            <w:tcBorders>
              <w:top w:val="single" w:sz="4" w:space="0" w:color="000000"/>
              <w:left w:val="nil"/>
              <w:bottom w:val="single" w:sz="12" w:space="0" w:color="000000"/>
              <w:right w:val="nil"/>
            </w:tcBorders>
          </w:tcPr>
          <w:p w14:paraId="13EC2FB8" w14:textId="77777777" w:rsidR="000B3C5C" w:rsidRDefault="00ED192D">
            <w:pPr>
              <w:spacing w:after="5" w:line="314" w:lineRule="auto"/>
              <w:ind w:left="2288" w:hanging="2062"/>
            </w:pPr>
            <w:r>
              <w:rPr>
                <w:rFonts w:ascii="Arial" w:eastAsia="Arial" w:hAnsi="Arial" w:cs="Arial"/>
                <w:sz w:val="20"/>
              </w:rPr>
              <w:t>Permanently discontinue isatuximab and atezolizumab and contact Medical Monitor</w:t>
            </w:r>
            <w:r>
              <w:rPr>
                <w:rFonts w:ascii="Arial" w:eastAsia="Arial" w:hAnsi="Arial" w:cs="Arial"/>
                <w:i/>
                <w:color w:val="0000FF"/>
                <w:sz w:val="28"/>
                <w:vertAlign w:val="superscript"/>
              </w:rPr>
              <w:t>a</w:t>
            </w:r>
            <w:r>
              <w:rPr>
                <w:rFonts w:ascii="Arial" w:eastAsia="Arial" w:hAnsi="Arial" w:cs="Arial"/>
                <w:sz w:val="20"/>
              </w:rPr>
              <w:t xml:space="preserve"> Refer patient to neurologist. </w:t>
            </w:r>
          </w:p>
          <w:p w14:paraId="66EF66BB" w14:textId="77777777" w:rsidR="000B3C5C" w:rsidRDefault="00ED192D">
            <w:pPr>
              <w:spacing w:after="45" w:line="224" w:lineRule="auto"/>
              <w:ind w:left="943" w:hanging="866"/>
            </w:pPr>
            <w:r>
              <w:rPr>
                <w:rFonts w:ascii="Arial" w:eastAsia="Arial" w:hAnsi="Arial" w:cs="Arial"/>
                <w:sz w:val="20"/>
              </w:rPr>
              <w:t>Initiate treatment with 1</w:t>
            </w:r>
            <w:r>
              <w:rPr>
                <w:rFonts w:ascii="Segoe UI Symbol" w:eastAsia="Segoe UI Symbol" w:hAnsi="Segoe UI Symbol" w:cs="Segoe UI Symbol"/>
                <w:sz w:val="20"/>
              </w:rPr>
              <w:t>−</w:t>
            </w:r>
            <w:r>
              <w:rPr>
                <w:rFonts w:ascii="Arial" w:eastAsia="Arial" w:hAnsi="Arial" w:cs="Arial"/>
                <w:sz w:val="20"/>
              </w:rPr>
              <w:t>2 mg/kg/day IV methylprednisolone or equivalent and convert to 1</w:t>
            </w:r>
            <w:r>
              <w:rPr>
                <w:rFonts w:ascii="Segoe UI Symbol" w:eastAsia="Segoe UI Symbol" w:hAnsi="Segoe UI Symbol" w:cs="Segoe UI Symbol"/>
                <w:sz w:val="20"/>
              </w:rPr>
              <w:t>−</w:t>
            </w:r>
            <w:r>
              <w:rPr>
                <w:rFonts w:ascii="Arial" w:eastAsia="Arial" w:hAnsi="Arial" w:cs="Arial"/>
                <w:sz w:val="20"/>
              </w:rPr>
              <w:t xml:space="preserve">2 mg/kg/day oral prednisone or equivalent upon improvement. </w:t>
            </w:r>
          </w:p>
          <w:p w14:paraId="0944F951" w14:textId="77777777" w:rsidR="000B3C5C" w:rsidRDefault="00ED192D">
            <w:pPr>
              <w:spacing w:after="72" w:line="241" w:lineRule="auto"/>
              <w:ind w:left="2314" w:hanging="2314"/>
            </w:pPr>
            <w:r>
              <w:rPr>
                <w:rFonts w:ascii="Arial" w:eastAsia="Arial" w:hAnsi="Arial" w:cs="Arial"/>
                <w:sz w:val="20"/>
              </w:rPr>
              <w:t xml:space="preserve">If event does not improve within 48 hours after initiating corticosteroids, consider adding an immunosuppressive agent. </w:t>
            </w:r>
          </w:p>
          <w:p w14:paraId="361D42B0" w14:textId="77777777" w:rsidR="000B3C5C" w:rsidRDefault="00ED192D">
            <w:pPr>
              <w:spacing w:after="0" w:line="259" w:lineRule="auto"/>
              <w:ind w:left="595" w:firstLine="0"/>
            </w:pPr>
            <w:r>
              <w:rPr>
                <w:rFonts w:ascii="Arial" w:eastAsia="Arial" w:hAnsi="Arial" w:cs="Arial"/>
                <w:sz w:val="20"/>
              </w:rPr>
              <w:t xml:space="preserve">If event resolves to Grade 1 or better, taper corticosteroids over </w:t>
            </w:r>
            <w:r>
              <w:rPr>
                <w:rFonts w:ascii="Segoe UI Symbol" w:eastAsia="Segoe UI Symbol" w:hAnsi="Segoe UI Symbol" w:cs="Segoe UI Symbol"/>
                <w:sz w:val="20"/>
              </w:rPr>
              <w:t></w:t>
            </w:r>
            <w:r>
              <w:rPr>
                <w:rFonts w:ascii="Arial" w:eastAsia="Arial" w:hAnsi="Arial" w:cs="Arial"/>
                <w:sz w:val="20"/>
              </w:rPr>
              <w:t xml:space="preserve">1 month. </w:t>
            </w:r>
          </w:p>
        </w:tc>
      </w:tr>
    </w:tbl>
    <w:p w14:paraId="1C62CFB2" w14:textId="77777777" w:rsidR="000B3C5C" w:rsidRDefault="00ED192D">
      <w:pPr>
        <w:spacing w:after="310"/>
        <w:ind w:left="230" w:right="2" w:hanging="245"/>
      </w:pPr>
      <w:r>
        <w:rPr>
          <w:rFonts w:ascii="Arial" w:eastAsia="Arial" w:hAnsi="Arial" w:cs="Arial"/>
          <w:i/>
          <w:sz w:val="18"/>
        </w:rPr>
        <w:t xml:space="preserve">a </w:t>
      </w:r>
      <w:r>
        <w:rPr>
          <w:rFonts w:ascii="Arial" w:eastAsia="Arial" w:hAnsi="Arial" w:cs="Arial"/>
          <w:sz w:val="18"/>
        </w:rPr>
        <w:t xml:space="preserve">Resumption of isatuximab and atezolizumab may be considered in patients who are deriving benefit and have fully recovered from the immune-related event.  Patients can be re-challenged with atezolizumab only after approval has been documented by both the investigator (or an appropriate delegate) and the Medical Monitor. </w:t>
      </w:r>
    </w:p>
    <w:p w14:paraId="15C6A62D" w14:textId="77777777" w:rsidR="000B3C5C" w:rsidRDefault="00ED192D">
      <w:pPr>
        <w:pStyle w:val="Heading3"/>
        <w:spacing w:after="231"/>
        <w:ind w:left="-5" w:right="51"/>
      </w:pPr>
      <w:r>
        <w:rPr>
          <w:rFonts w:ascii="Times New Roman" w:eastAsia="Times New Roman" w:hAnsi="Times New Roman" w:cs="Times New Roman"/>
          <w:sz w:val="24"/>
        </w:rPr>
        <w:t xml:space="preserve">Renal Events </w:t>
      </w:r>
    </w:p>
    <w:p w14:paraId="00E1BCE8" w14:textId="77777777" w:rsidR="000B3C5C" w:rsidRDefault="00ED192D">
      <w:pPr>
        <w:ind w:left="-3" w:right="14"/>
      </w:pPr>
      <w:r>
        <w:t>Eligible patients must have adequate renal function, and renal function, including serum creatinine, should be monitored throughout study treatment.  Patients with abnormal renal function should be evaluated and treated for other more common etiologies (including prerenal and postrenal causes, and concomitant medications such as non-steroidal anti-inflammatory drugs).  Refer the patient to a renal specialist if clinically indicated.  A renal biopsy may be required to enable a definitive diagnosis and approp</w:t>
      </w:r>
      <w:r>
        <w:t xml:space="preserve">riate treatment. </w:t>
      </w:r>
    </w:p>
    <w:p w14:paraId="6F18B85E" w14:textId="77777777" w:rsidR="000B3C5C" w:rsidRDefault="00ED192D">
      <w:pPr>
        <w:spacing w:after="314"/>
        <w:ind w:left="-3" w:right="14"/>
      </w:pPr>
      <w:r>
        <w:t xml:space="preserve">Patients with signs and symptoms of nephritis, in the absence of an identified alternate etiology, should be treated according to the guidelines in </w:t>
      </w:r>
      <w:r>
        <w:rPr>
          <w:color w:val="0000FF"/>
        </w:rPr>
        <w:t>Table 28</w:t>
      </w:r>
      <w:r>
        <w:t xml:space="preserve">. </w:t>
      </w:r>
    </w:p>
    <w:p w14:paraId="2265CECF" w14:textId="77777777" w:rsidR="000B3C5C" w:rsidRDefault="00ED192D">
      <w:pPr>
        <w:pStyle w:val="Heading4"/>
        <w:spacing w:after="3" w:line="259" w:lineRule="auto"/>
        <w:ind w:left="2288"/>
      </w:pPr>
      <w:r>
        <w:rPr>
          <w:sz w:val="20"/>
        </w:rPr>
        <w:t xml:space="preserve">Table 28 - Management Guidelines for Renal Events  </w:t>
      </w:r>
    </w:p>
    <w:tbl>
      <w:tblPr>
        <w:tblStyle w:val="TableGrid"/>
        <w:tblW w:w="9700" w:type="dxa"/>
        <w:tblInd w:w="-122" w:type="dxa"/>
        <w:tblCellMar>
          <w:top w:w="81" w:type="dxa"/>
          <w:left w:w="0" w:type="dxa"/>
          <w:bottom w:w="66" w:type="dxa"/>
          <w:right w:w="94" w:type="dxa"/>
        </w:tblCellMar>
        <w:tblLook w:val="04A0" w:firstRow="1" w:lastRow="0" w:firstColumn="1" w:lastColumn="0" w:noHBand="0" w:noVBand="1"/>
      </w:tblPr>
      <w:tblGrid>
        <w:gridCol w:w="1403"/>
        <w:gridCol w:w="65"/>
        <w:gridCol w:w="1849"/>
        <w:gridCol w:w="2881"/>
        <w:gridCol w:w="65"/>
        <w:gridCol w:w="3437"/>
      </w:tblGrid>
      <w:tr w:rsidR="000B3C5C" w14:paraId="58853D8A" w14:textId="77777777">
        <w:trPr>
          <w:trHeight w:val="590"/>
        </w:trPr>
        <w:tc>
          <w:tcPr>
            <w:tcW w:w="1469" w:type="dxa"/>
            <w:gridSpan w:val="2"/>
            <w:tcBorders>
              <w:top w:val="single" w:sz="4" w:space="0" w:color="000000"/>
              <w:left w:val="nil"/>
              <w:bottom w:val="single" w:sz="4" w:space="0" w:color="000000"/>
              <w:right w:val="nil"/>
            </w:tcBorders>
            <w:vAlign w:val="bottom"/>
          </w:tcPr>
          <w:p w14:paraId="36BBA65A" w14:textId="77777777" w:rsidR="000B3C5C" w:rsidRDefault="00ED192D">
            <w:pPr>
              <w:spacing w:after="0" w:line="259" w:lineRule="auto"/>
              <w:ind w:left="0" w:right="47" w:firstLine="0"/>
              <w:jc w:val="center"/>
            </w:pPr>
            <w:r>
              <w:rPr>
                <w:rFonts w:ascii="Arial" w:eastAsia="Arial" w:hAnsi="Arial" w:cs="Arial"/>
                <w:b/>
                <w:sz w:val="20"/>
              </w:rPr>
              <w:t xml:space="preserve">Event </w:t>
            </w:r>
          </w:p>
        </w:tc>
        <w:tc>
          <w:tcPr>
            <w:tcW w:w="1849" w:type="dxa"/>
            <w:tcBorders>
              <w:top w:val="single" w:sz="4" w:space="0" w:color="000000"/>
              <w:left w:val="nil"/>
              <w:bottom w:val="single" w:sz="4" w:space="0" w:color="000000"/>
              <w:right w:val="nil"/>
            </w:tcBorders>
          </w:tcPr>
          <w:p w14:paraId="57E9ABA7" w14:textId="77777777" w:rsidR="000B3C5C" w:rsidRDefault="00ED192D">
            <w:pPr>
              <w:spacing w:after="0" w:line="259" w:lineRule="auto"/>
              <w:ind w:left="151" w:firstLine="97"/>
            </w:pPr>
            <w:r>
              <w:rPr>
                <w:rFonts w:ascii="Arial" w:eastAsia="Arial" w:hAnsi="Arial" w:cs="Arial"/>
                <w:b/>
                <w:sz w:val="20"/>
              </w:rPr>
              <w:t xml:space="preserve">Isatuximab management </w:t>
            </w:r>
          </w:p>
        </w:tc>
        <w:tc>
          <w:tcPr>
            <w:tcW w:w="2946" w:type="dxa"/>
            <w:gridSpan w:val="2"/>
            <w:tcBorders>
              <w:top w:val="single" w:sz="4" w:space="0" w:color="000000"/>
              <w:left w:val="nil"/>
              <w:bottom w:val="single" w:sz="4" w:space="0" w:color="000000"/>
              <w:right w:val="nil"/>
            </w:tcBorders>
            <w:vAlign w:val="bottom"/>
          </w:tcPr>
          <w:p w14:paraId="3A6B0128" w14:textId="77777777" w:rsidR="000B3C5C" w:rsidRDefault="00ED192D">
            <w:pPr>
              <w:spacing w:after="0" w:line="259" w:lineRule="auto"/>
              <w:ind w:left="14" w:firstLine="0"/>
            </w:pPr>
            <w:r>
              <w:rPr>
                <w:rFonts w:ascii="Arial" w:eastAsia="Arial" w:hAnsi="Arial" w:cs="Arial"/>
                <w:b/>
                <w:sz w:val="20"/>
              </w:rPr>
              <w:t xml:space="preserve">Atezolizumab management </w:t>
            </w:r>
          </w:p>
        </w:tc>
        <w:tc>
          <w:tcPr>
            <w:tcW w:w="3437" w:type="dxa"/>
            <w:tcBorders>
              <w:top w:val="single" w:sz="4" w:space="0" w:color="000000"/>
              <w:left w:val="nil"/>
              <w:bottom w:val="single" w:sz="4" w:space="0" w:color="000000"/>
              <w:right w:val="nil"/>
            </w:tcBorders>
            <w:vAlign w:val="bottom"/>
          </w:tcPr>
          <w:p w14:paraId="36182D0E" w14:textId="77777777" w:rsidR="000B3C5C" w:rsidRDefault="00ED192D">
            <w:pPr>
              <w:spacing w:after="0" w:line="259" w:lineRule="auto"/>
              <w:ind w:left="0" w:right="90" w:firstLine="0"/>
              <w:jc w:val="center"/>
            </w:pPr>
            <w:r>
              <w:rPr>
                <w:rFonts w:ascii="Arial" w:eastAsia="Arial" w:hAnsi="Arial" w:cs="Arial"/>
                <w:b/>
                <w:sz w:val="20"/>
              </w:rPr>
              <w:t xml:space="preserve">Action and guidance </w:t>
            </w:r>
          </w:p>
        </w:tc>
      </w:tr>
      <w:tr w:rsidR="000B3C5C" w14:paraId="2FE91D74" w14:textId="77777777">
        <w:trPr>
          <w:trHeight w:val="835"/>
        </w:trPr>
        <w:tc>
          <w:tcPr>
            <w:tcW w:w="1469" w:type="dxa"/>
            <w:gridSpan w:val="2"/>
            <w:tcBorders>
              <w:top w:val="single" w:sz="4" w:space="0" w:color="000000"/>
              <w:left w:val="nil"/>
              <w:bottom w:val="nil"/>
              <w:right w:val="nil"/>
            </w:tcBorders>
          </w:tcPr>
          <w:p w14:paraId="0A96AD9B" w14:textId="77777777" w:rsidR="000B3C5C" w:rsidRDefault="00ED192D">
            <w:pPr>
              <w:spacing w:after="0" w:line="259" w:lineRule="auto"/>
              <w:ind w:left="357" w:hanging="163"/>
            </w:pPr>
            <w:r>
              <w:rPr>
                <w:rFonts w:ascii="Arial" w:eastAsia="Arial" w:hAnsi="Arial" w:cs="Arial"/>
                <w:sz w:val="20"/>
              </w:rPr>
              <w:t xml:space="preserve">Renal event, Grade 1 </w:t>
            </w:r>
          </w:p>
        </w:tc>
        <w:tc>
          <w:tcPr>
            <w:tcW w:w="1849" w:type="dxa"/>
            <w:tcBorders>
              <w:top w:val="single" w:sz="4" w:space="0" w:color="000000"/>
              <w:left w:val="nil"/>
              <w:bottom w:val="nil"/>
              <w:right w:val="nil"/>
            </w:tcBorders>
          </w:tcPr>
          <w:p w14:paraId="518EB7F3" w14:textId="77777777" w:rsidR="000B3C5C" w:rsidRDefault="00ED192D">
            <w:pPr>
              <w:spacing w:after="0" w:line="259" w:lineRule="auto"/>
              <w:ind w:left="84" w:firstLine="0"/>
            </w:pPr>
            <w:r>
              <w:rPr>
                <w:rFonts w:ascii="Arial" w:eastAsia="Arial" w:hAnsi="Arial" w:cs="Arial"/>
                <w:sz w:val="20"/>
              </w:rPr>
              <w:t xml:space="preserve">No change in dose </w:t>
            </w:r>
          </w:p>
        </w:tc>
        <w:tc>
          <w:tcPr>
            <w:tcW w:w="2946" w:type="dxa"/>
            <w:gridSpan w:val="2"/>
            <w:tcBorders>
              <w:top w:val="single" w:sz="4" w:space="0" w:color="000000"/>
              <w:left w:val="nil"/>
              <w:bottom w:val="nil"/>
              <w:right w:val="nil"/>
            </w:tcBorders>
          </w:tcPr>
          <w:p w14:paraId="6B33B84C" w14:textId="77777777" w:rsidR="000B3C5C" w:rsidRDefault="00ED192D">
            <w:pPr>
              <w:spacing w:after="0" w:line="259" w:lineRule="auto"/>
              <w:ind w:left="622" w:firstLine="0"/>
            </w:pPr>
            <w:r>
              <w:rPr>
                <w:rFonts w:ascii="Arial" w:eastAsia="Arial" w:hAnsi="Arial" w:cs="Arial"/>
                <w:sz w:val="20"/>
              </w:rPr>
              <w:t xml:space="preserve">No change in dose </w:t>
            </w:r>
          </w:p>
        </w:tc>
        <w:tc>
          <w:tcPr>
            <w:tcW w:w="3437" w:type="dxa"/>
            <w:tcBorders>
              <w:top w:val="single" w:sz="4" w:space="0" w:color="000000"/>
              <w:left w:val="nil"/>
              <w:bottom w:val="nil"/>
              <w:right w:val="nil"/>
            </w:tcBorders>
          </w:tcPr>
          <w:p w14:paraId="3A321F57" w14:textId="77777777" w:rsidR="000B3C5C" w:rsidRDefault="00ED192D">
            <w:pPr>
              <w:spacing w:after="0" w:line="259" w:lineRule="auto"/>
              <w:ind w:left="51" w:hanging="46"/>
            </w:pPr>
            <w:r>
              <w:rPr>
                <w:rFonts w:ascii="Arial" w:eastAsia="Arial" w:hAnsi="Arial" w:cs="Arial"/>
                <w:sz w:val="20"/>
              </w:rPr>
              <w:t xml:space="preserve">Monitor kidney function, including creatinine, closely until values resolve to within normal limits or to baseline values. </w:t>
            </w:r>
          </w:p>
        </w:tc>
      </w:tr>
      <w:tr w:rsidR="000B3C5C" w14:paraId="2FFF660B" w14:textId="77777777">
        <w:trPr>
          <w:trHeight w:val="2415"/>
        </w:trPr>
        <w:tc>
          <w:tcPr>
            <w:tcW w:w="1469" w:type="dxa"/>
            <w:gridSpan w:val="2"/>
            <w:tcBorders>
              <w:top w:val="nil"/>
              <w:left w:val="nil"/>
              <w:bottom w:val="single" w:sz="4" w:space="0" w:color="000000"/>
              <w:right w:val="nil"/>
            </w:tcBorders>
          </w:tcPr>
          <w:p w14:paraId="1D1BC49C" w14:textId="77777777" w:rsidR="000B3C5C" w:rsidRDefault="00ED192D">
            <w:pPr>
              <w:spacing w:after="0" w:line="259" w:lineRule="auto"/>
              <w:ind w:left="357" w:hanging="163"/>
            </w:pPr>
            <w:r>
              <w:rPr>
                <w:rFonts w:ascii="Arial" w:eastAsia="Arial" w:hAnsi="Arial" w:cs="Arial"/>
                <w:sz w:val="20"/>
              </w:rPr>
              <w:t xml:space="preserve">Renal event, Grade 2 </w:t>
            </w:r>
          </w:p>
        </w:tc>
        <w:tc>
          <w:tcPr>
            <w:tcW w:w="1849" w:type="dxa"/>
            <w:tcBorders>
              <w:top w:val="nil"/>
              <w:left w:val="nil"/>
              <w:bottom w:val="single" w:sz="4" w:space="0" w:color="000000"/>
              <w:right w:val="nil"/>
            </w:tcBorders>
          </w:tcPr>
          <w:p w14:paraId="4D524380" w14:textId="77777777" w:rsidR="000B3C5C" w:rsidRDefault="00ED192D">
            <w:pPr>
              <w:spacing w:after="0" w:line="241" w:lineRule="auto"/>
              <w:ind w:left="199" w:hanging="113"/>
            </w:pPr>
            <w:r>
              <w:rPr>
                <w:rFonts w:ascii="Arial" w:eastAsia="Arial" w:hAnsi="Arial" w:cs="Arial"/>
                <w:sz w:val="20"/>
              </w:rPr>
              <w:t xml:space="preserve">Delay or omit dose until resolves to </w:t>
            </w:r>
          </w:p>
          <w:p w14:paraId="67F4737E" w14:textId="77777777" w:rsidR="000B3C5C" w:rsidRDefault="00ED192D">
            <w:pPr>
              <w:spacing w:after="0" w:line="241" w:lineRule="auto"/>
              <w:ind w:left="0" w:firstLine="231"/>
            </w:pPr>
            <w:r>
              <w:rPr>
                <w:rFonts w:ascii="Arial" w:eastAsia="Arial" w:hAnsi="Arial" w:cs="Arial"/>
                <w:sz w:val="20"/>
              </w:rPr>
              <w:t xml:space="preserve">≤Grade 1 for a maximum of 2 weeks </w:t>
            </w:r>
          </w:p>
          <w:p w14:paraId="27FF9B7E" w14:textId="77777777" w:rsidR="000B3C5C" w:rsidRDefault="00ED192D">
            <w:pPr>
              <w:spacing w:after="0" w:line="259" w:lineRule="auto"/>
              <w:ind w:left="79"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946" w:type="dxa"/>
            <w:gridSpan w:val="2"/>
            <w:tcBorders>
              <w:top w:val="nil"/>
              <w:left w:val="nil"/>
              <w:bottom w:val="single" w:sz="4" w:space="0" w:color="000000"/>
              <w:right w:val="nil"/>
            </w:tcBorders>
          </w:tcPr>
          <w:p w14:paraId="13FCE7C6" w14:textId="77777777" w:rsidR="000B3C5C" w:rsidRDefault="00ED192D">
            <w:pPr>
              <w:spacing w:after="17" w:line="222" w:lineRule="auto"/>
              <w:ind w:left="653" w:hanging="562"/>
            </w:pPr>
            <w:r>
              <w:rPr>
                <w:rFonts w:ascii="Arial" w:eastAsia="Arial" w:hAnsi="Arial" w:cs="Arial"/>
                <w:sz w:val="20"/>
              </w:rPr>
              <w:t>Withhold dose for up to 12 weeks after event onset</w:t>
            </w:r>
            <w:r>
              <w:rPr>
                <w:rFonts w:ascii="Arial" w:eastAsia="Arial" w:hAnsi="Arial" w:cs="Arial"/>
                <w:i/>
                <w:color w:val="0000FF"/>
                <w:sz w:val="28"/>
                <w:vertAlign w:val="superscript"/>
              </w:rPr>
              <w:t>a</w:t>
            </w:r>
            <w:r>
              <w:rPr>
                <w:rFonts w:ascii="Arial" w:eastAsia="Arial" w:hAnsi="Arial" w:cs="Arial"/>
                <w:sz w:val="20"/>
              </w:rPr>
              <w:t xml:space="preserve"> </w:t>
            </w:r>
          </w:p>
          <w:p w14:paraId="685456D7" w14:textId="77777777" w:rsidR="000B3C5C" w:rsidRDefault="00ED192D">
            <w:pPr>
              <w:spacing w:after="7" w:line="226" w:lineRule="auto"/>
              <w:ind w:left="228" w:hanging="26"/>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069473FD" w14:textId="77777777" w:rsidR="000B3C5C" w:rsidRDefault="00ED192D">
            <w:pPr>
              <w:spacing w:after="3" w:line="239" w:lineRule="auto"/>
              <w:ind w:left="358" w:right="33" w:hanging="358"/>
            </w:pPr>
            <w:r>
              <w:rPr>
                <w:rFonts w:ascii="Arial" w:eastAsia="Arial" w:hAnsi="Arial" w:cs="Arial"/>
                <w:sz w:val="20"/>
              </w:rPr>
              <w:t xml:space="preserve">If event does not resolve to Grade 1 or better while withholding </w:t>
            </w:r>
          </w:p>
          <w:p w14:paraId="08326A62" w14:textId="77777777" w:rsidR="000B3C5C" w:rsidRDefault="00ED192D">
            <w:pPr>
              <w:spacing w:after="0" w:line="259" w:lineRule="auto"/>
              <w:ind w:left="326" w:firstLine="0"/>
            </w:pPr>
            <w:r>
              <w:rPr>
                <w:rFonts w:ascii="Arial" w:eastAsia="Arial" w:hAnsi="Arial" w:cs="Arial"/>
                <w:sz w:val="20"/>
              </w:rPr>
              <w:t xml:space="preserve">atezolizumab, permanently </w:t>
            </w:r>
          </w:p>
          <w:p w14:paraId="1127F14B" w14:textId="77777777" w:rsidR="000B3C5C" w:rsidRDefault="00ED192D">
            <w:pPr>
              <w:spacing w:after="0" w:line="259" w:lineRule="auto"/>
              <w:ind w:left="401" w:hanging="175"/>
            </w:pPr>
            <w:r>
              <w:rPr>
                <w:rFonts w:ascii="Arial" w:eastAsia="Arial" w:hAnsi="Arial" w:cs="Arial"/>
                <w:sz w:val="20"/>
              </w:rPr>
              <w:t>discontinue atezolizumab and 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c>
          <w:tcPr>
            <w:tcW w:w="3437" w:type="dxa"/>
            <w:tcBorders>
              <w:top w:val="nil"/>
              <w:left w:val="nil"/>
              <w:bottom w:val="single" w:sz="4" w:space="0" w:color="000000"/>
              <w:right w:val="nil"/>
            </w:tcBorders>
          </w:tcPr>
          <w:p w14:paraId="44608CDB" w14:textId="77777777" w:rsidR="000B3C5C" w:rsidRDefault="00ED192D">
            <w:pPr>
              <w:spacing w:after="43" w:line="259" w:lineRule="auto"/>
              <w:ind w:left="470" w:firstLine="0"/>
            </w:pPr>
            <w:r>
              <w:rPr>
                <w:rFonts w:ascii="Arial" w:eastAsia="Arial" w:hAnsi="Arial" w:cs="Arial"/>
                <w:sz w:val="20"/>
              </w:rPr>
              <w:t xml:space="preserve">Refer patient to renal specialist. </w:t>
            </w:r>
          </w:p>
          <w:p w14:paraId="470899C1" w14:textId="77777777" w:rsidR="000B3C5C" w:rsidRDefault="00ED192D">
            <w:pPr>
              <w:spacing w:after="0" w:line="259" w:lineRule="auto"/>
              <w:ind w:left="0" w:firstLine="288"/>
            </w:pPr>
            <w:r>
              <w:rPr>
                <w:rFonts w:ascii="Arial" w:eastAsia="Arial" w:hAnsi="Arial" w:cs="Arial"/>
                <w:sz w:val="20"/>
              </w:rPr>
              <w:t xml:space="preserve">Initiate treatment with corticosteroids equivalent to 1-2 mg/kg/day oral prednisone. </w:t>
            </w:r>
          </w:p>
        </w:tc>
      </w:tr>
      <w:tr w:rsidR="000B3C5C" w14:paraId="62CE50CF" w14:textId="77777777">
        <w:trPr>
          <w:trHeight w:val="590"/>
        </w:trPr>
        <w:tc>
          <w:tcPr>
            <w:tcW w:w="1404" w:type="dxa"/>
            <w:tcBorders>
              <w:top w:val="single" w:sz="4" w:space="0" w:color="000000"/>
              <w:left w:val="nil"/>
              <w:bottom w:val="single" w:sz="4" w:space="0" w:color="000000"/>
              <w:right w:val="nil"/>
            </w:tcBorders>
            <w:vAlign w:val="bottom"/>
          </w:tcPr>
          <w:p w14:paraId="73FA812B" w14:textId="77777777" w:rsidR="000B3C5C" w:rsidRDefault="00ED192D">
            <w:pPr>
              <w:spacing w:after="0" w:line="259" w:lineRule="auto"/>
              <w:ind w:left="0" w:right="17" w:firstLine="0"/>
              <w:jc w:val="center"/>
            </w:pPr>
            <w:r>
              <w:rPr>
                <w:rFonts w:ascii="Arial" w:eastAsia="Arial" w:hAnsi="Arial" w:cs="Arial"/>
                <w:b/>
                <w:sz w:val="20"/>
              </w:rPr>
              <w:t xml:space="preserve">Event </w:t>
            </w:r>
          </w:p>
        </w:tc>
        <w:tc>
          <w:tcPr>
            <w:tcW w:w="1913" w:type="dxa"/>
            <w:gridSpan w:val="2"/>
            <w:tcBorders>
              <w:top w:val="single" w:sz="4" w:space="0" w:color="000000"/>
              <w:left w:val="nil"/>
              <w:bottom w:val="single" w:sz="4" w:space="0" w:color="000000"/>
              <w:right w:val="nil"/>
            </w:tcBorders>
          </w:tcPr>
          <w:p w14:paraId="6C3A5245" w14:textId="77777777" w:rsidR="000B3C5C" w:rsidRDefault="00ED192D">
            <w:pPr>
              <w:spacing w:after="0" w:line="259" w:lineRule="auto"/>
              <w:ind w:left="216" w:firstLine="97"/>
            </w:pPr>
            <w:r>
              <w:rPr>
                <w:rFonts w:ascii="Arial" w:eastAsia="Arial" w:hAnsi="Arial" w:cs="Arial"/>
                <w:b/>
                <w:sz w:val="20"/>
              </w:rPr>
              <w:t xml:space="preserve">Isatuximab management </w:t>
            </w:r>
          </w:p>
        </w:tc>
        <w:tc>
          <w:tcPr>
            <w:tcW w:w="2881" w:type="dxa"/>
            <w:tcBorders>
              <w:top w:val="single" w:sz="4" w:space="0" w:color="000000"/>
              <w:left w:val="nil"/>
              <w:bottom w:val="single" w:sz="4" w:space="0" w:color="000000"/>
              <w:right w:val="nil"/>
            </w:tcBorders>
            <w:vAlign w:val="bottom"/>
          </w:tcPr>
          <w:p w14:paraId="14730074" w14:textId="77777777" w:rsidR="000B3C5C" w:rsidRDefault="00ED192D">
            <w:pPr>
              <w:spacing w:after="0" w:line="259" w:lineRule="auto"/>
              <w:ind w:left="0" w:firstLine="0"/>
            </w:pPr>
            <w:r>
              <w:rPr>
                <w:rFonts w:ascii="Arial" w:eastAsia="Arial" w:hAnsi="Arial" w:cs="Arial"/>
                <w:b/>
                <w:sz w:val="20"/>
              </w:rPr>
              <w:t xml:space="preserve">Atezolizumab management </w:t>
            </w:r>
          </w:p>
        </w:tc>
        <w:tc>
          <w:tcPr>
            <w:tcW w:w="3502" w:type="dxa"/>
            <w:gridSpan w:val="2"/>
            <w:tcBorders>
              <w:top w:val="single" w:sz="4" w:space="0" w:color="000000"/>
              <w:left w:val="nil"/>
              <w:bottom w:val="single" w:sz="4" w:space="0" w:color="000000"/>
              <w:right w:val="nil"/>
            </w:tcBorders>
            <w:vAlign w:val="bottom"/>
          </w:tcPr>
          <w:p w14:paraId="1AE51E76" w14:textId="77777777" w:rsidR="000B3C5C" w:rsidRDefault="00ED192D">
            <w:pPr>
              <w:spacing w:after="0" w:line="259" w:lineRule="auto"/>
              <w:ind w:left="0" w:right="46" w:firstLine="0"/>
              <w:jc w:val="center"/>
            </w:pPr>
            <w:r>
              <w:rPr>
                <w:rFonts w:ascii="Arial" w:eastAsia="Arial" w:hAnsi="Arial" w:cs="Arial"/>
                <w:b/>
                <w:sz w:val="20"/>
              </w:rPr>
              <w:t xml:space="preserve">Action and guidance </w:t>
            </w:r>
          </w:p>
        </w:tc>
      </w:tr>
      <w:tr w:rsidR="000B3C5C" w14:paraId="6CFCCC3D" w14:textId="77777777">
        <w:trPr>
          <w:trHeight w:val="2714"/>
        </w:trPr>
        <w:tc>
          <w:tcPr>
            <w:tcW w:w="1404" w:type="dxa"/>
            <w:tcBorders>
              <w:top w:val="single" w:sz="4" w:space="0" w:color="000000"/>
              <w:left w:val="nil"/>
              <w:bottom w:val="single" w:sz="12" w:space="0" w:color="000000"/>
              <w:right w:val="nil"/>
            </w:tcBorders>
          </w:tcPr>
          <w:p w14:paraId="1FFEFB07" w14:textId="77777777" w:rsidR="000B3C5C" w:rsidRDefault="00ED192D">
            <w:pPr>
              <w:spacing w:after="0" w:line="259" w:lineRule="auto"/>
              <w:ind w:left="180" w:firstLine="0"/>
            </w:pPr>
            <w:r>
              <w:rPr>
                <w:rFonts w:ascii="Arial" w:eastAsia="Arial" w:hAnsi="Arial" w:cs="Arial"/>
                <w:sz w:val="20"/>
              </w:rPr>
              <w:t xml:space="preserve">Renal event, </w:t>
            </w:r>
          </w:p>
          <w:p w14:paraId="13F10F9E" w14:textId="77777777" w:rsidR="000B3C5C" w:rsidRDefault="00ED192D">
            <w:pPr>
              <w:spacing w:after="0" w:line="259" w:lineRule="auto"/>
              <w:ind w:left="178" w:firstLine="0"/>
            </w:pPr>
            <w:r>
              <w:rPr>
                <w:rFonts w:ascii="Arial" w:eastAsia="Arial" w:hAnsi="Arial" w:cs="Arial"/>
                <w:sz w:val="20"/>
              </w:rPr>
              <w:t xml:space="preserve">Grade 3 or 4 </w:t>
            </w:r>
          </w:p>
        </w:tc>
        <w:tc>
          <w:tcPr>
            <w:tcW w:w="1913" w:type="dxa"/>
            <w:gridSpan w:val="2"/>
            <w:tcBorders>
              <w:top w:val="single" w:sz="4" w:space="0" w:color="000000"/>
              <w:left w:val="nil"/>
              <w:bottom w:val="single" w:sz="12" w:space="0" w:color="000000"/>
              <w:right w:val="nil"/>
            </w:tcBorders>
          </w:tcPr>
          <w:p w14:paraId="21F0CC3C" w14:textId="77777777" w:rsidR="000B3C5C" w:rsidRDefault="00ED192D">
            <w:pPr>
              <w:spacing w:after="2" w:line="239" w:lineRule="auto"/>
              <w:ind w:left="65" w:hanging="65"/>
            </w:pPr>
            <w:r>
              <w:rPr>
                <w:rFonts w:ascii="Arial" w:eastAsia="Arial" w:hAnsi="Arial" w:cs="Arial"/>
                <w:sz w:val="20"/>
              </w:rPr>
              <w:t xml:space="preserve">Grade 3:  delay or omit dose until resolves to </w:t>
            </w:r>
          </w:p>
          <w:p w14:paraId="2DD7D73D" w14:textId="77777777" w:rsidR="000B3C5C" w:rsidRDefault="00ED192D">
            <w:pPr>
              <w:spacing w:after="2" w:line="239" w:lineRule="auto"/>
              <w:ind w:left="65" w:firstLine="231"/>
            </w:pPr>
            <w:r>
              <w:rPr>
                <w:rFonts w:ascii="Arial" w:eastAsia="Arial" w:hAnsi="Arial" w:cs="Arial"/>
                <w:sz w:val="20"/>
              </w:rPr>
              <w:t xml:space="preserve">≤Grade 1 for a maximum of 2 weeks </w:t>
            </w:r>
          </w:p>
          <w:p w14:paraId="4C6916E7" w14:textId="77777777" w:rsidR="000B3C5C" w:rsidRDefault="00ED192D">
            <w:pPr>
              <w:spacing w:after="43" w:line="259" w:lineRule="auto"/>
              <w:ind w:left="144"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p w14:paraId="76A06A4A" w14:textId="77777777" w:rsidR="000B3C5C" w:rsidRDefault="00ED192D">
            <w:pPr>
              <w:spacing w:after="0" w:line="259" w:lineRule="auto"/>
              <w:ind w:left="464" w:hanging="409"/>
            </w:pPr>
            <w:r>
              <w:rPr>
                <w:rFonts w:ascii="Arial" w:eastAsia="Arial" w:hAnsi="Arial" w:cs="Arial"/>
                <w:sz w:val="20"/>
              </w:rPr>
              <w:t xml:space="preserve">Grade 4:  discontinue treatment. </w:t>
            </w:r>
          </w:p>
        </w:tc>
        <w:tc>
          <w:tcPr>
            <w:tcW w:w="2881" w:type="dxa"/>
            <w:tcBorders>
              <w:top w:val="single" w:sz="4" w:space="0" w:color="000000"/>
              <w:left w:val="nil"/>
              <w:bottom w:val="single" w:sz="12" w:space="0" w:color="000000"/>
              <w:right w:val="nil"/>
            </w:tcBorders>
          </w:tcPr>
          <w:p w14:paraId="031A98F0" w14:textId="77777777" w:rsidR="000B3C5C" w:rsidRDefault="00ED192D">
            <w:pPr>
              <w:spacing w:after="0" w:line="259" w:lineRule="auto"/>
              <w:ind w:left="0" w:right="192" w:firstLine="0"/>
              <w:jc w:val="center"/>
            </w:pPr>
            <w:r>
              <w:rPr>
                <w:rFonts w:ascii="Arial" w:eastAsia="Arial" w:hAnsi="Arial" w:cs="Arial"/>
                <w:sz w:val="20"/>
              </w:rPr>
              <w:t xml:space="preserve">Discontinue. </w:t>
            </w:r>
          </w:p>
        </w:tc>
        <w:tc>
          <w:tcPr>
            <w:tcW w:w="3502" w:type="dxa"/>
            <w:gridSpan w:val="2"/>
            <w:tcBorders>
              <w:top w:val="single" w:sz="4" w:space="0" w:color="000000"/>
              <w:left w:val="nil"/>
              <w:bottom w:val="single" w:sz="12" w:space="0" w:color="000000"/>
              <w:right w:val="nil"/>
            </w:tcBorders>
          </w:tcPr>
          <w:p w14:paraId="2E69F300" w14:textId="77777777" w:rsidR="000B3C5C" w:rsidRDefault="00ED192D">
            <w:pPr>
              <w:spacing w:after="0" w:line="259" w:lineRule="auto"/>
              <w:ind w:left="0" w:right="45"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319C093D" w14:textId="77777777" w:rsidR="000B3C5C" w:rsidRDefault="00ED192D">
            <w:pPr>
              <w:spacing w:after="60" w:line="241" w:lineRule="auto"/>
              <w:ind w:left="1217" w:hanging="1152"/>
            </w:pPr>
            <w:r>
              <w:rPr>
                <w:rFonts w:ascii="Arial" w:eastAsia="Arial" w:hAnsi="Arial" w:cs="Arial"/>
                <w:sz w:val="20"/>
              </w:rPr>
              <w:t xml:space="preserve">Refer patient to renal specialist and consider renal biopsy. </w:t>
            </w:r>
          </w:p>
          <w:p w14:paraId="4A1B4985" w14:textId="77777777" w:rsidR="000B3C5C" w:rsidRDefault="00ED192D">
            <w:pPr>
              <w:spacing w:after="58" w:line="241" w:lineRule="auto"/>
              <w:ind w:left="65" w:firstLine="288"/>
            </w:pPr>
            <w:r>
              <w:rPr>
                <w:rFonts w:ascii="Arial" w:eastAsia="Arial" w:hAnsi="Arial" w:cs="Arial"/>
                <w:sz w:val="20"/>
              </w:rPr>
              <w:t xml:space="preserve">Initiate treatment with corticosteroids equivalent to 1-2 mg/kg/day oral prednisone. </w:t>
            </w:r>
          </w:p>
          <w:p w14:paraId="13E03D6C" w14:textId="77777777" w:rsidR="000B3C5C" w:rsidRDefault="00ED192D">
            <w:pPr>
              <w:spacing w:after="58" w:line="241" w:lineRule="auto"/>
              <w:ind w:left="91" w:right="47" w:hanging="91"/>
              <w:jc w:val="both"/>
            </w:pPr>
            <w:r>
              <w:rPr>
                <w:rFonts w:ascii="Arial" w:eastAsia="Arial" w:hAnsi="Arial" w:cs="Arial"/>
                <w:sz w:val="20"/>
              </w:rPr>
              <w:t xml:space="preserve">If event does not improve within 48 hours after initiating corticosteroids, consider adding an immunosuppressive agent. </w:t>
            </w:r>
          </w:p>
          <w:p w14:paraId="1CA1245D" w14:textId="77777777" w:rsidR="000B3C5C" w:rsidRDefault="00ED192D">
            <w:pPr>
              <w:spacing w:after="0" w:line="259" w:lineRule="auto"/>
              <w:ind w:left="576" w:hanging="461"/>
            </w:pPr>
            <w:r>
              <w:rPr>
                <w:rFonts w:ascii="Arial" w:eastAsia="Arial" w:hAnsi="Arial" w:cs="Arial"/>
                <w:sz w:val="20"/>
              </w:rPr>
              <w:t xml:space="preserve">If event resolves to Grade 1 or better, taper corticosteroids over ≥1 month. </w:t>
            </w:r>
          </w:p>
        </w:tc>
      </w:tr>
    </w:tbl>
    <w:p w14:paraId="393432CD" w14:textId="77777777" w:rsidR="000B3C5C" w:rsidRDefault="00ED192D">
      <w:pPr>
        <w:spacing w:after="12"/>
        <w:ind w:left="-5" w:right="105"/>
      </w:pPr>
      <w:r>
        <w:rPr>
          <w:rFonts w:ascii="Arial" w:eastAsia="Arial" w:hAnsi="Arial" w:cs="Arial"/>
          <w:i/>
          <w:sz w:val="18"/>
        </w:rPr>
        <w:t xml:space="preserve">a </w:t>
      </w:r>
      <w:r>
        <w:rPr>
          <w:rFonts w:ascii="Arial" w:eastAsia="Arial" w:hAnsi="Arial" w:cs="Arial"/>
          <w:sz w:val="18"/>
        </w:rPr>
        <w:t>Atezolizumab may be withheld for a longer period of time (ie, &gt;</w:t>
      </w:r>
      <w:r>
        <w:rPr>
          <w:rFonts w:ascii="Arial" w:eastAsia="Arial" w:hAnsi="Arial" w:cs="Arial"/>
          <w:sz w:val="18"/>
        </w:rPr>
        <w:t xml:space="preserve">12 weeks after event onset) to allow for corticosteroids (if initiated) to be reduced to the equivalent of ≤10 mg/day oral prednisone.  The acceptable length of the extended period of time must be agreed upon by the Investigator and the Medical Monitor. </w:t>
      </w:r>
      <w:r>
        <w:rPr>
          <w:rFonts w:ascii="Arial" w:eastAsia="Arial" w:hAnsi="Arial" w:cs="Arial"/>
          <w:i/>
          <w:sz w:val="18"/>
        </w:rPr>
        <w:t xml:space="preserve">b </w:t>
      </w:r>
      <w:r>
        <w:rPr>
          <w:rFonts w:ascii="Arial" w:eastAsia="Arial" w:hAnsi="Arial" w:cs="Arial"/>
          <w:sz w:val="18"/>
        </w:rPr>
        <w:t xml:space="preserve">If corticosteroids have been initiated, they must be tapered over ≥1 month to the equivalent of ≤10 mg/day oral prednisone before atezolizumab can be resumed. </w:t>
      </w:r>
    </w:p>
    <w:p w14:paraId="228DB8DE" w14:textId="77777777" w:rsidR="000B3C5C" w:rsidRDefault="00ED192D">
      <w:pPr>
        <w:spacing w:after="310"/>
        <w:ind w:left="230" w:right="2" w:hanging="245"/>
      </w:pPr>
      <w:r>
        <w:rPr>
          <w:rFonts w:ascii="Arial" w:eastAsia="Arial" w:hAnsi="Arial" w:cs="Arial"/>
          <w:i/>
          <w:sz w:val="18"/>
        </w:rPr>
        <w:t xml:space="preserve">c </w:t>
      </w:r>
      <w:r>
        <w:rPr>
          <w:rFonts w:ascii="Arial" w:eastAsia="Arial" w:hAnsi="Arial" w:cs="Arial"/>
          <w:sz w:val="18"/>
        </w:rPr>
        <w:t xml:space="preserve">Resumption of atezolizumab may be considered in patients who are deriving benefit and have fully recovered from the immune related event.  Patients can be re challenged with atezolizumab only after approval has been documented by both the Investigator (or an appropriate delegate) and the Medical Monitor. </w:t>
      </w:r>
    </w:p>
    <w:p w14:paraId="31F9E0AF" w14:textId="77777777" w:rsidR="000B3C5C" w:rsidRDefault="00ED192D">
      <w:pPr>
        <w:pStyle w:val="Heading3"/>
        <w:spacing w:after="231"/>
        <w:ind w:left="-5" w:right="51"/>
      </w:pPr>
      <w:r>
        <w:rPr>
          <w:rFonts w:ascii="Times New Roman" w:eastAsia="Times New Roman" w:hAnsi="Times New Roman" w:cs="Times New Roman"/>
          <w:sz w:val="24"/>
        </w:rPr>
        <w:t xml:space="preserve">Immune-related Myositis </w:t>
      </w:r>
    </w:p>
    <w:p w14:paraId="5A2D70B7" w14:textId="77777777" w:rsidR="000B3C5C" w:rsidRDefault="00ED192D">
      <w:pPr>
        <w:ind w:left="-3" w:right="14"/>
      </w:pPr>
      <w:r>
        <w:t xml:space="preserve">Immune-related myositis has been associated with the administration of atezolizumab.  Myositis or inflammatory myopathies are a group of disorders sharing the common feature of inflammatory muscle injury; dermatomyositis and polymyositis are among the most common disorders.  Initial diagnosis is based on clinical (muscle weakness, muscle pain, skin rash in dermatomyositis), biochemical (serum creatine kinase increase), and imaging (electromyography/MRI) features, and is confirmed with a muscle biopsy. </w:t>
      </w:r>
    </w:p>
    <w:p w14:paraId="1C49FFD6" w14:textId="77777777" w:rsidR="000B3C5C" w:rsidRDefault="00ED192D">
      <w:pPr>
        <w:ind w:left="-3" w:right="14"/>
      </w:pPr>
      <w:r>
        <w:t xml:space="preserve">Patients with signs and symptoms of myositis, in the absence of an identified alternate etiology, should be treated according to the guidelines in </w:t>
      </w:r>
      <w:r>
        <w:rPr>
          <w:color w:val="0000FF"/>
        </w:rPr>
        <w:t>Table 29.</w:t>
      </w:r>
      <w:r>
        <w:t xml:space="preserve">  </w:t>
      </w:r>
    </w:p>
    <w:p w14:paraId="5DE88909" w14:textId="77777777" w:rsidR="000B3C5C" w:rsidRDefault="00ED192D">
      <w:pPr>
        <w:spacing w:after="0" w:line="259" w:lineRule="auto"/>
        <w:ind w:left="0" w:firstLine="0"/>
      </w:pPr>
      <w:r>
        <w:rPr>
          <w:b/>
        </w:rPr>
        <w:t xml:space="preserve"> </w:t>
      </w:r>
    </w:p>
    <w:p w14:paraId="3CDE055F" w14:textId="77777777" w:rsidR="000B3C5C" w:rsidRDefault="00ED192D">
      <w:pPr>
        <w:pStyle w:val="Heading4"/>
        <w:spacing w:after="3" w:line="259" w:lineRule="auto"/>
        <w:ind w:left="1722"/>
      </w:pPr>
      <w:r>
        <w:rPr>
          <w:sz w:val="20"/>
        </w:rPr>
        <w:t xml:space="preserve">Table 29 – Management Guidelines for Immune-related Myositis </w:t>
      </w:r>
      <w:r>
        <w:rPr>
          <w:b w:val="0"/>
          <w:sz w:val="20"/>
        </w:rPr>
        <w:t xml:space="preserve"> </w:t>
      </w:r>
    </w:p>
    <w:tbl>
      <w:tblPr>
        <w:tblStyle w:val="TableGrid"/>
        <w:tblW w:w="9700" w:type="dxa"/>
        <w:tblInd w:w="-122" w:type="dxa"/>
        <w:tblCellMar>
          <w:top w:w="81" w:type="dxa"/>
          <w:left w:w="0" w:type="dxa"/>
          <w:bottom w:w="64" w:type="dxa"/>
          <w:right w:w="23" w:type="dxa"/>
        </w:tblCellMar>
        <w:tblLook w:val="04A0" w:firstRow="1" w:lastRow="0" w:firstColumn="1" w:lastColumn="0" w:noHBand="0" w:noVBand="1"/>
      </w:tblPr>
      <w:tblGrid>
        <w:gridCol w:w="1686"/>
        <w:gridCol w:w="1816"/>
        <w:gridCol w:w="2757"/>
        <w:gridCol w:w="3441"/>
      </w:tblGrid>
      <w:tr w:rsidR="000B3C5C" w14:paraId="06CB795F" w14:textId="77777777">
        <w:trPr>
          <w:trHeight w:val="590"/>
        </w:trPr>
        <w:tc>
          <w:tcPr>
            <w:tcW w:w="1469" w:type="dxa"/>
            <w:tcBorders>
              <w:top w:val="single" w:sz="4" w:space="0" w:color="000000"/>
              <w:left w:val="nil"/>
              <w:bottom w:val="single" w:sz="4" w:space="0" w:color="000000"/>
              <w:right w:val="nil"/>
            </w:tcBorders>
            <w:vAlign w:val="bottom"/>
          </w:tcPr>
          <w:p w14:paraId="2C80E4F4" w14:textId="77777777" w:rsidR="000B3C5C" w:rsidRDefault="00ED192D">
            <w:pPr>
              <w:spacing w:after="0" w:line="259" w:lineRule="auto"/>
              <w:ind w:left="0" w:right="139" w:firstLine="0"/>
              <w:jc w:val="center"/>
            </w:pPr>
            <w:r>
              <w:rPr>
                <w:rFonts w:ascii="Arial" w:eastAsia="Arial" w:hAnsi="Arial" w:cs="Arial"/>
                <w:b/>
                <w:sz w:val="20"/>
              </w:rPr>
              <w:t xml:space="preserve">Event </w:t>
            </w:r>
          </w:p>
        </w:tc>
        <w:tc>
          <w:tcPr>
            <w:tcW w:w="1849" w:type="dxa"/>
            <w:tcBorders>
              <w:top w:val="single" w:sz="4" w:space="0" w:color="000000"/>
              <w:left w:val="nil"/>
              <w:bottom w:val="single" w:sz="4" w:space="0" w:color="000000"/>
              <w:right w:val="nil"/>
            </w:tcBorders>
          </w:tcPr>
          <w:p w14:paraId="67DC3D81" w14:textId="77777777" w:rsidR="000B3C5C" w:rsidRDefault="00ED192D">
            <w:pPr>
              <w:spacing w:after="0" w:line="259" w:lineRule="auto"/>
              <w:ind w:left="151" w:firstLine="97"/>
            </w:pPr>
            <w:r>
              <w:rPr>
                <w:rFonts w:ascii="Arial" w:eastAsia="Arial" w:hAnsi="Arial" w:cs="Arial"/>
                <w:b/>
                <w:sz w:val="20"/>
              </w:rPr>
              <w:t xml:space="preserve">Isatuximab management </w:t>
            </w:r>
          </w:p>
        </w:tc>
        <w:tc>
          <w:tcPr>
            <w:tcW w:w="2855" w:type="dxa"/>
            <w:tcBorders>
              <w:top w:val="single" w:sz="4" w:space="0" w:color="000000"/>
              <w:left w:val="nil"/>
              <w:bottom w:val="single" w:sz="4" w:space="0" w:color="000000"/>
              <w:right w:val="nil"/>
            </w:tcBorders>
            <w:vAlign w:val="bottom"/>
          </w:tcPr>
          <w:p w14:paraId="0730680A" w14:textId="77777777" w:rsidR="000B3C5C" w:rsidRDefault="00ED192D">
            <w:pPr>
              <w:spacing w:after="0" w:line="259" w:lineRule="auto"/>
              <w:ind w:left="14" w:firstLine="0"/>
            </w:pPr>
            <w:r>
              <w:rPr>
                <w:rFonts w:ascii="Arial" w:eastAsia="Arial" w:hAnsi="Arial" w:cs="Arial"/>
                <w:b/>
                <w:sz w:val="20"/>
              </w:rPr>
              <w:t xml:space="preserve">Atezolizumab management </w:t>
            </w:r>
          </w:p>
        </w:tc>
        <w:tc>
          <w:tcPr>
            <w:tcW w:w="3528" w:type="dxa"/>
            <w:tcBorders>
              <w:top w:val="single" w:sz="4" w:space="0" w:color="000000"/>
              <w:left w:val="nil"/>
              <w:bottom w:val="single" w:sz="4" w:space="0" w:color="000000"/>
              <w:right w:val="nil"/>
            </w:tcBorders>
            <w:vAlign w:val="bottom"/>
          </w:tcPr>
          <w:p w14:paraId="671409DE" w14:textId="77777777" w:rsidR="000B3C5C" w:rsidRDefault="00ED192D">
            <w:pPr>
              <w:spacing w:after="0" w:line="259" w:lineRule="auto"/>
              <w:ind w:left="0" w:right="92" w:firstLine="0"/>
              <w:jc w:val="center"/>
            </w:pPr>
            <w:r>
              <w:rPr>
                <w:rFonts w:ascii="Arial" w:eastAsia="Arial" w:hAnsi="Arial" w:cs="Arial"/>
                <w:b/>
                <w:sz w:val="20"/>
              </w:rPr>
              <w:t xml:space="preserve">Action and guidance </w:t>
            </w:r>
          </w:p>
        </w:tc>
      </w:tr>
      <w:tr w:rsidR="000B3C5C" w14:paraId="7BFD710A" w14:textId="77777777">
        <w:trPr>
          <w:trHeight w:val="1063"/>
        </w:trPr>
        <w:tc>
          <w:tcPr>
            <w:tcW w:w="1469" w:type="dxa"/>
            <w:tcBorders>
              <w:top w:val="single" w:sz="4" w:space="0" w:color="000000"/>
              <w:left w:val="nil"/>
              <w:bottom w:val="nil"/>
              <w:right w:val="nil"/>
            </w:tcBorders>
          </w:tcPr>
          <w:p w14:paraId="46FBDE52" w14:textId="77777777" w:rsidR="000B3C5C" w:rsidRDefault="00ED192D">
            <w:pPr>
              <w:spacing w:after="0" w:line="241" w:lineRule="auto"/>
              <w:ind w:left="403" w:hanging="74"/>
            </w:pPr>
            <w:r>
              <w:rPr>
                <w:rFonts w:ascii="Arial" w:eastAsia="Arial" w:hAnsi="Arial" w:cs="Arial"/>
                <w:sz w:val="20"/>
              </w:rPr>
              <w:t xml:space="preserve">Immunerelated </w:t>
            </w:r>
          </w:p>
          <w:p w14:paraId="478CBB18" w14:textId="77777777" w:rsidR="000B3C5C" w:rsidRDefault="00ED192D">
            <w:pPr>
              <w:spacing w:after="0" w:line="259" w:lineRule="auto"/>
              <w:ind w:left="336" w:firstLine="0"/>
            </w:pPr>
            <w:r>
              <w:rPr>
                <w:rFonts w:ascii="Arial" w:eastAsia="Arial" w:hAnsi="Arial" w:cs="Arial"/>
                <w:sz w:val="20"/>
              </w:rPr>
              <w:t xml:space="preserve">myositis, </w:t>
            </w:r>
          </w:p>
          <w:p w14:paraId="7CF2503F" w14:textId="77777777" w:rsidR="000B3C5C" w:rsidRDefault="00ED192D">
            <w:pPr>
              <w:spacing w:after="0" w:line="259" w:lineRule="auto"/>
              <w:ind w:left="358" w:firstLine="0"/>
            </w:pPr>
            <w:r>
              <w:rPr>
                <w:rFonts w:ascii="Arial" w:eastAsia="Arial" w:hAnsi="Arial" w:cs="Arial"/>
                <w:sz w:val="20"/>
              </w:rPr>
              <w:t xml:space="preserve">Grade 1 </w:t>
            </w:r>
          </w:p>
        </w:tc>
        <w:tc>
          <w:tcPr>
            <w:tcW w:w="1849" w:type="dxa"/>
            <w:tcBorders>
              <w:top w:val="single" w:sz="4" w:space="0" w:color="000000"/>
              <w:left w:val="nil"/>
              <w:bottom w:val="nil"/>
              <w:right w:val="nil"/>
            </w:tcBorders>
          </w:tcPr>
          <w:p w14:paraId="76FD7A7E" w14:textId="77777777" w:rsidR="000B3C5C" w:rsidRDefault="00ED192D">
            <w:pPr>
              <w:spacing w:after="0" w:line="259" w:lineRule="auto"/>
              <w:ind w:left="84" w:firstLine="0"/>
            </w:pPr>
            <w:r>
              <w:rPr>
                <w:rFonts w:ascii="Arial" w:eastAsia="Arial" w:hAnsi="Arial" w:cs="Arial"/>
                <w:sz w:val="20"/>
              </w:rPr>
              <w:t xml:space="preserve">No change in dose </w:t>
            </w:r>
          </w:p>
        </w:tc>
        <w:tc>
          <w:tcPr>
            <w:tcW w:w="2855" w:type="dxa"/>
            <w:tcBorders>
              <w:top w:val="single" w:sz="4" w:space="0" w:color="000000"/>
              <w:left w:val="nil"/>
              <w:bottom w:val="nil"/>
              <w:right w:val="nil"/>
            </w:tcBorders>
          </w:tcPr>
          <w:p w14:paraId="75512C7B" w14:textId="77777777" w:rsidR="000B3C5C" w:rsidRDefault="00ED192D">
            <w:pPr>
              <w:spacing w:after="0" w:line="259" w:lineRule="auto"/>
              <w:ind w:left="622" w:firstLine="0"/>
            </w:pPr>
            <w:r>
              <w:rPr>
                <w:rFonts w:ascii="Arial" w:eastAsia="Arial" w:hAnsi="Arial" w:cs="Arial"/>
                <w:sz w:val="20"/>
              </w:rPr>
              <w:t xml:space="preserve">No change in dose </w:t>
            </w:r>
          </w:p>
        </w:tc>
        <w:tc>
          <w:tcPr>
            <w:tcW w:w="3528" w:type="dxa"/>
            <w:tcBorders>
              <w:top w:val="single" w:sz="4" w:space="0" w:color="000000"/>
              <w:left w:val="nil"/>
              <w:bottom w:val="nil"/>
              <w:right w:val="nil"/>
            </w:tcBorders>
          </w:tcPr>
          <w:p w14:paraId="46245C80" w14:textId="77777777" w:rsidR="000B3C5C" w:rsidRDefault="00ED192D">
            <w:pPr>
              <w:spacing w:after="0" w:line="259" w:lineRule="auto"/>
              <w:ind w:left="0" w:firstLine="46"/>
            </w:pPr>
            <w:r>
              <w:rPr>
                <w:rFonts w:ascii="Arial" w:eastAsia="Arial" w:hAnsi="Arial" w:cs="Arial"/>
                <w:sz w:val="20"/>
              </w:rPr>
              <w:t xml:space="preserve">Refer patient to rheumatologist or neurologist. </w:t>
            </w:r>
            <w:r>
              <w:rPr>
                <w:rFonts w:ascii="Arial" w:eastAsia="Arial" w:hAnsi="Arial" w:cs="Arial"/>
                <w:sz w:val="20"/>
              </w:rPr>
              <w:t xml:space="preserve">Initiate treatment as per institutional guidelines. </w:t>
            </w:r>
          </w:p>
        </w:tc>
      </w:tr>
      <w:tr w:rsidR="000B3C5C" w14:paraId="286B3247" w14:textId="77777777">
        <w:trPr>
          <w:trHeight w:val="2659"/>
        </w:trPr>
        <w:tc>
          <w:tcPr>
            <w:tcW w:w="1469" w:type="dxa"/>
            <w:tcBorders>
              <w:top w:val="nil"/>
              <w:left w:val="nil"/>
              <w:bottom w:val="nil"/>
              <w:right w:val="nil"/>
            </w:tcBorders>
          </w:tcPr>
          <w:p w14:paraId="44E684F8" w14:textId="77777777" w:rsidR="000B3C5C" w:rsidRDefault="00ED192D">
            <w:pPr>
              <w:spacing w:after="0" w:line="241" w:lineRule="auto"/>
              <w:ind w:left="403" w:hanging="74"/>
            </w:pPr>
            <w:r>
              <w:rPr>
                <w:rFonts w:ascii="Arial" w:eastAsia="Arial" w:hAnsi="Arial" w:cs="Arial"/>
                <w:sz w:val="20"/>
              </w:rPr>
              <w:t xml:space="preserve">Immunerelated </w:t>
            </w:r>
          </w:p>
          <w:p w14:paraId="5A87ECFE" w14:textId="77777777" w:rsidR="000B3C5C" w:rsidRDefault="00ED192D">
            <w:pPr>
              <w:spacing w:after="0" w:line="259" w:lineRule="auto"/>
              <w:ind w:left="336" w:firstLine="0"/>
            </w:pPr>
            <w:r>
              <w:rPr>
                <w:rFonts w:ascii="Arial" w:eastAsia="Arial" w:hAnsi="Arial" w:cs="Arial"/>
                <w:sz w:val="20"/>
              </w:rPr>
              <w:t xml:space="preserve">myositis, </w:t>
            </w:r>
          </w:p>
          <w:p w14:paraId="2B9BB061" w14:textId="77777777" w:rsidR="000B3C5C" w:rsidRDefault="00ED192D">
            <w:pPr>
              <w:spacing w:after="0" w:line="259" w:lineRule="auto"/>
              <w:ind w:left="358" w:firstLine="0"/>
            </w:pPr>
            <w:r>
              <w:rPr>
                <w:rFonts w:ascii="Arial" w:eastAsia="Arial" w:hAnsi="Arial" w:cs="Arial"/>
                <w:sz w:val="20"/>
              </w:rPr>
              <w:t xml:space="preserve">Grade 2 </w:t>
            </w:r>
          </w:p>
        </w:tc>
        <w:tc>
          <w:tcPr>
            <w:tcW w:w="1849" w:type="dxa"/>
            <w:tcBorders>
              <w:top w:val="nil"/>
              <w:left w:val="nil"/>
              <w:bottom w:val="nil"/>
              <w:right w:val="nil"/>
            </w:tcBorders>
          </w:tcPr>
          <w:p w14:paraId="0ECA467E" w14:textId="77777777" w:rsidR="000B3C5C" w:rsidRDefault="00ED192D">
            <w:pPr>
              <w:spacing w:after="0" w:line="241" w:lineRule="auto"/>
              <w:ind w:left="199" w:right="30" w:hanging="113"/>
            </w:pPr>
            <w:r>
              <w:rPr>
                <w:rFonts w:ascii="Arial" w:eastAsia="Arial" w:hAnsi="Arial" w:cs="Arial"/>
                <w:sz w:val="20"/>
              </w:rPr>
              <w:t xml:space="preserve">Delay or omit dose until resolves to </w:t>
            </w:r>
          </w:p>
          <w:p w14:paraId="00FF0DAB" w14:textId="77777777" w:rsidR="000B3C5C" w:rsidRDefault="00ED192D">
            <w:pPr>
              <w:spacing w:after="0" w:line="241" w:lineRule="auto"/>
              <w:ind w:left="0" w:firstLine="231"/>
            </w:pPr>
            <w:r>
              <w:rPr>
                <w:rFonts w:ascii="Arial" w:eastAsia="Arial" w:hAnsi="Arial" w:cs="Arial"/>
                <w:sz w:val="20"/>
              </w:rPr>
              <w:t xml:space="preserve">≤Grade 1 for a maximum of 2 weeks </w:t>
            </w:r>
          </w:p>
          <w:p w14:paraId="53BC0DF2" w14:textId="77777777" w:rsidR="000B3C5C" w:rsidRDefault="00ED192D">
            <w:pPr>
              <w:spacing w:after="0" w:line="259" w:lineRule="auto"/>
              <w:ind w:left="79"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855" w:type="dxa"/>
            <w:tcBorders>
              <w:top w:val="nil"/>
              <w:left w:val="nil"/>
              <w:bottom w:val="nil"/>
              <w:right w:val="nil"/>
            </w:tcBorders>
          </w:tcPr>
          <w:p w14:paraId="706FD8ED" w14:textId="77777777" w:rsidR="000B3C5C" w:rsidRDefault="00ED192D">
            <w:pPr>
              <w:spacing w:after="0" w:line="233" w:lineRule="auto"/>
              <w:ind w:left="247" w:hanging="156"/>
            </w:pPr>
            <w:r>
              <w:rPr>
                <w:rFonts w:ascii="Arial" w:eastAsia="Arial" w:hAnsi="Arial" w:cs="Arial"/>
                <w:sz w:val="20"/>
              </w:rPr>
              <w:t>Withhold dose for up to 12 weeks after event onset and contact Medical Monitor</w:t>
            </w:r>
            <w:r>
              <w:rPr>
                <w:rFonts w:ascii="Arial" w:eastAsia="Arial" w:hAnsi="Arial" w:cs="Arial"/>
                <w:i/>
                <w:color w:val="0000FF"/>
                <w:sz w:val="28"/>
                <w:vertAlign w:val="superscript"/>
              </w:rPr>
              <w:t>a</w:t>
            </w:r>
            <w:r>
              <w:rPr>
                <w:rFonts w:ascii="Arial" w:eastAsia="Arial" w:hAnsi="Arial" w:cs="Arial"/>
                <w:sz w:val="20"/>
              </w:rPr>
              <w:t xml:space="preserve"> </w:t>
            </w:r>
          </w:p>
          <w:p w14:paraId="0DE1E381" w14:textId="77777777" w:rsidR="000B3C5C" w:rsidRDefault="00ED192D">
            <w:pPr>
              <w:spacing w:after="15" w:line="223" w:lineRule="auto"/>
              <w:ind w:left="228" w:hanging="26"/>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2DE17274" w14:textId="77777777" w:rsidR="000B3C5C" w:rsidRDefault="00ED192D">
            <w:pPr>
              <w:spacing w:after="0" w:line="241" w:lineRule="auto"/>
              <w:ind w:left="358" w:right="34" w:hanging="358"/>
            </w:pPr>
            <w:r>
              <w:rPr>
                <w:rFonts w:ascii="Arial" w:eastAsia="Arial" w:hAnsi="Arial" w:cs="Arial"/>
                <w:sz w:val="20"/>
              </w:rPr>
              <w:t xml:space="preserve">If event does not resolve to Grade 1 or better while withholding </w:t>
            </w:r>
          </w:p>
          <w:p w14:paraId="3CF09486" w14:textId="77777777" w:rsidR="000B3C5C" w:rsidRDefault="00ED192D">
            <w:pPr>
              <w:spacing w:after="0" w:line="259" w:lineRule="auto"/>
              <w:ind w:left="326" w:firstLine="0"/>
            </w:pPr>
            <w:r>
              <w:rPr>
                <w:rFonts w:ascii="Arial" w:eastAsia="Arial" w:hAnsi="Arial" w:cs="Arial"/>
                <w:sz w:val="20"/>
              </w:rPr>
              <w:t xml:space="preserve">atezolizumab, permanently </w:t>
            </w:r>
          </w:p>
          <w:p w14:paraId="747E9DFC" w14:textId="77777777" w:rsidR="000B3C5C" w:rsidRDefault="00ED192D">
            <w:pPr>
              <w:spacing w:after="0" w:line="259" w:lineRule="auto"/>
              <w:ind w:left="401" w:hanging="175"/>
            </w:pPr>
            <w:r>
              <w:rPr>
                <w:rFonts w:ascii="Arial" w:eastAsia="Arial" w:hAnsi="Arial" w:cs="Arial"/>
                <w:sz w:val="20"/>
              </w:rPr>
              <w:t>discontinue atezolizumab and 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c>
          <w:tcPr>
            <w:tcW w:w="3528" w:type="dxa"/>
            <w:tcBorders>
              <w:top w:val="nil"/>
              <w:left w:val="nil"/>
              <w:bottom w:val="nil"/>
              <w:right w:val="nil"/>
            </w:tcBorders>
          </w:tcPr>
          <w:p w14:paraId="387FCD6D" w14:textId="77777777" w:rsidR="000B3C5C" w:rsidRDefault="00ED192D">
            <w:pPr>
              <w:spacing w:after="43" w:line="259" w:lineRule="auto"/>
              <w:ind w:left="46" w:firstLine="0"/>
            </w:pPr>
            <w:r>
              <w:rPr>
                <w:rFonts w:ascii="Arial" w:eastAsia="Arial" w:hAnsi="Arial" w:cs="Arial"/>
                <w:sz w:val="20"/>
              </w:rPr>
              <w:t xml:space="preserve">Refer patient to rheumatologist or neurologist. </w:t>
            </w:r>
          </w:p>
          <w:p w14:paraId="19F89243" w14:textId="77777777" w:rsidR="000B3C5C" w:rsidRDefault="00ED192D">
            <w:pPr>
              <w:spacing w:after="41" w:line="259" w:lineRule="auto"/>
              <w:ind w:left="0" w:firstLine="0"/>
              <w:jc w:val="both"/>
            </w:pPr>
            <w:r>
              <w:rPr>
                <w:rFonts w:ascii="Arial" w:eastAsia="Arial" w:hAnsi="Arial" w:cs="Arial"/>
                <w:sz w:val="20"/>
              </w:rPr>
              <w:t xml:space="preserve">Initiate treatment as per institutional guidelines. </w:t>
            </w:r>
          </w:p>
          <w:p w14:paraId="700FC8A3" w14:textId="77777777" w:rsidR="000B3C5C" w:rsidRDefault="00ED192D">
            <w:pPr>
              <w:spacing w:after="0" w:line="241" w:lineRule="auto"/>
              <w:ind w:left="603" w:hanging="310"/>
            </w:pPr>
            <w:r>
              <w:rPr>
                <w:rFonts w:ascii="Arial" w:eastAsia="Arial" w:hAnsi="Arial" w:cs="Arial"/>
                <w:sz w:val="20"/>
              </w:rPr>
              <w:t xml:space="preserve">Consider treatment with corticosteroids equivalent to 1-2 mg/kg/day IV </w:t>
            </w:r>
          </w:p>
          <w:p w14:paraId="28910D2D" w14:textId="77777777" w:rsidR="000B3C5C" w:rsidRDefault="00ED192D">
            <w:pPr>
              <w:spacing w:after="0" w:line="259" w:lineRule="auto"/>
              <w:ind w:left="0" w:right="86" w:firstLine="0"/>
              <w:jc w:val="center"/>
            </w:pPr>
            <w:r>
              <w:rPr>
                <w:rFonts w:ascii="Arial" w:eastAsia="Arial" w:hAnsi="Arial" w:cs="Arial"/>
                <w:sz w:val="20"/>
              </w:rPr>
              <w:t xml:space="preserve">methylprednisolone and convert to 1-2 </w:t>
            </w:r>
          </w:p>
          <w:p w14:paraId="5FB349D8" w14:textId="77777777" w:rsidR="000B3C5C" w:rsidRDefault="00ED192D">
            <w:pPr>
              <w:spacing w:after="1" w:line="240" w:lineRule="auto"/>
              <w:ind w:left="123" w:hanging="77"/>
            </w:pPr>
            <w:r>
              <w:rPr>
                <w:rFonts w:ascii="Arial" w:eastAsia="Arial" w:hAnsi="Arial" w:cs="Arial"/>
                <w:sz w:val="20"/>
              </w:rPr>
              <w:t xml:space="preserve">mg/kg/day oral prednisone or equivalent upon improvement.  If corticosteroids are initiated and event does not improve within 48 hours </w:t>
            </w:r>
          </w:p>
          <w:p w14:paraId="7C24BCC8" w14:textId="77777777" w:rsidR="000B3C5C" w:rsidRDefault="00ED192D">
            <w:pPr>
              <w:spacing w:after="0" w:line="259" w:lineRule="auto"/>
              <w:ind w:left="615" w:hanging="569"/>
            </w:pPr>
            <w:r>
              <w:rPr>
                <w:rFonts w:ascii="Arial" w:eastAsia="Arial" w:hAnsi="Arial" w:cs="Arial"/>
                <w:sz w:val="20"/>
              </w:rPr>
              <w:t xml:space="preserve">after initiating corticosteroids, consider adding an immunosuppressive agent. </w:t>
            </w:r>
          </w:p>
        </w:tc>
      </w:tr>
      <w:tr w:rsidR="000B3C5C" w14:paraId="1BEC5708" w14:textId="77777777">
        <w:trPr>
          <w:trHeight w:val="3726"/>
        </w:trPr>
        <w:tc>
          <w:tcPr>
            <w:tcW w:w="1469" w:type="dxa"/>
            <w:tcBorders>
              <w:top w:val="nil"/>
              <w:left w:val="nil"/>
              <w:bottom w:val="single" w:sz="4" w:space="0" w:color="000000"/>
              <w:right w:val="nil"/>
            </w:tcBorders>
          </w:tcPr>
          <w:p w14:paraId="33749DBE" w14:textId="77777777" w:rsidR="000B3C5C" w:rsidRDefault="00ED192D">
            <w:pPr>
              <w:spacing w:after="2" w:line="239" w:lineRule="auto"/>
              <w:ind w:left="403" w:hanging="74"/>
            </w:pPr>
            <w:r>
              <w:rPr>
                <w:rFonts w:ascii="Arial" w:eastAsia="Arial" w:hAnsi="Arial" w:cs="Arial"/>
                <w:sz w:val="20"/>
              </w:rPr>
              <w:t xml:space="preserve">Immunerelated </w:t>
            </w:r>
          </w:p>
          <w:p w14:paraId="1BD45499" w14:textId="77777777" w:rsidR="000B3C5C" w:rsidRDefault="00ED192D">
            <w:pPr>
              <w:spacing w:after="0" w:line="259" w:lineRule="auto"/>
              <w:ind w:left="336" w:firstLine="0"/>
            </w:pPr>
            <w:r>
              <w:rPr>
                <w:rFonts w:ascii="Arial" w:eastAsia="Arial" w:hAnsi="Arial" w:cs="Arial"/>
                <w:sz w:val="20"/>
              </w:rPr>
              <w:t xml:space="preserve">myositis, </w:t>
            </w:r>
          </w:p>
          <w:p w14:paraId="3BBE2B81" w14:textId="77777777" w:rsidR="000B3C5C" w:rsidRDefault="00ED192D">
            <w:pPr>
              <w:spacing w:after="0" w:line="259" w:lineRule="auto"/>
              <w:ind w:left="358" w:firstLine="0"/>
            </w:pPr>
            <w:r>
              <w:rPr>
                <w:rFonts w:ascii="Arial" w:eastAsia="Arial" w:hAnsi="Arial" w:cs="Arial"/>
                <w:sz w:val="20"/>
              </w:rPr>
              <w:t xml:space="preserve">Grade 3 </w:t>
            </w:r>
          </w:p>
        </w:tc>
        <w:tc>
          <w:tcPr>
            <w:tcW w:w="1849" w:type="dxa"/>
            <w:tcBorders>
              <w:top w:val="nil"/>
              <w:left w:val="nil"/>
              <w:bottom w:val="single" w:sz="4" w:space="0" w:color="000000"/>
              <w:right w:val="nil"/>
            </w:tcBorders>
          </w:tcPr>
          <w:p w14:paraId="0997B701" w14:textId="77777777" w:rsidR="000B3C5C" w:rsidRDefault="00ED192D">
            <w:pPr>
              <w:spacing w:after="2" w:line="239" w:lineRule="auto"/>
              <w:ind w:left="199" w:right="30" w:hanging="113"/>
            </w:pPr>
            <w:r>
              <w:rPr>
                <w:rFonts w:ascii="Arial" w:eastAsia="Arial" w:hAnsi="Arial" w:cs="Arial"/>
                <w:sz w:val="20"/>
              </w:rPr>
              <w:t xml:space="preserve">Delay or omit dose until resolves to </w:t>
            </w:r>
          </w:p>
          <w:p w14:paraId="1C544B40" w14:textId="77777777" w:rsidR="000B3C5C" w:rsidRDefault="00ED192D">
            <w:pPr>
              <w:spacing w:after="0" w:line="241" w:lineRule="auto"/>
              <w:ind w:left="0" w:firstLine="231"/>
            </w:pPr>
            <w:r>
              <w:rPr>
                <w:rFonts w:ascii="Arial" w:eastAsia="Arial" w:hAnsi="Arial" w:cs="Arial"/>
                <w:sz w:val="20"/>
              </w:rPr>
              <w:t xml:space="preserve">≤Grade 1 for a maximum of 2 weeks </w:t>
            </w:r>
          </w:p>
          <w:p w14:paraId="68D79E54" w14:textId="77777777" w:rsidR="000B3C5C" w:rsidRDefault="00ED192D">
            <w:pPr>
              <w:spacing w:after="0" w:line="259" w:lineRule="auto"/>
              <w:ind w:left="79" w:firstLine="0"/>
            </w:pPr>
            <w:r>
              <w:rPr>
                <w:rFonts w:ascii="Arial" w:eastAsia="Arial" w:hAnsi="Arial" w:cs="Arial"/>
                <w:sz w:val="20"/>
              </w:rPr>
              <w:t xml:space="preserve">(see </w:t>
            </w:r>
            <w:r>
              <w:rPr>
                <w:rFonts w:ascii="Arial" w:eastAsia="Arial" w:hAnsi="Arial" w:cs="Arial"/>
                <w:color w:val="0000FF"/>
                <w:sz w:val="20"/>
              </w:rPr>
              <w:t>Section</w:t>
            </w:r>
            <w:r>
              <w:rPr>
                <w:rFonts w:ascii="Arial" w:eastAsia="Arial" w:hAnsi="Arial" w:cs="Arial"/>
                <w:sz w:val="20"/>
              </w:rPr>
              <w:t xml:space="preserve"> </w:t>
            </w:r>
            <w:r>
              <w:rPr>
                <w:rFonts w:ascii="Arial" w:eastAsia="Arial" w:hAnsi="Arial" w:cs="Arial"/>
                <w:color w:val="0000FF"/>
                <w:sz w:val="20"/>
              </w:rPr>
              <w:t>6.6.2</w:t>
            </w:r>
            <w:r>
              <w:rPr>
                <w:rFonts w:ascii="Arial" w:eastAsia="Arial" w:hAnsi="Arial" w:cs="Arial"/>
                <w:sz w:val="20"/>
              </w:rPr>
              <w:t xml:space="preserve">) </w:t>
            </w:r>
          </w:p>
        </w:tc>
        <w:tc>
          <w:tcPr>
            <w:tcW w:w="2855" w:type="dxa"/>
            <w:tcBorders>
              <w:top w:val="nil"/>
              <w:left w:val="nil"/>
              <w:bottom w:val="single" w:sz="4" w:space="0" w:color="000000"/>
              <w:right w:val="nil"/>
            </w:tcBorders>
          </w:tcPr>
          <w:p w14:paraId="32E1F2AE" w14:textId="77777777" w:rsidR="000B3C5C" w:rsidRDefault="00ED192D">
            <w:pPr>
              <w:spacing w:after="9" w:line="230" w:lineRule="auto"/>
              <w:ind w:left="247" w:hanging="156"/>
            </w:pPr>
            <w:r>
              <w:rPr>
                <w:rFonts w:ascii="Arial" w:eastAsia="Arial" w:hAnsi="Arial" w:cs="Arial"/>
                <w:sz w:val="20"/>
              </w:rPr>
              <w:t>Withhold dose for up to 12 weeks after event onset and contact Medical Monitor</w:t>
            </w:r>
            <w:r>
              <w:rPr>
                <w:rFonts w:ascii="Arial" w:eastAsia="Arial" w:hAnsi="Arial" w:cs="Arial"/>
                <w:i/>
                <w:color w:val="0000FF"/>
                <w:sz w:val="28"/>
                <w:vertAlign w:val="superscript"/>
              </w:rPr>
              <w:t>a</w:t>
            </w:r>
            <w:r>
              <w:rPr>
                <w:rFonts w:ascii="Arial" w:eastAsia="Arial" w:hAnsi="Arial" w:cs="Arial"/>
                <w:sz w:val="20"/>
              </w:rPr>
              <w:t xml:space="preserve"> </w:t>
            </w:r>
          </w:p>
          <w:p w14:paraId="2127C1D9" w14:textId="77777777" w:rsidR="000B3C5C" w:rsidRDefault="00ED192D">
            <w:pPr>
              <w:spacing w:after="15" w:line="223" w:lineRule="auto"/>
              <w:ind w:left="228" w:hanging="26"/>
            </w:pPr>
            <w:r>
              <w:rPr>
                <w:rFonts w:ascii="Arial" w:eastAsia="Arial" w:hAnsi="Arial" w:cs="Arial"/>
                <w:sz w:val="20"/>
              </w:rPr>
              <w:t>If event resolves to Grade 1 or better, resume atezolizumab</w:t>
            </w:r>
            <w:r>
              <w:rPr>
                <w:rFonts w:ascii="Arial" w:eastAsia="Arial" w:hAnsi="Arial" w:cs="Arial"/>
                <w:i/>
                <w:color w:val="0000FF"/>
                <w:sz w:val="28"/>
                <w:vertAlign w:val="superscript"/>
              </w:rPr>
              <w:t>b</w:t>
            </w:r>
            <w:r>
              <w:rPr>
                <w:rFonts w:ascii="Arial" w:eastAsia="Arial" w:hAnsi="Arial" w:cs="Arial"/>
                <w:sz w:val="20"/>
              </w:rPr>
              <w:t xml:space="preserve"> </w:t>
            </w:r>
          </w:p>
          <w:p w14:paraId="0D4463FF" w14:textId="77777777" w:rsidR="000B3C5C" w:rsidRDefault="00ED192D">
            <w:pPr>
              <w:spacing w:after="0" w:line="241" w:lineRule="auto"/>
              <w:ind w:left="358" w:right="34" w:hanging="358"/>
            </w:pPr>
            <w:r>
              <w:rPr>
                <w:rFonts w:ascii="Arial" w:eastAsia="Arial" w:hAnsi="Arial" w:cs="Arial"/>
                <w:sz w:val="20"/>
              </w:rPr>
              <w:t xml:space="preserve">If event does not resolve to Grade 1 or better while withholding </w:t>
            </w:r>
          </w:p>
          <w:p w14:paraId="13BCF007" w14:textId="77777777" w:rsidR="000B3C5C" w:rsidRDefault="00ED192D">
            <w:pPr>
              <w:spacing w:after="0" w:line="259" w:lineRule="auto"/>
              <w:ind w:left="326" w:firstLine="0"/>
            </w:pPr>
            <w:r>
              <w:rPr>
                <w:rFonts w:ascii="Arial" w:eastAsia="Arial" w:hAnsi="Arial" w:cs="Arial"/>
                <w:sz w:val="20"/>
              </w:rPr>
              <w:t xml:space="preserve">atezolizumab, permanently </w:t>
            </w:r>
          </w:p>
          <w:p w14:paraId="5250ED78" w14:textId="77777777" w:rsidR="000B3C5C" w:rsidRDefault="00ED192D">
            <w:pPr>
              <w:spacing w:after="0" w:line="259" w:lineRule="auto"/>
              <w:ind w:left="401" w:hanging="175"/>
            </w:pPr>
            <w:r>
              <w:rPr>
                <w:rFonts w:ascii="Arial" w:eastAsia="Arial" w:hAnsi="Arial" w:cs="Arial"/>
                <w:sz w:val="20"/>
              </w:rPr>
              <w:t>discontinue atezolizumab and contact Medical Monitor</w:t>
            </w:r>
            <w:r>
              <w:rPr>
                <w:rFonts w:ascii="Arial" w:eastAsia="Arial" w:hAnsi="Arial" w:cs="Arial"/>
                <w:i/>
                <w:color w:val="0000FF"/>
                <w:sz w:val="28"/>
                <w:vertAlign w:val="superscript"/>
              </w:rPr>
              <w:t>c</w:t>
            </w:r>
            <w:r>
              <w:rPr>
                <w:rFonts w:ascii="Arial" w:eastAsia="Arial" w:hAnsi="Arial" w:cs="Arial"/>
                <w:sz w:val="20"/>
              </w:rPr>
              <w:t xml:space="preserve"> </w:t>
            </w:r>
          </w:p>
        </w:tc>
        <w:tc>
          <w:tcPr>
            <w:tcW w:w="3528" w:type="dxa"/>
            <w:tcBorders>
              <w:top w:val="nil"/>
              <w:left w:val="nil"/>
              <w:bottom w:val="single" w:sz="4" w:space="0" w:color="000000"/>
              <w:right w:val="nil"/>
            </w:tcBorders>
          </w:tcPr>
          <w:p w14:paraId="05B305E4" w14:textId="77777777" w:rsidR="000B3C5C" w:rsidRDefault="00ED192D">
            <w:pPr>
              <w:spacing w:after="41" w:line="259" w:lineRule="auto"/>
              <w:ind w:left="46" w:firstLine="0"/>
            </w:pPr>
            <w:r>
              <w:rPr>
                <w:rFonts w:ascii="Arial" w:eastAsia="Arial" w:hAnsi="Arial" w:cs="Arial"/>
                <w:sz w:val="20"/>
              </w:rPr>
              <w:t xml:space="preserve">Refer patient to rheumatologist or neurologist. </w:t>
            </w:r>
          </w:p>
          <w:p w14:paraId="3FF5A184" w14:textId="77777777" w:rsidR="000B3C5C" w:rsidRDefault="00ED192D">
            <w:pPr>
              <w:spacing w:after="58" w:line="241" w:lineRule="auto"/>
              <w:ind w:left="82" w:hanging="82"/>
            </w:pPr>
            <w:r>
              <w:rPr>
                <w:rFonts w:ascii="Arial" w:eastAsia="Arial" w:hAnsi="Arial" w:cs="Arial"/>
                <w:sz w:val="20"/>
              </w:rPr>
              <w:t xml:space="preserve">Initiate treatment as per institutional guidelines.  Respiratory support may be required in more severe cases. </w:t>
            </w:r>
          </w:p>
          <w:p w14:paraId="4D422CCE" w14:textId="77777777" w:rsidR="000B3C5C" w:rsidRDefault="00ED192D">
            <w:pPr>
              <w:spacing w:after="0" w:line="241" w:lineRule="auto"/>
              <w:ind w:left="602" w:hanging="223"/>
            </w:pPr>
            <w:r>
              <w:rPr>
                <w:rFonts w:ascii="Arial" w:eastAsia="Arial" w:hAnsi="Arial" w:cs="Arial"/>
                <w:sz w:val="20"/>
              </w:rPr>
              <w:t xml:space="preserve">Initiate treatment with corticosteroids equivalent to 1-2 mg/kg/day IV </w:t>
            </w:r>
          </w:p>
          <w:p w14:paraId="7EBDAB3B" w14:textId="77777777" w:rsidR="000B3C5C" w:rsidRDefault="00ED192D">
            <w:pPr>
              <w:spacing w:after="0" w:line="259" w:lineRule="auto"/>
              <w:ind w:left="142" w:firstLine="0"/>
            </w:pPr>
            <w:r>
              <w:rPr>
                <w:rFonts w:ascii="Arial" w:eastAsia="Arial" w:hAnsi="Arial" w:cs="Arial"/>
                <w:sz w:val="20"/>
              </w:rPr>
              <w:t xml:space="preserve">methylprednisolone, or higher-dose bolus if </w:t>
            </w:r>
          </w:p>
          <w:p w14:paraId="4D5EF2D0" w14:textId="77777777" w:rsidR="000B3C5C" w:rsidRDefault="00ED192D">
            <w:pPr>
              <w:spacing w:after="0" w:line="241" w:lineRule="auto"/>
              <w:ind w:left="293" w:hanging="228"/>
            </w:pPr>
            <w:r>
              <w:rPr>
                <w:rFonts w:ascii="Arial" w:eastAsia="Arial" w:hAnsi="Arial" w:cs="Arial"/>
                <w:sz w:val="20"/>
              </w:rPr>
              <w:t xml:space="preserve">patient is severely compromised (eg., cardiac or respiratory symptoms, dysphagia, or </w:t>
            </w:r>
          </w:p>
          <w:p w14:paraId="4E96037B" w14:textId="77777777" w:rsidR="000B3C5C" w:rsidRDefault="00ED192D">
            <w:pPr>
              <w:spacing w:after="1" w:line="241" w:lineRule="auto"/>
              <w:ind w:left="19" w:hanging="14"/>
            </w:pPr>
            <w:r>
              <w:rPr>
                <w:rFonts w:ascii="Arial" w:eastAsia="Arial" w:hAnsi="Arial" w:cs="Arial"/>
                <w:sz w:val="20"/>
              </w:rPr>
              <w:t xml:space="preserve">weakness that severely limits mobility); convert to 1-2 mg/kg/day oral prednisone or equivalent upon improvement.  If event does not improve within 48 hours after initiating corticosteroids, </w:t>
            </w:r>
          </w:p>
          <w:p w14:paraId="6C10716E" w14:textId="77777777" w:rsidR="000B3C5C" w:rsidRDefault="00ED192D">
            <w:pPr>
              <w:spacing w:after="43" w:line="259" w:lineRule="auto"/>
              <w:ind w:firstLine="0"/>
              <w:jc w:val="both"/>
            </w:pPr>
            <w:r>
              <w:rPr>
                <w:rFonts w:ascii="Arial" w:eastAsia="Arial" w:hAnsi="Arial" w:cs="Arial"/>
                <w:sz w:val="20"/>
              </w:rPr>
              <w:t xml:space="preserve">consider adding an immunosuppressive agent. </w:t>
            </w:r>
          </w:p>
          <w:p w14:paraId="4DDC6A71" w14:textId="77777777" w:rsidR="000B3C5C" w:rsidRDefault="00ED192D">
            <w:pPr>
              <w:spacing w:after="0" w:line="259" w:lineRule="auto"/>
              <w:ind w:left="17" w:firstLine="0"/>
            </w:pPr>
            <w:r>
              <w:rPr>
                <w:rFonts w:ascii="Arial" w:eastAsia="Arial" w:hAnsi="Arial" w:cs="Arial"/>
                <w:sz w:val="20"/>
              </w:rPr>
              <w:t xml:space="preserve">For recurrent events, treat as a Grade 4 event. </w:t>
            </w:r>
          </w:p>
        </w:tc>
      </w:tr>
      <w:tr w:rsidR="000B3C5C" w14:paraId="5DBD23F7" w14:textId="77777777">
        <w:trPr>
          <w:trHeight w:val="4325"/>
        </w:trPr>
        <w:tc>
          <w:tcPr>
            <w:tcW w:w="1469" w:type="dxa"/>
            <w:tcBorders>
              <w:top w:val="single" w:sz="4" w:space="0" w:color="000000"/>
              <w:left w:val="nil"/>
              <w:bottom w:val="single" w:sz="12" w:space="0" w:color="000000"/>
              <w:right w:val="nil"/>
            </w:tcBorders>
          </w:tcPr>
          <w:p w14:paraId="54D3898C" w14:textId="77777777" w:rsidR="000B3C5C" w:rsidRDefault="00ED192D">
            <w:pPr>
              <w:spacing w:after="0" w:line="241" w:lineRule="auto"/>
              <w:ind w:left="403" w:hanging="74"/>
            </w:pPr>
            <w:r>
              <w:rPr>
                <w:rFonts w:ascii="Arial" w:eastAsia="Arial" w:hAnsi="Arial" w:cs="Arial"/>
                <w:sz w:val="20"/>
              </w:rPr>
              <w:t xml:space="preserve">Immunerelated </w:t>
            </w:r>
          </w:p>
          <w:p w14:paraId="5250B02D" w14:textId="77777777" w:rsidR="000B3C5C" w:rsidRDefault="00ED192D">
            <w:pPr>
              <w:spacing w:after="0" w:line="259" w:lineRule="auto"/>
              <w:ind w:left="336" w:firstLine="0"/>
            </w:pPr>
            <w:r>
              <w:rPr>
                <w:rFonts w:ascii="Arial" w:eastAsia="Arial" w:hAnsi="Arial" w:cs="Arial"/>
                <w:sz w:val="20"/>
              </w:rPr>
              <w:t xml:space="preserve">myositis, </w:t>
            </w:r>
          </w:p>
          <w:p w14:paraId="7C8392E6" w14:textId="77777777" w:rsidR="000B3C5C" w:rsidRDefault="00ED192D">
            <w:pPr>
              <w:spacing w:after="0" w:line="259" w:lineRule="auto"/>
              <w:ind w:left="358" w:firstLine="0"/>
            </w:pPr>
            <w:r>
              <w:rPr>
                <w:rFonts w:ascii="Arial" w:eastAsia="Arial" w:hAnsi="Arial" w:cs="Arial"/>
                <w:sz w:val="20"/>
              </w:rPr>
              <w:t xml:space="preserve">Grade 4 </w:t>
            </w:r>
          </w:p>
        </w:tc>
        <w:tc>
          <w:tcPr>
            <w:tcW w:w="1849" w:type="dxa"/>
            <w:tcBorders>
              <w:top w:val="single" w:sz="4" w:space="0" w:color="000000"/>
              <w:left w:val="nil"/>
              <w:bottom w:val="single" w:sz="12" w:space="0" w:color="000000"/>
              <w:right w:val="nil"/>
            </w:tcBorders>
          </w:tcPr>
          <w:p w14:paraId="5EA7789D" w14:textId="77777777" w:rsidR="000B3C5C" w:rsidRDefault="00ED192D">
            <w:pPr>
              <w:spacing w:after="0" w:line="259" w:lineRule="auto"/>
              <w:ind w:left="317" w:firstLine="0"/>
            </w:pPr>
            <w:r>
              <w:rPr>
                <w:rFonts w:ascii="Arial" w:eastAsia="Arial" w:hAnsi="Arial" w:cs="Arial"/>
                <w:sz w:val="20"/>
              </w:rPr>
              <w:t xml:space="preserve">Discontinue. </w:t>
            </w:r>
          </w:p>
        </w:tc>
        <w:tc>
          <w:tcPr>
            <w:tcW w:w="2855" w:type="dxa"/>
            <w:tcBorders>
              <w:top w:val="single" w:sz="4" w:space="0" w:color="000000"/>
              <w:left w:val="nil"/>
              <w:bottom w:val="single" w:sz="12" w:space="0" w:color="000000"/>
              <w:right w:val="nil"/>
            </w:tcBorders>
          </w:tcPr>
          <w:p w14:paraId="59CB1100" w14:textId="77777777" w:rsidR="000B3C5C" w:rsidRDefault="00ED192D">
            <w:pPr>
              <w:spacing w:after="0" w:line="259" w:lineRule="auto"/>
              <w:ind w:left="0" w:right="223" w:firstLine="0"/>
              <w:jc w:val="center"/>
            </w:pPr>
            <w:r>
              <w:rPr>
                <w:rFonts w:ascii="Arial" w:eastAsia="Arial" w:hAnsi="Arial" w:cs="Arial"/>
                <w:sz w:val="20"/>
              </w:rPr>
              <w:t xml:space="preserve">Discontinue. </w:t>
            </w:r>
          </w:p>
        </w:tc>
        <w:tc>
          <w:tcPr>
            <w:tcW w:w="3528" w:type="dxa"/>
            <w:tcBorders>
              <w:top w:val="single" w:sz="4" w:space="0" w:color="000000"/>
              <w:left w:val="nil"/>
              <w:bottom w:val="single" w:sz="12" w:space="0" w:color="000000"/>
              <w:right w:val="nil"/>
            </w:tcBorders>
          </w:tcPr>
          <w:p w14:paraId="5E581167" w14:textId="77777777" w:rsidR="000B3C5C" w:rsidRDefault="00ED192D">
            <w:pPr>
              <w:spacing w:after="0" w:line="259" w:lineRule="auto"/>
              <w:ind w:left="0" w:right="91" w:firstLine="0"/>
              <w:jc w:val="center"/>
            </w:pPr>
            <w:r>
              <w:rPr>
                <w:rFonts w:ascii="Arial" w:eastAsia="Arial" w:hAnsi="Arial" w:cs="Arial"/>
                <w:sz w:val="20"/>
              </w:rPr>
              <w:t>Contact Medical Monitor</w:t>
            </w:r>
            <w:r>
              <w:rPr>
                <w:rFonts w:ascii="Arial" w:eastAsia="Arial" w:hAnsi="Arial" w:cs="Arial"/>
                <w:i/>
                <w:color w:val="0000FF"/>
                <w:sz w:val="28"/>
                <w:vertAlign w:val="superscript"/>
              </w:rPr>
              <w:t>c</w:t>
            </w:r>
            <w:r>
              <w:rPr>
                <w:rFonts w:ascii="Arial" w:eastAsia="Arial" w:hAnsi="Arial" w:cs="Arial"/>
                <w:sz w:val="20"/>
              </w:rPr>
              <w:t xml:space="preserve"> </w:t>
            </w:r>
          </w:p>
          <w:p w14:paraId="73A0858A" w14:textId="77777777" w:rsidR="000B3C5C" w:rsidRDefault="00ED192D">
            <w:pPr>
              <w:spacing w:after="43" w:line="259" w:lineRule="auto"/>
              <w:ind w:left="46" w:firstLine="0"/>
            </w:pPr>
            <w:r>
              <w:rPr>
                <w:rFonts w:ascii="Arial" w:eastAsia="Arial" w:hAnsi="Arial" w:cs="Arial"/>
                <w:sz w:val="20"/>
              </w:rPr>
              <w:t xml:space="preserve">Refer patient to rheumatologist or neurologist. </w:t>
            </w:r>
          </w:p>
          <w:p w14:paraId="702FF943" w14:textId="77777777" w:rsidR="000B3C5C" w:rsidRDefault="00ED192D">
            <w:pPr>
              <w:spacing w:after="59" w:line="240" w:lineRule="auto"/>
              <w:ind w:left="82" w:hanging="82"/>
            </w:pPr>
            <w:r>
              <w:rPr>
                <w:rFonts w:ascii="Arial" w:eastAsia="Arial" w:hAnsi="Arial" w:cs="Arial"/>
                <w:sz w:val="20"/>
              </w:rPr>
              <w:t xml:space="preserve">Initiate treatment as per institutional guidelines.  Respiratory support may be required in more severe cases. </w:t>
            </w:r>
          </w:p>
          <w:p w14:paraId="7B7A8263" w14:textId="77777777" w:rsidR="000B3C5C" w:rsidRDefault="00ED192D">
            <w:pPr>
              <w:spacing w:after="0" w:line="241" w:lineRule="auto"/>
              <w:ind w:left="602" w:hanging="223"/>
            </w:pPr>
            <w:r>
              <w:rPr>
                <w:rFonts w:ascii="Arial" w:eastAsia="Arial" w:hAnsi="Arial" w:cs="Arial"/>
                <w:sz w:val="20"/>
              </w:rPr>
              <w:t xml:space="preserve">Initiate treatment with corticosteroids equivalent to 1-2 mg/kg/day IV </w:t>
            </w:r>
          </w:p>
          <w:p w14:paraId="25E90455" w14:textId="77777777" w:rsidR="000B3C5C" w:rsidRDefault="00ED192D">
            <w:pPr>
              <w:spacing w:after="0" w:line="259" w:lineRule="auto"/>
              <w:ind w:left="142" w:firstLine="0"/>
            </w:pPr>
            <w:r>
              <w:rPr>
                <w:rFonts w:ascii="Arial" w:eastAsia="Arial" w:hAnsi="Arial" w:cs="Arial"/>
                <w:sz w:val="20"/>
              </w:rPr>
              <w:t xml:space="preserve">methylprednisolone, or higher-dose bolus if </w:t>
            </w:r>
          </w:p>
          <w:p w14:paraId="7757E7CC" w14:textId="77777777" w:rsidR="000B3C5C" w:rsidRDefault="00ED192D">
            <w:pPr>
              <w:spacing w:after="0" w:line="241" w:lineRule="auto"/>
              <w:ind w:left="293" w:hanging="228"/>
            </w:pPr>
            <w:r>
              <w:rPr>
                <w:rFonts w:ascii="Arial" w:eastAsia="Arial" w:hAnsi="Arial" w:cs="Arial"/>
                <w:sz w:val="20"/>
              </w:rPr>
              <w:t xml:space="preserve">patient is severely compromised (eg., cardiac or respiratory symptoms, dysphagia, or </w:t>
            </w:r>
          </w:p>
          <w:p w14:paraId="026482C9" w14:textId="77777777" w:rsidR="000B3C5C" w:rsidRDefault="00ED192D">
            <w:pPr>
              <w:spacing w:after="2" w:line="240" w:lineRule="auto"/>
              <w:ind w:left="19" w:hanging="14"/>
            </w:pPr>
            <w:r>
              <w:rPr>
                <w:rFonts w:ascii="Arial" w:eastAsia="Arial" w:hAnsi="Arial" w:cs="Arial"/>
                <w:sz w:val="20"/>
              </w:rPr>
              <w:t>weakness that severely limits mobility); convert to 1-</w:t>
            </w:r>
            <w:r>
              <w:rPr>
                <w:rFonts w:ascii="Arial" w:eastAsia="Arial" w:hAnsi="Arial" w:cs="Arial"/>
                <w:sz w:val="20"/>
              </w:rPr>
              <w:t xml:space="preserve">2 mg/kg/day oral prednisone or equivalent upon improvement.  If event does not improve within 48 hours after initiating corticosteroids, </w:t>
            </w:r>
          </w:p>
          <w:p w14:paraId="64FA0E4B" w14:textId="77777777" w:rsidR="000B3C5C" w:rsidRDefault="00ED192D">
            <w:pPr>
              <w:spacing w:after="43" w:line="259" w:lineRule="auto"/>
              <w:ind w:firstLine="0"/>
              <w:jc w:val="both"/>
            </w:pPr>
            <w:r>
              <w:rPr>
                <w:rFonts w:ascii="Arial" w:eastAsia="Arial" w:hAnsi="Arial" w:cs="Arial"/>
                <w:sz w:val="20"/>
              </w:rPr>
              <w:t xml:space="preserve">consider adding an immunosuppressive agent. </w:t>
            </w:r>
          </w:p>
          <w:p w14:paraId="680332B4" w14:textId="77777777" w:rsidR="000B3C5C" w:rsidRDefault="00ED192D">
            <w:pPr>
              <w:spacing w:after="0" w:line="259" w:lineRule="auto"/>
              <w:ind w:left="579" w:hanging="437"/>
            </w:pPr>
            <w:r>
              <w:rPr>
                <w:rFonts w:ascii="Arial" w:eastAsia="Arial" w:hAnsi="Arial" w:cs="Arial"/>
                <w:sz w:val="20"/>
              </w:rPr>
              <w:t xml:space="preserve">If event resolves to Grade 1 or better, taper corticosteroids over  ≥1 month. </w:t>
            </w:r>
          </w:p>
        </w:tc>
      </w:tr>
    </w:tbl>
    <w:p w14:paraId="3C19AF3F" w14:textId="77777777" w:rsidR="000B3C5C" w:rsidRDefault="00ED192D">
      <w:pPr>
        <w:spacing w:after="56" w:line="259" w:lineRule="auto"/>
        <w:ind w:left="-108" w:right="-72" w:firstLine="0"/>
      </w:pPr>
      <w:r>
        <w:rPr>
          <w:rFonts w:ascii="Calibri" w:eastAsia="Calibri" w:hAnsi="Calibri" w:cs="Calibri"/>
          <w:noProof/>
          <w:sz w:val="22"/>
        </w:rPr>
        <mc:AlternateContent>
          <mc:Choice Requires="wpg">
            <w:drawing>
              <wp:inline distT="0" distB="0" distL="0" distR="0" wp14:anchorId="7824CA85" wp14:editId="367A3758">
                <wp:extent cx="6150559" cy="393192"/>
                <wp:effectExtent l="0" t="0" r="0" b="0"/>
                <wp:docPr id="299129" name="Group 299129"/>
                <wp:cNvGraphicFramePr/>
                <a:graphic xmlns:a="http://schemas.openxmlformats.org/drawingml/2006/main">
                  <a:graphicData uri="http://schemas.microsoft.com/office/word/2010/wordprocessingGroup">
                    <wpg:wgp>
                      <wpg:cNvGrpSpPr/>
                      <wpg:grpSpPr>
                        <a:xfrm>
                          <a:off x="0" y="0"/>
                          <a:ext cx="6150559" cy="393192"/>
                          <a:chOff x="0" y="0"/>
                          <a:chExt cx="6150559" cy="393192"/>
                        </a:xfrm>
                      </wpg:grpSpPr>
                      <wps:wsp>
                        <wps:cNvPr id="34718" name="Rectangle 34718"/>
                        <wps:cNvSpPr/>
                        <wps:spPr>
                          <a:xfrm>
                            <a:off x="233172" y="217281"/>
                            <a:ext cx="458943" cy="158130"/>
                          </a:xfrm>
                          <a:prstGeom prst="rect">
                            <a:avLst/>
                          </a:prstGeom>
                          <a:ln>
                            <a:noFill/>
                          </a:ln>
                        </wps:spPr>
                        <wps:txbx>
                          <w:txbxContent>
                            <w:p w14:paraId="35C321C3" w14:textId="77777777" w:rsidR="000B3C5C" w:rsidRDefault="00ED192D">
                              <w:pPr>
                                <w:spacing w:after="160" w:line="259" w:lineRule="auto"/>
                                <w:ind w:left="0" w:firstLine="0"/>
                              </w:pPr>
                              <w:r>
                                <w:rPr>
                                  <w:rFonts w:ascii="Arial" w:eastAsia="Arial" w:hAnsi="Arial" w:cs="Arial"/>
                                  <w:b/>
                                  <w:sz w:val="20"/>
                                </w:rPr>
                                <w:t>Event</w:t>
                              </w:r>
                            </w:p>
                          </w:txbxContent>
                        </wps:txbx>
                        <wps:bodyPr horzOverflow="overflow" vert="horz" lIns="0" tIns="0" rIns="0" bIns="0" rtlCol="0">
                          <a:noAutofit/>
                        </wps:bodyPr>
                      </wps:wsp>
                      <wps:wsp>
                        <wps:cNvPr id="34719" name="Rectangle 34719"/>
                        <wps:cNvSpPr/>
                        <wps:spPr>
                          <a:xfrm>
                            <a:off x="579069" y="217281"/>
                            <a:ext cx="46769" cy="158130"/>
                          </a:xfrm>
                          <a:prstGeom prst="rect">
                            <a:avLst/>
                          </a:prstGeom>
                          <a:ln>
                            <a:noFill/>
                          </a:ln>
                        </wps:spPr>
                        <wps:txbx>
                          <w:txbxContent>
                            <w:p w14:paraId="1D3A318C"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34720" name="Rectangle 34720"/>
                        <wps:cNvSpPr/>
                        <wps:spPr>
                          <a:xfrm>
                            <a:off x="1080846" y="70978"/>
                            <a:ext cx="927980" cy="158130"/>
                          </a:xfrm>
                          <a:prstGeom prst="rect">
                            <a:avLst/>
                          </a:prstGeom>
                          <a:ln>
                            <a:noFill/>
                          </a:ln>
                        </wps:spPr>
                        <wps:txbx>
                          <w:txbxContent>
                            <w:p w14:paraId="7231D3EE" w14:textId="77777777" w:rsidR="000B3C5C" w:rsidRDefault="00ED192D">
                              <w:pPr>
                                <w:spacing w:after="160" w:line="259" w:lineRule="auto"/>
                                <w:ind w:left="0" w:firstLine="0"/>
                              </w:pPr>
                              <w:r>
                                <w:rPr>
                                  <w:rFonts w:ascii="Arial" w:eastAsia="Arial" w:hAnsi="Arial" w:cs="Arial"/>
                                  <w:b/>
                                  <w:sz w:val="20"/>
                                </w:rPr>
                                <w:t xml:space="preserve">Isatuximab </w:t>
                              </w:r>
                            </w:p>
                          </w:txbxContent>
                        </wps:txbx>
                        <wps:bodyPr horzOverflow="overflow" vert="horz" lIns="0" tIns="0" rIns="0" bIns="0" rtlCol="0">
                          <a:noAutofit/>
                        </wps:bodyPr>
                      </wps:wsp>
                      <wps:wsp>
                        <wps:cNvPr id="34721" name="Rectangle 34721"/>
                        <wps:cNvSpPr/>
                        <wps:spPr>
                          <a:xfrm>
                            <a:off x="1019505" y="217281"/>
                            <a:ext cx="1038680" cy="158130"/>
                          </a:xfrm>
                          <a:prstGeom prst="rect">
                            <a:avLst/>
                          </a:prstGeom>
                          <a:ln>
                            <a:noFill/>
                          </a:ln>
                        </wps:spPr>
                        <wps:txbx>
                          <w:txbxContent>
                            <w:p w14:paraId="14BC0F82" w14:textId="77777777" w:rsidR="000B3C5C" w:rsidRDefault="00ED192D">
                              <w:pPr>
                                <w:spacing w:after="160" w:line="259" w:lineRule="auto"/>
                                <w:ind w:left="0" w:firstLine="0"/>
                              </w:pPr>
                              <w:r>
                                <w:rPr>
                                  <w:rFonts w:ascii="Arial" w:eastAsia="Arial" w:hAnsi="Arial" w:cs="Arial"/>
                                  <w:b/>
                                  <w:sz w:val="20"/>
                                </w:rPr>
                                <w:t>management</w:t>
                              </w:r>
                            </w:p>
                          </w:txbxContent>
                        </wps:txbx>
                        <wps:bodyPr horzOverflow="overflow" vert="horz" lIns="0" tIns="0" rIns="0" bIns="0" rtlCol="0">
                          <a:noAutofit/>
                        </wps:bodyPr>
                      </wps:wsp>
                      <wps:wsp>
                        <wps:cNvPr id="34722" name="Rectangle 34722"/>
                        <wps:cNvSpPr/>
                        <wps:spPr>
                          <a:xfrm>
                            <a:off x="1803222" y="217281"/>
                            <a:ext cx="46769" cy="158130"/>
                          </a:xfrm>
                          <a:prstGeom prst="rect">
                            <a:avLst/>
                          </a:prstGeom>
                          <a:ln>
                            <a:noFill/>
                          </a:ln>
                        </wps:spPr>
                        <wps:txbx>
                          <w:txbxContent>
                            <w:p w14:paraId="0FBA21C9"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34723" name="Rectangle 34723"/>
                        <wps:cNvSpPr/>
                        <wps:spPr>
                          <a:xfrm>
                            <a:off x="2106498" y="217281"/>
                            <a:ext cx="2175944" cy="158130"/>
                          </a:xfrm>
                          <a:prstGeom prst="rect">
                            <a:avLst/>
                          </a:prstGeom>
                          <a:ln>
                            <a:noFill/>
                          </a:ln>
                        </wps:spPr>
                        <wps:txbx>
                          <w:txbxContent>
                            <w:p w14:paraId="3874C023" w14:textId="77777777" w:rsidR="000B3C5C" w:rsidRDefault="00ED192D">
                              <w:pPr>
                                <w:spacing w:after="160" w:line="259" w:lineRule="auto"/>
                                <w:ind w:left="0" w:firstLine="0"/>
                              </w:pPr>
                              <w:r>
                                <w:rPr>
                                  <w:rFonts w:ascii="Arial" w:eastAsia="Arial" w:hAnsi="Arial" w:cs="Arial"/>
                                  <w:b/>
                                  <w:sz w:val="20"/>
                                </w:rPr>
                                <w:t>Atezolizumab management</w:t>
                              </w:r>
                            </w:p>
                          </w:txbxContent>
                        </wps:txbx>
                        <wps:bodyPr horzOverflow="overflow" vert="horz" lIns="0" tIns="0" rIns="0" bIns="0" rtlCol="0">
                          <a:noAutofit/>
                        </wps:bodyPr>
                      </wps:wsp>
                      <wps:wsp>
                        <wps:cNvPr id="34724" name="Rectangle 34724"/>
                        <wps:cNvSpPr/>
                        <wps:spPr>
                          <a:xfrm>
                            <a:off x="3745052" y="217281"/>
                            <a:ext cx="46769" cy="158130"/>
                          </a:xfrm>
                          <a:prstGeom prst="rect">
                            <a:avLst/>
                          </a:prstGeom>
                          <a:ln>
                            <a:noFill/>
                          </a:ln>
                        </wps:spPr>
                        <wps:txbx>
                          <w:txbxContent>
                            <w:p w14:paraId="629634F3"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34725" name="Rectangle 34725"/>
                        <wps:cNvSpPr/>
                        <wps:spPr>
                          <a:xfrm>
                            <a:off x="4370273" y="217281"/>
                            <a:ext cx="1658959" cy="158130"/>
                          </a:xfrm>
                          <a:prstGeom prst="rect">
                            <a:avLst/>
                          </a:prstGeom>
                          <a:ln>
                            <a:noFill/>
                          </a:ln>
                        </wps:spPr>
                        <wps:txbx>
                          <w:txbxContent>
                            <w:p w14:paraId="680AEE68" w14:textId="77777777" w:rsidR="000B3C5C" w:rsidRDefault="00ED192D">
                              <w:pPr>
                                <w:spacing w:after="160" w:line="259" w:lineRule="auto"/>
                                <w:ind w:left="0" w:firstLine="0"/>
                              </w:pPr>
                              <w:r>
                                <w:rPr>
                                  <w:rFonts w:ascii="Arial" w:eastAsia="Arial" w:hAnsi="Arial" w:cs="Arial"/>
                                  <w:b/>
                                  <w:sz w:val="20"/>
                                </w:rPr>
                                <w:t>Action and guidance</w:t>
                              </w:r>
                            </w:p>
                          </w:txbxContent>
                        </wps:txbx>
                        <wps:bodyPr horzOverflow="overflow" vert="horz" lIns="0" tIns="0" rIns="0" bIns="0" rtlCol="0">
                          <a:noAutofit/>
                        </wps:bodyPr>
                      </wps:wsp>
                      <wps:wsp>
                        <wps:cNvPr id="34726" name="Rectangle 34726"/>
                        <wps:cNvSpPr/>
                        <wps:spPr>
                          <a:xfrm>
                            <a:off x="5620207" y="217281"/>
                            <a:ext cx="46769" cy="158130"/>
                          </a:xfrm>
                          <a:prstGeom prst="rect">
                            <a:avLst/>
                          </a:prstGeom>
                          <a:ln>
                            <a:noFill/>
                          </a:ln>
                        </wps:spPr>
                        <wps:txbx>
                          <w:txbxContent>
                            <w:p w14:paraId="06CF964B" w14:textId="77777777" w:rsidR="000B3C5C" w:rsidRDefault="00ED192D">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315890" name="Shape 315890"/>
                        <wps:cNvSpPr/>
                        <wps:spPr>
                          <a:xfrm>
                            <a:off x="0" y="0"/>
                            <a:ext cx="812292" cy="9144"/>
                          </a:xfrm>
                          <a:custGeom>
                            <a:avLst/>
                            <a:gdLst/>
                            <a:ahLst/>
                            <a:cxnLst/>
                            <a:rect l="0" t="0" r="0" b="0"/>
                            <a:pathLst>
                              <a:path w="812292" h="9144">
                                <a:moveTo>
                                  <a:pt x="0" y="0"/>
                                </a:moveTo>
                                <a:lnTo>
                                  <a:pt x="812292" y="0"/>
                                </a:lnTo>
                                <a:lnTo>
                                  <a:pt x="812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1" name="Shape 315891"/>
                        <wps:cNvSpPr/>
                        <wps:spPr>
                          <a:xfrm>
                            <a:off x="8122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2" name="Shape 315892"/>
                        <wps:cNvSpPr/>
                        <wps:spPr>
                          <a:xfrm>
                            <a:off x="818337" y="0"/>
                            <a:ext cx="1193597" cy="9144"/>
                          </a:xfrm>
                          <a:custGeom>
                            <a:avLst/>
                            <a:gdLst/>
                            <a:ahLst/>
                            <a:cxnLst/>
                            <a:rect l="0" t="0" r="0" b="0"/>
                            <a:pathLst>
                              <a:path w="1193597" h="9144">
                                <a:moveTo>
                                  <a:pt x="0" y="0"/>
                                </a:moveTo>
                                <a:lnTo>
                                  <a:pt x="1193597" y="0"/>
                                </a:lnTo>
                                <a:lnTo>
                                  <a:pt x="11935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3" name="Shape 315893"/>
                        <wps:cNvSpPr/>
                        <wps:spPr>
                          <a:xfrm>
                            <a:off x="20120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4" name="Shape 315894"/>
                        <wps:cNvSpPr/>
                        <wps:spPr>
                          <a:xfrm>
                            <a:off x="2018106" y="0"/>
                            <a:ext cx="1823339" cy="9144"/>
                          </a:xfrm>
                          <a:custGeom>
                            <a:avLst/>
                            <a:gdLst/>
                            <a:ahLst/>
                            <a:cxnLst/>
                            <a:rect l="0" t="0" r="0" b="0"/>
                            <a:pathLst>
                              <a:path w="1823339" h="9144">
                                <a:moveTo>
                                  <a:pt x="0" y="0"/>
                                </a:moveTo>
                                <a:lnTo>
                                  <a:pt x="1823339" y="0"/>
                                </a:lnTo>
                                <a:lnTo>
                                  <a:pt x="18233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5" name="Shape 315895"/>
                        <wps:cNvSpPr/>
                        <wps:spPr>
                          <a:xfrm>
                            <a:off x="38414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6" name="Shape 315896"/>
                        <wps:cNvSpPr/>
                        <wps:spPr>
                          <a:xfrm>
                            <a:off x="3847541" y="0"/>
                            <a:ext cx="2303018" cy="9144"/>
                          </a:xfrm>
                          <a:custGeom>
                            <a:avLst/>
                            <a:gdLst/>
                            <a:ahLst/>
                            <a:cxnLst/>
                            <a:rect l="0" t="0" r="0" b="0"/>
                            <a:pathLst>
                              <a:path w="2303018" h="9144">
                                <a:moveTo>
                                  <a:pt x="0" y="0"/>
                                </a:moveTo>
                                <a:lnTo>
                                  <a:pt x="2303018" y="0"/>
                                </a:lnTo>
                                <a:lnTo>
                                  <a:pt x="23030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7" name="Shape 315897"/>
                        <wps:cNvSpPr/>
                        <wps:spPr>
                          <a:xfrm>
                            <a:off x="0" y="374903"/>
                            <a:ext cx="812292" cy="18288"/>
                          </a:xfrm>
                          <a:custGeom>
                            <a:avLst/>
                            <a:gdLst/>
                            <a:ahLst/>
                            <a:cxnLst/>
                            <a:rect l="0" t="0" r="0" b="0"/>
                            <a:pathLst>
                              <a:path w="812292" h="18288">
                                <a:moveTo>
                                  <a:pt x="0" y="0"/>
                                </a:moveTo>
                                <a:lnTo>
                                  <a:pt x="812292" y="0"/>
                                </a:lnTo>
                                <a:lnTo>
                                  <a:pt x="81229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8" name="Shape 315898"/>
                        <wps:cNvSpPr/>
                        <wps:spPr>
                          <a:xfrm>
                            <a:off x="812241" y="37490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9" name="Shape 315899"/>
                        <wps:cNvSpPr/>
                        <wps:spPr>
                          <a:xfrm>
                            <a:off x="830529" y="374903"/>
                            <a:ext cx="1181405" cy="18288"/>
                          </a:xfrm>
                          <a:custGeom>
                            <a:avLst/>
                            <a:gdLst/>
                            <a:ahLst/>
                            <a:cxnLst/>
                            <a:rect l="0" t="0" r="0" b="0"/>
                            <a:pathLst>
                              <a:path w="1181405" h="18288">
                                <a:moveTo>
                                  <a:pt x="0" y="0"/>
                                </a:moveTo>
                                <a:lnTo>
                                  <a:pt x="1181405" y="0"/>
                                </a:lnTo>
                                <a:lnTo>
                                  <a:pt x="118140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00" name="Shape 315900"/>
                        <wps:cNvSpPr/>
                        <wps:spPr>
                          <a:xfrm>
                            <a:off x="2012010" y="37490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01" name="Shape 315901"/>
                        <wps:cNvSpPr/>
                        <wps:spPr>
                          <a:xfrm>
                            <a:off x="2030298" y="374903"/>
                            <a:ext cx="1811147" cy="18288"/>
                          </a:xfrm>
                          <a:custGeom>
                            <a:avLst/>
                            <a:gdLst/>
                            <a:ahLst/>
                            <a:cxnLst/>
                            <a:rect l="0" t="0" r="0" b="0"/>
                            <a:pathLst>
                              <a:path w="1811147" h="18288">
                                <a:moveTo>
                                  <a:pt x="0" y="0"/>
                                </a:moveTo>
                                <a:lnTo>
                                  <a:pt x="1811147" y="0"/>
                                </a:lnTo>
                                <a:lnTo>
                                  <a:pt x="18111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02" name="Shape 315902"/>
                        <wps:cNvSpPr/>
                        <wps:spPr>
                          <a:xfrm>
                            <a:off x="3841445" y="37490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03" name="Shape 315903"/>
                        <wps:cNvSpPr/>
                        <wps:spPr>
                          <a:xfrm>
                            <a:off x="3859733" y="374903"/>
                            <a:ext cx="2290826" cy="18288"/>
                          </a:xfrm>
                          <a:custGeom>
                            <a:avLst/>
                            <a:gdLst/>
                            <a:ahLst/>
                            <a:cxnLst/>
                            <a:rect l="0" t="0" r="0" b="0"/>
                            <a:pathLst>
                              <a:path w="2290826" h="18288">
                                <a:moveTo>
                                  <a:pt x="0" y="0"/>
                                </a:moveTo>
                                <a:lnTo>
                                  <a:pt x="2290826" y="0"/>
                                </a:lnTo>
                                <a:lnTo>
                                  <a:pt x="229082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129" style="width:484.296pt;height:30.96pt;mso-position-horizontal-relative:char;mso-position-vertical-relative:line" coordsize="61505,3931">
                <v:rect id="Rectangle 34718" style="position:absolute;width:4589;height:1581;left:2331;top:2172;" filled="f" stroked="f">
                  <v:textbox inset="0,0,0,0">
                    <w:txbxContent>
                      <w:p>
                        <w:pPr>
                          <w:spacing w:before="0" w:after="160" w:line="259" w:lineRule="auto"/>
                          <w:ind w:left="0" w:firstLine="0"/>
                        </w:pPr>
                        <w:r>
                          <w:rPr>
                            <w:rFonts w:cs="Arial" w:hAnsi="Arial" w:eastAsia="Arial" w:ascii="Arial"/>
                            <w:b w:val="1"/>
                            <w:sz w:val="20"/>
                          </w:rPr>
                          <w:t xml:space="preserve">Event</w:t>
                        </w:r>
                      </w:p>
                    </w:txbxContent>
                  </v:textbox>
                </v:rect>
                <v:rect id="Rectangle 34719" style="position:absolute;width:467;height:1581;left:5790;top:2172;"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34720" style="position:absolute;width:9279;height:1581;left:10808;top:709;" filled="f" stroked="f">
                  <v:textbox inset="0,0,0,0">
                    <w:txbxContent>
                      <w:p>
                        <w:pPr>
                          <w:spacing w:before="0" w:after="160" w:line="259" w:lineRule="auto"/>
                          <w:ind w:left="0" w:firstLine="0"/>
                        </w:pPr>
                        <w:r>
                          <w:rPr>
                            <w:rFonts w:cs="Arial" w:hAnsi="Arial" w:eastAsia="Arial" w:ascii="Arial"/>
                            <w:b w:val="1"/>
                            <w:sz w:val="20"/>
                          </w:rPr>
                          <w:t xml:space="preserve">Isatuximab </w:t>
                        </w:r>
                      </w:p>
                    </w:txbxContent>
                  </v:textbox>
                </v:rect>
                <v:rect id="Rectangle 34721" style="position:absolute;width:10386;height:1581;left:10195;top:2172;" filled="f" stroked="f">
                  <v:textbox inset="0,0,0,0">
                    <w:txbxContent>
                      <w:p>
                        <w:pPr>
                          <w:spacing w:before="0" w:after="160" w:line="259" w:lineRule="auto"/>
                          <w:ind w:left="0" w:firstLine="0"/>
                        </w:pPr>
                        <w:r>
                          <w:rPr>
                            <w:rFonts w:cs="Arial" w:hAnsi="Arial" w:eastAsia="Arial" w:ascii="Arial"/>
                            <w:b w:val="1"/>
                            <w:sz w:val="20"/>
                          </w:rPr>
                          <w:t xml:space="preserve">management</w:t>
                        </w:r>
                      </w:p>
                    </w:txbxContent>
                  </v:textbox>
                </v:rect>
                <v:rect id="Rectangle 34722" style="position:absolute;width:467;height:1581;left:18032;top:2172;"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34723" style="position:absolute;width:21759;height:1581;left:21064;top:2172;" filled="f" stroked="f">
                  <v:textbox inset="0,0,0,0">
                    <w:txbxContent>
                      <w:p>
                        <w:pPr>
                          <w:spacing w:before="0" w:after="160" w:line="259" w:lineRule="auto"/>
                          <w:ind w:left="0" w:firstLine="0"/>
                        </w:pPr>
                        <w:r>
                          <w:rPr>
                            <w:rFonts w:cs="Arial" w:hAnsi="Arial" w:eastAsia="Arial" w:ascii="Arial"/>
                            <w:b w:val="1"/>
                            <w:sz w:val="20"/>
                          </w:rPr>
                          <w:t xml:space="preserve">Atezolizumab management</w:t>
                        </w:r>
                      </w:p>
                    </w:txbxContent>
                  </v:textbox>
                </v:rect>
                <v:rect id="Rectangle 34724" style="position:absolute;width:467;height:1581;left:37450;top:2172;"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34725" style="position:absolute;width:16589;height:1581;left:43702;top:2172;" filled="f" stroked="f">
                  <v:textbox inset="0,0,0,0">
                    <w:txbxContent>
                      <w:p>
                        <w:pPr>
                          <w:spacing w:before="0" w:after="160" w:line="259" w:lineRule="auto"/>
                          <w:ind w:left="0" w:firstLine="0"/>
                        </w:pPr>
                        <w:r>
                          <w:rPr>
                            <w:rFonts w:cs="Arial" w:hAnsi="Arial" w:eastAsia="Arial" w:ascii="Arial"/>
                            <w:b w:val="1"/>
                            <w:sz w:val="20"/>
                          </w:rPr>
                          <w:t xml:space="preserve">Action and guidance</w:t>
                        </w:r>
                      </w:p>
                    </w:txbxContent>
                  </v:textbox>
                </v:rect>
                <v:rect id="Rectangle 34726" style="position:absolute;width:467;height:1581;left:56202;top:2172;"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shape id="Shape 315904" style="position:absolute;width:8122;height:91;left:0;top:0;" coordsize="812292,9144" path="m0,0l812292,0l812292,9144l0,9144l0,0">
                  <v:stroke weight="0pt" endcap="flat" joinstyle="miter" miterlimit="10" on="false" color="#000000" opacity="0"/>
                  <v:fill on="true" color="#000000"/>
                </v:shape>
                <v:shape id="Shape 315905" style="position:absolute;width:91;height:91;left:8122;top:0;" coordsize="9144,9144" path="m0,0l9144,0l9144,9144l0,9144l0,0">
                  <v:stroke weight="0pt" endcap="flat" joinstyle="miter" miterlimit="10" on="false" color="#000000" opacity="0"/>
                  <v:fill on="true" color="#000000"/>
                </v:shape>
                <v:shape id="Shape 315906" style="position:absolute;width:11935;height:91;left:8183;top:0;" coordsize="1193597,9144" path="m0,0l1193597,0l1193597,9144l0,9144l0,0">
                  <v:stroke weight="0pt" endcap="flat" joinstyle="miter" miterlimit="10" on="false" color="#000000" opacity="0"/>
                  <v:fill on="true" color="#000000"/>
                </v:shape>
                <v:shape id="Shape 315907" style="position:absolute;width:91;height:91;left:20120;top:0;" coordsize="9144,9144" path="m0,0l9144,0l9144,9144l0,9144l0,0">
                  <v:stroke weight="0pt" endcap="flat" joinstyle="miter" miterlimit="10" on="false" color="#000000" opacity="0"/>
                  <v:fill on="true" color="#000000"/>
                </v:shape>
                <v:shape id="Shape 315908" style="position:absolute;width:18233;height:91;left:20181;top:0;" coordsize="1823339,9144" path="m0,0l1823339,0l1823339,9144l0,9144l0,0">
                  <v:stroke weight="0pt" endcap="flat" joinstyle="miter" miterlimit="10" on="false" color="#000000" opacity="0"/>
                  <v:fill on="true" color="#000000"/>
                </v:shape>
                <v:shape id="Shape 315909" style="position:absolute;width:91;height:91;left:38414;top:0;" coordsize="9144,9144" path="m0,0l9144,0l9144,9144l0,9144l0,0">
                  <v:stroke weight="0pt" endcap="flat" joinstyle="miter" miterlimit="10" on="false" color="#000000" opacity="0"/>
                  <v:fill on="true" color="#000000"/>
                </v:shape>
                <v:shape id="Shape 315910" style="position:absolute;width:23030;height:91;left:38475;top:0;" coordsize="2303018,9144" path="m0,0l2303018,0l2303018,9144l0,9144l0,0">
                  <v:stroke weight="0pt" endcap="flat" joinstyle="miter" miterlimit="10" on="false" color="#000000" opacity="0"/>
                  <v:fill on="true" color="#000000"/>
                </v:shape>
                <v:shape id="Shape 315911" style="position:absolute;width:8122;height:182;left:0;top:3749;" coordsize="812292,18288" path="m0,0l812292,0l812292,18288l0,18288l0,0">
                  <v:stroke weight="0pt" endcap="flat" joinstyle="miter" miterlimit="10" on="false" color="#000000" opacity="0"/>
                  <v:fill on="true" color="#000000"/>
                </v:shape>
                <v:shape id="Shape 315912" style="position:absolute;width:182;height:182;left:8122;top:3749;" coordsize="18288,18288" path="m0,0l18288,0l18288,18288l0,18288l0,0">
                  <v:stroke weight="0pt" endcap="flat" joinstyle="miter" miterlimit="10" on="false" color="#000000" opacity="0"/>
                  <v:fill on="true" color="#000000"/>
                </v:shape>
                <v:shape id="Shape 315913" style="position:absolute;width:11814;height:182;left:8305;top:3749;" coordsize="1181405,18288" path="m0,0l1181405,0l1181405,18288l0,18288l0,0">
                  <v:stroke weight="0pt" endcap="flat" joinstyle="miter" miterlimit="10" on="false" color="#000000" opacity="0"/>
                  <v:fill on="true" color="#000000"/>
                </v:shape>
                <v:shape id="Shape 315914" style="position:absolute;width:182;height:182;left:20120;top:3749;" coordsize="18288,18288" path="m0,0l18288,0l18288,18288l0,18288l0,0">
                  <v:stroke weight="0pt" endcap="flat" joinstyle="miter" miterlimit="10" on="false" color="#000000" opacity="0"/>
                  <v:fill on="true" color="#000000"/>
                </v:shape>
                <v:shape id="Shape 315915" style="position:absolute;width:18111;height:182;left:20302;top:3749;" coordsize="1811147,18288" path="m0,0l1811147,0l1811147,18288l0,18288l0,0">
                  <v:stroke weight="0pt" endcap="flat" joinstyle="miter" miterlimit="10" on="false" color="#000000" opacity="0"/>
                  <v:fill on="true" color="#000000"/>
                </v:shape>
                <v:shape id="Shape 315916" style="position:absolute;width:182;height:182;left:38414;top:3749;" coordsize="18288,18288" path="m0,0l18288,0l18288,18288l0,18288l0,0">
                  <v:stroke weight="0pt" endcap="flat" joinstyle="miter" miterlimit="10" on="false" color="#000000" opacity="0"/>
                  <v:fill on="true" color="#000000"/>
                </v:shape>
                <v:shape id="Shape 315917" style="position:absolute;width:22908;height:182;left:38597;top:3749;" coordsize="2290826,18288" path="m0,0l2290826,0l2290826,18288l0,18288l0,0">
                  <v:stroke weight="0pt" endcap="flat" joinstyle="miter" miterlimit="10" on="false" color="#000000" opacity="0"/>
                  <v:fill on="true" color="#000000"/>
                </v:shape>
              </v:group>
            </w:pict>
          </mc:Fallback>
        </mc:AlternateContent>
      </w:r>
    </w:p>
    <w:p w14:paraId="4064C8AC" w14:textId="77777777" w:rsidR="000B3C5C" w:rsidRDefault="00ED192D">
      <w:pPr>
        <w:spacing w:after="12"/>
        <w:ind w:left="-5" w:right="105"/>
      </w:pPr>
      <w:r>
        <w:rPr>
          <w:rFonts w:ascii="Arial" w:eastAsia="Arial" w:hAnsi="Arial" w:cs="Arial"/>
          <w:i/>
          <w:sz w:val="18"/>
        </w:rPr>
        <w:t xml:space="preserve">a </w:t>
      </w:r>
      <w:r>
        <w:rPr>
          <w:rFonts w:ascii="Arial" w:eastAsia="Arial" w:hAnsi="Arial" w:cs="Arial"/>
          <w:sz w:val="18"/>
        </w:rPr>
        <w:t>Atezolizumab may be withheld for a longer period of time (ie, &gt;</w:t>
      </w:r>
      <w:r>
        <w:rPr>
          <w:rFonts w:ascii="Arial" w:eastAsia="Arial" w:hAnsi="Arial" w:cs="Arial"/>
          <w:sz w:val="18"/>
        </w:rPr>
        <w:t xml:space="preserve">12 weeks after event onset) to allow for corticosteroids (if initiated) to be reduced to the equivalent of ≤10 mg/day oral prednisone.  The acceptable length of the extended period of time must be agreed upon by the Investigator and the Medical Monitor. </w:t>
      </w:r>
      <w:r>
        <w:rPr>
          <w:rFonts w:ascii="Arial" w:eastAsia="Arial" w:hAnsi="Arial" w:cs="Arial"/>
          <w:i/>
          <w:sz w:val="18"/>
        </w:rPr>
        <w:t>b</w:t>
      </w:r>
      <w:r>
        <w:rPr>
          <w:rFonts w:ascii="Arial" w:eastAsia="Arial" w:hAnsi="Arial" w:cs="Arial"/>
          <w:i/>
          <w:sz w:val="18"/>
        </w:rPr>
        <w:t xml:space="preserve"> </w:t>
      </w:r>
      <w:r>
        <w:rPr>
          <w:rFonts w:ascii="Arial" w:eastAsia="Arial" w:hAnsi="Arial" w:cs="Arial"/>
          <w:sz w:val="18"/>
        </w:rPr>
        <w:t xml:space="preserve">If corticosteroids have been initiated, they must be tapered over ≥1 month to the equivalent of ≤10 mg/day oral prednisone before atezolizumab can be resumed. </w:t>
      </w:r>
    </w:p>
    <w:p w14:paraId="75733E94" w14:textId="77777777" w:rsidR="000B3C5C" w:rsidRDefault="00ED192D">
      <w:pPr>
        <w:spacing w:after="308"/>
        <w:ind w:left="230" w:right="2" w:hanging="245"/>
      </w:pPr>
      <w:r>
        <w:rPr>
          <w:rFonts w:ascii="Arial" w:eastAsia="Arial" w:hAnsi="Arial" w:cs="Arial"/>
          <w:i/>
          <w:sz w:val="18"/>
        </w:rPr>
        <w:t xml:space="preserve">c </w:t>
      </w:r>
      <w:r>
        <w:rPr>
          <w:rFonts w:ascii="Arial" w:eastAsia="Arial" w:hAnsi="Arial" w:cs="Arial"/>
          <w:sz w:val="18"/>
        </w:rPr>
        <w:t xml:space="preserve">Resumption of atezolizumab may be considered in patients who are deriving benefit and have fully recovered from the immune related event.  Patients can be re-challenged with atezolizumab only after approval has been documented by both the Investigator (or an appropriate delegate) and the Medical Monitor. </w:t>
      </w:r>
    </w:p>
    <w:p w14:paraId="6134BAA3" w14:textId="77777777" w:rsidR="000B3C5C" w:rsidRDefault="00ED192D">
      <w:pPr>
        <w:spacing w:after="216" w:line="259" w:lineRule="auto"/>
        <w:ind w:left="0" w:firstLine="0"/>
      </w:pPr>
      <w:r>
        <w:rPr>
          <w:b/>
        </w:rPr>
        <w:t xml:space="preserve"> </w:t>
      </w:r>
    </w:p>
    <w:p w14:paraId="3EE8D742" w14:textId="77777777" w:rsidR="000B3C5C" w:rsidRDefault="00ED192D">
      <w:pPr>
        <w:pStyle w:val="Heading3"/>
        <w:spacing w:after="231"/>
        <w:ind w:left="-5" w:right="51"/>
      </w:pPr>
      <w:r>
        <w:rPr>
          <w:rFonts w:ascii="Times New Roman" w:eastAsia="Times New Roman" w:hAnsi="Times New Roman" w:cs="Times New Roman"/>
          <w:sz w:val="24"/>
        </w:rPr>
        <w:t xml:space="preserve">Systemic Immune Activation </w:t>
      </w:r>
    </w:p>
    <w:p w14:paraId="0596C2DE" w14:textId="77777777" w:rsidR="000B3C5C" w:rsidRDefault="00ED192D">
      <w:pPr>
        <w:ind w:left="-3" w:right="14"/>
      </w:pPr>
      <w:r>
        <w:t xml:space="preserve">Systemic immune activation is a rare condition characterized by an excessive immune response.  Given the mechanism of action of atezolizumab, systemic immune activation is considered a potential risk when atezolizumab is given in combination with other immunomodulating agents. </w:t>
      </w:r>
    </w:p>
    <w:p w14:paraId="03BE617E" w14:textId="77777777" w:rsidR="000B3C5C" w:rsidRDefault="00ED192D">
      <w:pPr>
        <w:ind w:left="-3" w:right="14"/>
      </w:pPr>
      <w:r>
        <w:t xml:space="preserve">Recommendations regarding early identification and management of systemic immune activation are provided below.  In the event of suspected systemic immune activation, atezolizumab should be withheld and clinical specialists (eg, rheumatology, clinical immunology, or solid organ or hematopoietic stem cell transplant specialists) and the Medical Monitor should be consulted for additional guidance. </w:t>
      </w:r>
    </w:p>
    <w:p w14:paraId="39AEE402" w14:textId="77777777" w:rsidR="000B3C5C" w:rsidRDefault="00ED192D">
      <w:pPr>
        <w:spacing w:after="75"/>
        <w:ind w:left="-3" w:right="14"/>
      </w:pPr>
      <w:r>
        <w:t xml:space="preserve">Early disease recognition is critical, and systemic immune activation should be suspected if, in the absence of an alternative etiology, the patient meets two or more of the following criteria: </w:t>
      </w:r>
    </w:p>
    <w:p w14:paraId="056DF447" w14:textId="77777777" w:rsidR="000B3C5C" w:rsidRDefault="00ED192D">
      <w:pPr>
        <w:numPr>
          <w:ilvl w:val="0"/>
          <w:numId w:val="85"/>
        </w:numPr>
        <w:spacing w:after="75"/>
        <w:ind w:right="14" w:hanging="358"/>
      </w:pPr>
      <w:r>
        <w:t xml:space="preserve">Hypotension that is refractory to aggressive IV fluid challenge (Vasopressor support may be required). </w:t>
      </w:r>
    </w:p>
    <w:p w14:paraId="6640E935" w14:textId="77777777" w:rsidR="000B3C5C" w:rsidRDefault="00ED192D">
      <w:pPr>
        <w:numPr>
          <w:ilvl w:val="0"/>
          <w:numId w:val="85"/>
        </w:numPr>
        <w:spacing w:after="78"/>
        <w:ind w:right="14" w:hanging="358"/>
      </w:pPr>
      <w:r>
        <w:t xml:space="preserve">Respiratory distress that requires aggressive supportive care (Supplemental oxygen and intubation may be required). </w:t>
      </w:r>
    </w:p>
    <w:p w14:paraId="633F96E7" w14:textId="77777777" w:rsidR="000B3C5C" w:rsidRDefault="00ED192D">
      <w:pPr>
        <w:numPr>
          <w:ilvl w:val="0"/>
          <w:numId w:val="85"/>
        </w:numPr>
        <w:spacing w:after="28"/>
        <w:ind w:right="14" w:hanging="358"/>
      </w:pPr>
      <w:r>
        <w:t xml:space="preserve">Fever </w:t>
      </w:r>
      <w:r>
        <w:rPr>
          <w:rFonts w:ascii="Segoe UI Symbol" w:eastAsia="Segoe UI Symbol" w:hAnsi="Segoe UI Symbol" w:cs="Segoe UI Symbol"/>
        </w:rPr>
        <w:t></w:t>
      </w:r>
      <w:r>
        <w:rPr>
          <w:sz w:val="11"/>
        </w:rPr>
        <w:t xml:space="preserve"> </w:t>
      </w:r>
      <w:r>
        <w:t>38.5</w:t>
      </w:r>
      <w:r>
        <w:rPr>
          <w:rFonts w:ascii="Segoe UI Symbol" w:eastAsia="Segoe UI Symbol" w:hAnsi="Segoe UI Symbol" w:cs="Segoe UI Symbol"/>
        </w:rPr>
        <w:t></w:t>
      </w:r>
      <w:r>
        <w:t xml:space="preserve">C. </w:t>
      </w:r>
    </w:p>
    <w:p w14:paraId="198D1767" w14:textId="77777777" w:rsidR="000B3C5C" w:rsidRDefault="00ED192D">
      <w:pPr>
        <w:numPr>
          <w:ilvl w:val="0"/>
          <w:numId w:val="85"/>
        </w:numPr>
        <w:spacing w:after="28"/>
        <w:ind w:right="14" w:hanging="358"/>
      </w:pPr>
      <w:r>
        <w:t xml:space="preserve">Acute renal or hepatic failure. </w:t>
      </w:r>
    </w:p>
    <w:p w14:paraId="54C78B15" w14:textId="77777777" w:rsidR="000B3C5C" w:rsidRDefault="00ED192D">
      <w:pPr>
        <w:numPr>
          <w:ilvl w:val="0"/>
          <w:numId w:val="85"/>
        </w:numPr>
        <w:spacing w:after="28"/>
        <w:ind w:right="14" w:hanging="358"/>
      </w:pPr>
      <w:r>
        <w:t xml:space="preserve">Bleeding from coagulopathy. </w:t>
      </w:r>
    </w:p>
    <w:p w14:paraId="062F751B" w14:textId="77777777" w:rsidR="000B3C5C" w:rsidRDefault="00ED192D">
      <w:pPr>
        <w:numPr>
          <w:ilvl w:val="0"/>
          <w:numId w:val="85"/>
        </w:numPr>
        <w:ind w:right="14" w:hanging="358"/>
      </w:pPr>
      <w:r>
        <w:t xml:space="preserve">Any of the following unexplained laboratory abnormalities (change from baseline):  cytopenias (in two or more lineages), significant transaminitis, or coagulopathy. </w:t>
      </w:r>
    </w:p>
    <w:p w14:paraId="65AC436E" w14:textId="77777777" w:rsidR="000B3C5C" w:rsidRDefault="00ED192D">
      <w:pPr>
        <w:spacing w:after="135"/>
        <w:ind w:left="-3" w:right="14"/>
      </w:pPr>
      <w:r>
        <w:t xml:space="preserve">For patients with suspected systemic immune activation, an initial evaluation should include the following: </w:t>
      </w:r>
    </w:p>
    <w:p w14:paraId="1CA3BCC3" w14:textId="77777777" w:rsidR="000B3C5C" w:rsidRDefault="00ED192D">
      <w:pPr>
        <w:numPr>
          <w:ilvl w:val="0"/>
          <w:numId w:val="85"/>
        </w:numPr>
        <w:spacing w:after="28"/>
        <w:ind w:right="14" w:hanging="358"/>
      </w:pPr>
      <w:r>
        <w:t xml:space="preserve">Hematology with peripheral smear. </w:t>
      </w:r>
    </w:p>
    <w:p w14:paraId="508D4A99" w14:textId="77777777" w:rsidR="000B3C5C" w:rsidRDefault="00ED192D">
      <w:pPr>
        <w:numPr>
          <w:ilvl w:val="0"/>
          <w:numId w:val="85"/>
        </w:numPr>
        <w:spacing w:after="30"/>
        <w:ind w:right="14" w:hanging="358"/>
      </w:pPr>
      <w:r>
        <w:t xml:space="preserve">PT, PTT, fibrinogen, and D-dimer. </w:t>
      </w:r>
    </w:p>
    <w:p w14:paraId="5773AD8A" w14:textId="77777777" w:rsidR="000B3C5C" w:rsidRDefault="00ED192D">
      <w:pPr>
        <w:numPr>
          <w:ilvl w:val="0"/>
          <w:numId w:val="85"/>
        </w:numPr>
        <w:spacing w:after="28"/>
        <w:ind w:right="14" w:hanging="358"/>
      </w:pPr>
      <w:r>
        <w:t xml:space="preserve">Ferritin. </w:t>
      </w:r>
    </w:p>
    <w:p w14:paraId="0BD57ECC" w14:textId="77777777" w:rsidR="000B3C5C" w:rsidRDefault="00ED192D">
      <w:pPr>
        <w:numPr>
          <w:ilvl w:val="0"/>
          <w:numId w:val="85"/>
        </w:numPr>
        <w:spacing w:after="28"/>
        <w:ind w:right="14" w:hanging="358"/>
      </w:pPr>
      <w:r>
        <w:t xml:space="preserve">Soluble interleukin-2 receptor (soluble CD25). </w:t>
      </w:r>
    </w:p>
    <w:p w14:paraId="186E0EA9" w14:textId="77777777" w:rsidR="000B3C5C" w:rsidRDefault="00ED192D">
      <w:pPr>
        <w:numPr>
          <w:ilvl w:val="0"/>
          <w:numId w:val="85"/>
        </w:numPr>
        <w:spacing w:after="28"/>
        <w:ind w:right="14" w:hanging="358"/>
      </w:pPr>
      <w:r>
        <w:t xml:space="preserve">Triglycerides. </w:t>
      </w:r>
    </w:p>
    <w:p w14:paraId="513525DC" w14:textId="77777777" w:rsidR="000B3C5C" w:rsidRDefault="00ED192D">
      <w:pPr>
        <w:numPr>
          <w:ilvl w:val="0"/>
          <w:numId w:val="85"/>
        </w:numPr>
        <w:ind w:right="14" w:hanging="358"/>
      </w:pPr>
      <w:r>
        <w:t xml:space="preserve">AST, ALT, and direct bilirubin. </w:t>
      </w:r>
    </w:p>
    <w:p w14:paraId="7EFA5929" w14:textId="77777777" w:rsidR="000B3C5C" w:rsidRDefault="00ED192D">
      <w:pPr>
        <w:numPr>
          <w:ilvl w:val="0"/>
          <w:numId w:val="85"/>
        </w:numPr>
        <w:spacing w:after="28"/>
        <w:ind w:right="14" w:hanging="358"/>
      </w:pPr>
      <w:r>
        <w:t xml:space="preserve">LDH. </w:t>
      </w:r>
    </w:p>
    <w:p w14:paraId="653B7DD7" w14:textId="77777777" w:rsidR="000B3C5C" w:rsidRDefault="00ED192D">
      <w:pPr>
        <w:numPr>
          <w:ilvl w:val="0"/>
          <w:numId w:val="85"/>
        </w:numPr>
        <w:spacing w:after="183"/>
        <w:ind w:right="14" w:hanging="358"/>
      </w:pPr>
      <w:r>
        <w:t xml:space="preserve">Complete neurologic and abdominal examination (assess for hepatosplenomegaly). </w:t>
      </w:r>
    </w:p>
    <w:p w14:paraId="36579C5D" w14:textId="77777777" w:rsidR="000B3C5C" w:rsidRDefault="00ED192D">
      <w:pPr>
        <w:ind w:left="-3" w:right="14"/>
      </w:pPr>
      <w:r>
        <w:t xml:space="preserve">Laboratory tests with normal results should be repeated frequently in patients for whom a high clinical suspicion of systemic immune activation exists. </w:t>
      </w:r>
    </w:p>
    <w:p w14:paraId="5A166DE8" w14:textId="77777777" w:rsidR="000B3C5C" w:rsidRDefault="00ED192D">
      <w:pPr>
        <w:ind w:left="-3" w:right="14"/>
      </w:pPr>
      <w:r>
        <w:t xml:space="preserve">If neurologic abnormalities are present, consider cerebrospinal fluid analysis and/or an MRI of the brain. </w:t>
      </w:r>
    </w:p>
    <w:p w14:paraId="29833A1E" w14:textId="77777777" w:rsidR="000B3C5C" w:rsidRDefault="00ED192D">
      <w:pPr>
        <w:spacing w:after="135"/>
        <w:ind w:left="-3" w:right="14"/>
      </w:pPr>
      <w:r>
        <w:t xml:space="preserve">If cytopenias are present (Grade </w:t>
      </w:r>
      <w:r>
        <w:rPr>
          <w:rFonts w:ascii="Segoe UI Symbol" w:eastAsia="Segoe UI Symbol" w:hAnsi="Segoe UI Symbol" w:cs="Segoe UI Symbol"/>
        </w:rPr>
        <w:t></w:t>
      </w:r>
      <w:r>
        <w:t xml:space="preserve">2 in two or more lineages) or ferritin is </w:t>
      </w:r>
      <w:r>
        <w:rPr>
          <w:rFonts w:ascii="Segoe UI Symbol" w:eastAsia="Segoe UI Symbol" w:hAnsi="Segoe UI Symbol" w:cs="Segoe UI Symbol"/>
        </w:rPr>
        <w:t></w:t>
      </w:r>
      <w:r>
        <w:t xml:space="preserve">3000 ng/mL, the following evaluations should also be performed:   </w:t>
      </w:r>
    </w:p>
    <w:p w14:paraId="2A596CC3" w14:textId="77777777" w:rsidR="000B3C5C" w:rsidRDefault="00ED192D">
      <w:pPr>
        <w:numPr>
          <w:ilvl w:val="0"/>
          <w:numId w:val="85"/>
        </w:numPr>
        <w:spacing w:after="89"/>
        <w:ind w:right="14" w:hanging="358"/>
      </w:pPr>
      <w:r>
        <w:t xml:space="preserve">Bone marrow biopsy and aspirate (assess for evidence of hemophagocytosis). </w:t>
      </w:r>
    </w:p>
    <w:p w14:paraId="43AE42D7" w14:textId="77777777" w:rsidR="000B3C5C" w:rsidRDefault="00ED192D">
      <w:pPr>
        <w:numPr>
          <w:ilvl w:val="0"/>
          <w:numId w:val="85"/>
        </w:numPr>
        <w:ind w:right="14" w:hanging="358"/>
      </w:pPr>
      <w:r>
        <w:t xml:space="preserve">Adenovirus, cytomegalovirus, Epstein-Barr virus, herpes-simplex virus, and human herpesvirus 6, 7, and 8 evaluations (for reactivated or active disease). </w:t>
      </w:r>
    </w:p>
    <w:p w14:paraId="0F470F52" w14:textId="77777777" w:rsidR="000B3C5C" w:rsidRDefault="00ED192D">
      <w:pPr>
        <w:ind w:left="-3" w:right="14"/>
      </w:pPr>
      <w:r>
        <w:t xml:space="preserve">Diagnostic criteria and recommended management for systemic immune activation are provided in </w:t>
      </w:r>
      <w:r>
        <w:rPr>
          <w:color w:val="0000FF"/>
        </w:rPr>
        <w:t>Table 30</w:t>
      </w:r>
      <w:r>
        <w:t xml:space="preserve">.  The diagnostic criteria apply only when alternative etiologies have been excluded. </w:t>
      </w:r>
    </w:p>
    <w:p w14:paraId="34236EC4" w14:textId="77777777" w:rsidR="000B3C5C" w:rsidRDefault="00ED192D">
      <w:pPr>
        <w:spacing w:after="314"/>
        <w:ind w:left="-3" w:right="14"/>
      </w:pPr>
      <w:r>
        <w:t xml:space="preserve">An adverse event of systemic immune activation should be reported on the Adverse Event electronic Case Report Form if it meets the criteria for "consistent with systemic immune activation" or "probable systemic immune activation" as outlined in </w:t>
      </w:r>
      <w:r>
        <w:rPr>
          <w:color w:val="0000FF"/>
        </w:rPr>
        <w:t>Table 30</w:t>
      </w:r>
      <w:r>
        <w:t xml:space="preserve">. </w:t>
      </w:r>
    </w:p>
    <w:p w14:paraId="4E5D34F6" w14:textId="77777777" w:rsidR="000B3C5C" w:rsidRDefault="00ED192D">
      <w:pPr>
        <w:spacing w:after="4" w:line="250" w:lineRule="auto"/>
        <w:ind w:left="15" w:right="52"/>
        <w:jc w:val="center"/>
      </w:pPr>
      <w:r>
        <w:rPr>
          <w:rFonts w:ascii="Arial" w:eastAsia="Arial" w:hAnsi="Arial" w:cs="Arial"/>
          <w:b/>
          <w:sz w:val="20"/>
        </w:rPr>
        <w:t xml:space="preserve">Table 30 - Diagnostic Criteria and Recommended Management for Systemic Immune Activation </w:t>
      </w:r>
      <w:r>
        <w:rPr>
          <w:rFonts w:ascii="Arial" w:eastAsia="Arial" w:hAnsi="Arial" w:cs="Arial"/>
          <w:sz w:val="20"/>
        </w:rPr>
        <w:t xml:space="preserve"> </w:t>
      </w:r>
    </w:p>
    <w:p w14:paraId="68C5A073" w14:textId="77777777" w:rsidR="000B3C5C" w:rsidRDefault="00ED192D">
      <w:pPr>
        <w:spacing w:after="103" w:line="259" w:lineRule="auto"/>
        <w:ind w:left="-43" w:right="-7" w:firstLine="0"/>
      </w:pPr>
      <w:r>
        <w:rPr>
          <w:rFonts w:ascii="Calibri" w:eastAsia="Calibri" w:hAnsi="Calibri" w:cs="Calibri"/>
          <w:noProof/>
          <w:sz w:val="22"/>
        </w:rPr>
        <mc:AlternateContent>
          <mc:Choice Requires="wpg">
            <w:drawing>
              <wp:inline distT="0" distB="0" distL="0" distR="0" wp14:anchorId="09A9FB85" wp14:editId="5922DAE8">
                <wp:extent cx="6068315" cy="6096"/>
                <wp:effectExtent l="0" t="0" r="0" b="0"/>
                <wp:docPr id="299521" name="Group 299521"/>
                <wp:cNvGraphicFramePr/>
                <a:graphic xmlns:a="http://schemas.openxmlformats.org/drawingml/2006/main">
                  <a:graphicData uri="http://schemas.microsoft.com/office/word/2010/wordprocessingGroup">
                    <wpg:wgp>
                      <wpg:cNvGrpSpPr/>
                      <wpg:grpSpPr>
                        <a:xfrm>
                          <a:off x="0" y="0"/>
                          <a:ext cx="6068315" cy="6096"/>
                          <a:chOff x="0" y="0"/>
                          <a:chExt cx="6068315" cy="6096"/>
                        </a:xfrm>
                      </wpg:grpSpPr>
                      <wps:wsp>
                        <wps:cNvPr id="315918" name="Shape 315918"/>
                        <wps:cNvSpPr/>
                        <wps:spPr>
                          <a:xfrm>
                            <a:off x="0" y="0"/>
                            <a:ext cx="6068315" cy="9144"/>
                          </a:xfrm>
                          <a:custGeom>
                            <a:avLst/>
                            <a:gdLst/>
                            <a:ahLst/>
                            <a:cxnLst/>
                            <a:rect l="0" t="0" r="0" b="0"/>
                            <a:pathLst>
                              <a:path w="6068315" h="9144">
                                <a:moveTo>
                                  <a:pt x="0" y="0"/>
                                </a:moveTo>
                                <a:lnTo>
                                  <a:pt x="6068315" y="0"/>
                                </a:lnTo>
                                <a:lnTo>
                                  <a:pt x="6068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521" style="width:477.82pt;height:0.480011pt;mso-position-horizontal-relative:char;mso-position-vertical-relative:line" coordsize="60683,60">
                <v:shape id="Shape 315919" style="position:absolute;width:60683;height:91;left:0;top:0;" coordsize="6068315,9144" path="m0,0l6068315,0l6068315,9144l0,9144l0,0">
                  <v:stroke weight="0pt" endcap="flat" joinstyle="miter" miterlimit="10" on="false" color="#000000" opacity="0"/>
                  <v:fill on="true" color="#000000"/>
                </v:shape>
              </v:group>
            </w:pict>
          </mc:Fallback>
        </mc:AlternateContent>
      </w:r>
    </w:p>
    <w:p w14:paraId="00A948E1" w14:textId="77777777" w:rsidR="000B3C5C" w:rsidRDefault="00ED192D">
      <w:pPr>
        <w:spacing w:after="4" w:line="250" w:lineRule="auto"/>
        <w:ind w:left="15" w:right="47"/>
        <w:jc w:val="center"/>
      </w:pPr>
      <w:r>
        <w:rPr>
          <w:rFonts w:ascii="Arial" w:eastAsia="Arial" w:hAnsi="Arial" w:cs="Arial"/>
          <w:b/>
          <w:sz w:val="20"/>
        </w:rPr>
        <w:t xml:space="preserve">Systemic Immune Activation Diagnostic Criteria  </w:t>
      </w:r>
    </w:p>
    <w:p w14:paraId="795D7ED5" w14:textId="77777777" w:rsidR="000B3C5C" w:rsidRDefault="00ED192D">
      <w:pPr>
        <w:spacing w:after="4" w:line="250" w:lineRule="auto"/>
        <w:ind w:left="15" w:right="48"/>
        <w:jc w:val="center"/>
      </w:pPr>
      <w:r>
        <w:rPr>
          <w:rFonts w:ascii="Arial" w:eastAsia="Arial" w:hAnsi="Arial" w:cs="Arial"/>
          <w:b/>
          <w:sz w:val="20"/>
        </w:rPr>
        <w:t xml:space="preserve">(applicable only when alternative etiologies have been excluded) </w:t>
      </w:r>
    </w:p>
    <w:tbl>
      <w:tblPr>
        <w:tblStyle w:val="TableGrid"/>
        <w:tblW w:w="8864" w:type="dxa"/>
        <w:tblInd w:w="362" w:type="dxa"/>
        <w:tblCellMar>
          <w:top w:w="0" w:type="dxa"/>
          <w:left w:w="0" w:type="dxa"/>
          <w:bottom w:w="0" w:type="dxa"/>
          <w:right w:w="0" w:type="dxa"/>
        </w:tblCellMar>
        <w:tblLook w:val="04A0" w:firstRow="1" w:lastRow="0" w:firstColumn="1" w:lastColumn="0" w:noHBand="0" w:noVBand="1"/>
      </w:tblPr>
      <w:tblGrid>
        <w:gridCol w:w="4600"/>
        <w:gridCol w:w="4264"/>
      </w:tblGrid>
      <w:tr w:rsidR="000B3C5C" w14:paraId="3AFE889B" w14:textId="77777777">
        <w:trPr>
          <w:trHeight w:val="273"/>
        </w:trPr>
        <w:tc>
          <w:tcPr>
            <w:tcW w:w="4599" w:type="dxa"/>
            <w:tcBorders>
              <w:top w:val="nil"/>
              <w:left w:val="nil"/>
              <w:bottom w:val="nil"/>
              <w:right w:val="nil"/>
            </w:tcBorders>
          </w:tcPr>
          <w:p w14:paraId="12D799D5" w14:textId="77777777" w:rsidR="000B3C5C" w:rsidRDefault="00ED192D">
            <w:pPr>
              <w:spacing w:after="0" w:line="259" w:lineRule="auto"/>
              <w:ind w:left="1402" w:firstLine="0"/>
            </w:pPr>
            <w:r>
              <w:rPr>
                <w:rFonts w:ascii="Arial" w:eastAsia="Arial" w:hAnsi="Arial" w:cs="Arial"/>
                <w:sz w:val="20"/>
              </w:rPr>
              <w:t xml:space="preserve">Major Criteria </w:t>
            </w:r>
          </w:p>
        </w:tc>
        <w:tc>
          <w:tcPr>
            <w:tcW w:w="4264" w:type="dxa"/>
            <w:tcBorders>
              <w:top w:val="nil"/>
              <w:left w:val="nil"/>
              <w:bottom w:val="nil"/>
              <w:right w:val="nil"/>
            </w:tcBorders>
          </w:tcPr>
          <w:p w14:paraId="74354755" w14:textId="77777777" w:rsidR="000B3C5C" w:rsidRDefault="00ED192D">
            <w:pPr>
              <w:spacing w:after="0" w:line="259" w:lineRule="auto"/>
              <w:ind w:left="0" w:right="117" w:firstLine="0"/>
              <w:jc w:val="center"/>
            </w:pPr>
            <w:r>
              <w:rPr>
                <w:rFonts w:ascii="Arial" w:eastAsia="Arial" w:hAnsi="Arial" w:cs="Arial"/>
                <w:sz w:val="20"/>
              </w:rPr>
              <w:t xml:space="preserve">Minor Criteria </w:t>
            </w:r>
          </w:p>
        </w:tc>
      </w:tr>
      <w:tr w:rsidR="000B3C5C" w14:paraId="06543866" w14:textId="77777777">
        <w:trPr>
          <w:trHeight w:val="2275"/>
        </w:trPr>
        <w:tc>
          <w:tcPr>
            <w:tcW w:w="4599" w:type="dxa"/>
            <w:tcBorders>
              <w:top w:val="nil"/>
              <w:left w:val="nil"/>
              <w:bottom w:val="nil"/>
              <w:right w:val="nil"/>
            </w:tcBorders>
          </w:tcPr>
          <w:p w14:paraId="51CB7E65" w14:textId="77777777" w:rsidR="000B3C5C" w:rsidRDefault="00ED192D">
            <w:pPr>
              <w:numPr>
                <w:ilvl w:val="0"/>
                <w:numId w:val="92"/>
              </w:numPr>
              <w:spacing w:after="43" w:line="259" w:lineRule="auto"/>
              <w:ind w:hanging="358"/>
            </w:pPr>
            <w:r>
              <w:rPr>
                <w:rFonts w:ascii="Arial" w:eastAsia="Arial" w:hAnsi="Arial" w:cs="Arial"/>
                <w:sz w:val="20"/>
              </w:rPr>
              <w:t xml:space="preserve">Fever </w:t>
            </w:r>
            <w:r>
              <w:rPr>
                <w:rFonts w:ascii="Segoe UI Symbol" w:eastAsia="Segoe UI Symbol" w:hAnsi="Segoe UI Symbol" w:cs="Segoe UI Symbol"/>
                <w:sz w:val="20"/>
              </w:rPr>
              <w:t></w:t>
            </w:r>
            <w:r>
              <w:rPr>
                <w:rFonts w:ascii="Arial" w:eastAsia="Arial" w:hAnsi="Arial" w:cs="Arial"/>
                <w:sz w:val="20"/>
              </w:rPr>
              <w:t>38.5</w:t>
            </w:r>
            <w:r>
              <w:rPr>
                <w:rFonts w:ascii="Segoe UI Symbol" w:eastAsia="Segoe UI Symbol" w:hAnsi="Segoe UI Symbol" w:cs="Segoe UI Symbol"/>
                <w:sz w:val="20"/>
              </w:rPr>
              <w:t></w:t>
            </w:r>
            <w:r>
              <w:rPr>
                <w:rFonts w:ascii="Arial" w:eastAsia="Arial" w:hAnsi="Arial" w:cs="Arial"/>
                <w:sz w:val="20"/>
              </w:rPr>
              <w:t xml:space="preserve">C on more than one occasion </w:t>
            </w:r>
          </w:p>
          <w:p w14:paraId="06BCCB9A" w14:textId="77777777" w:rsidR="000B3C5C" w:rsidRDefault="00ED192D">
            <w:pPr>
              <w:numPr>
                <w:ilvl w:val="0"/>
                <w:numId w:val="92"/>
              </w:numPr>
              <w:spacing w:after="43" w:line="259" w:lineRule="auto"/>
              <w:ind w:hanging="358"/>
            </w:pPr>
            <w:r>
              <w:rPr>
                <w:rFonts w:ascii="Arial" w:eastAsia="Arial" w:hAnsi="Arial" w:cs="Arial"/>
                <w:sz w:val="20"/>
              </w:rPr>
              <w:t xml:space="preserve">Ferritin </w:t>
            </w:r>
            <w:r>
              <w:rPr>
                <w:rFonts w:ascii="Segoe UI Symbol" w:eastAsia="Segoe UI Symbol" w:hAnsi="Segoe UI Symbol" w:cs="Segoe UI Symbol"/>
                <w:sz w:val="20"/>
              </w:rPr>
              <w:t></w:t>
            </w:r>
            <w:r>
              <w:rPr>
                <w:rFonts w:ascii="Arial" w:eastAsia="Arial" w:hAnsi="Arial" w:cs="Arial"/>
                <w:sz w:val="20"/>
              </w:rPr>
              <w:t xml:space="preserve">3000 ng/mL </w:t>
            </w:r>
          </w:p>
          <w:p w14:paraId="13DB7D6F" w14:textId="77777777" w:rsidR="000B3C5C" w:rsidRDefault="00ED192D">
            <w:pPr>
              <w:numPr>
                <w:ilvl w:val="0"/>
                <w:numId w:val="92"/>
              </w:numPr>
              <w:spacing w:after="43" w:line="259" w:lineRule="auto"/>
              <w:ind w:hanging="358"/>
            </w:pPr>
            <w:r>
              <w:rPr>
                <w:rFonts w:ascii="Arial" w:eastAsia="Arial" w:hAnsi="Arial" w:cs="Arial"/>
                <w:sz w:val="20"/>
              </w:rPr>
              <w:t xml:space="preserve">Cytopenias (Grade </w:t>
            </w:r>
            <w:r>
              <w:rPr>
                <w:rFonts w:ascii="Segoe UI Symbol" w:eastAsia="Segoe UI Symbol" w:hAnsi="Segoe UI Symbol" w:cs="Segoe UI Symbol"/>
                <w:sz w:val="20"/>
              </w:rPr>
              <w:t></w:t>
            </w:r>
            <w:r>
              <w:rPr>
                <w:rFonts w:ascii="Arial" w:eastAsia="Arial" w:hAnsi="Arial" w:cs="Arial"/>
                <w:sz w:val="20"/>
              </w:rPr>
              <w:t xml:space="preserve">2 in two or more lineages) </w:t>
            </w:r>
          </w:p>
          <w:p w14:paraId="6667BE6C" w14:textId="77777777" w:rsidR="000B3C5C" w:rsidRDefault="00ED192D">
            <w:pPr>
              <w:numPr>
                <w:ilvl w:val="0"/>
                <w:numId w:val="92"/>
              </w:numPr>
              <w:spacing w:after="73" w:line="228" w:lineRule="auto"/>
              <w:ind w:hanging="358"/>
            </w:pPr>
            <w:r>
              <w:rPr>
                <w:rFonts w:ascii="Arial" w:eastAsia="Arial" w:hAnsi="Arial" w:cs="Arial"/>
                <w:sz w:val="20"/>
              </w:rPr>
              <w:t>Age-</w:t>
            </w:r>
            <w:r>
              <w:rPr>
                <w:rFonts w:ascii="Arial" w:eastAsia="Arial" w:hAnsi="Arial" w:cs="Arial"/>
                <w:sz w:val="20"/>
              </w:rPr>
              <w:t xml:space="preserve">adjusted soluble interleukin-2 receptor elevated by </w:t>
            </w:r>
            <w:r>
              <w:rPr>
                <w:rFonts w:ascii="Segoe UI Symbol" w:eastAsia="Segoe UI Symbol" w:hAnsi="Segoe UI Symbol" w:cs="Segoe UI Symbol"/>
                <w:sz w:val="20"/>
              </w:rPr>
              <w:t></w:t>
            </w:r>
            <w:r>
              <w:rPr>
                <w:rFonts w:ascii="Arial" w:eastAsia="Arial" w:hAnsi="Arial" w:cs="Arial"/>
                <w:sz w:val="20"/>
              </w:rPr>
              <w:t xml:space="preserve">2 standard deviations </w:t>
            </w:r>
          </w:p>
          <w:p w14:paraId="350130CB" w14:textId="77777777" w:rsidR="000B3C5C" w:rsidRDefault="00ED192D">
            <w:pPr>
              <w:numPr>
                <w:ilvl w:val="0"/>
                <w:numId w:val="92"/>
              </w:numPr>
              <w:spacing w:after="84"/>
              <w:ind w:hanging="358"/>
            </w:pPr>
            <w:r>
              <w:rPr>
                <w:rFonts w:ascii="Arial" w:eastAsia="Arial" w:hAnsi="Arial" w:cs="Arial"/>
                <w:sz w:val="20"/>
              </w:rPr>
              <w:t xml:space="preserve">Severe (Grade </w:t>
            </w:r>
            <w:r>
              <w:rPr>
                <w:rFonts w:ascii="Segoe UI Symbol" w:eastAsia="Segoe UI Symbol" w:hAnsi="Segoe UI Symbol" w:cs="Segoe UI Symbol"/>
                <w:sz w:val="20"/>
              </w:rPr>
              <w:t></w:t>
            </w:r>
            <w:r>
              <w:rPr>
                <w:rFonts w:ascii="Arial" w:eastAsia="Arial" w:hAnsi="Arial" w:cs="Arial"/>
                <w:sz w:val="20"/>
              </w:rPr>
              <w:t xml:space="preserve">3) or progressive dysfunction in two or more organs </w:t>
            </w:r>
          </w:p>
          <w:p w14:paraId="09B9A362" w14:textId="77777777" w:rsidR="000B3C5C" w:rsidRDefault="00ED192D">
            <w:pPr>
              <w:numPr>
                <w:ilvl w:val="0"/>
                <w:numId w:val="92"/>
              </w:numPr>
              <w:spacing w:after="0" w:line="259" w:lineRule="auto"/>
              <w:ind w:hanging="358"/>
            </w:pPr>
            <w:r>
              <w:rPr>
                <w:rFonts w:ascii="Arial" w:eastAsia="Arial" w:hAnsi="Arial" w:cs="Arial"/>
                <w:sz w:val="20"/>
              </w:rPr>
              <w:t xml:space="preserve">Decreased fibrinogen </w:t>
            </w:r>
          </w:p>
        </w:tc>
        <w:tc>
          <w:tcPr>
            <w:tcW w:w="4264" w:type="dxa"/>
            <w:tcBorders>
              <w:top w:val="nil"/>
              <w:left w:val="nil"/>
              <w:bottom w:val="nil"/>
              <w:right w:val="nil"/>
            </w:tcBorders>
          </w:tcPr>
          <w:p w14:paraId="31BD8C97" w14:textId="77777777" w:rsidR="000B3C5C" w:rsidRDefault="00ED192D">
            <w:pPr>
              <w:numPr>
                <w:ilvl w:val="0"/>
                <w:numId w:val="93"/>
              </w:numPr>
              <w:spacing w:after="43" w:line="259" w:lineRule="auto"/>
              <w:ind w:hanging="358"/>
            </w:pPr>
            <w:r>
              <w:rPr>
                <w:rFonts w:ascii="Arial" w:eastAsia="Arial" w:hAnsi="Arial" w:cs="Arial"/>
                <w:sz w:val="20"/>
              </w:rPr>
              <w:t xml:space="preserve">Splenomegaly  </w:t>
            </w:r>
          </w:p>
          <w:p w14:paraId="4FC75A37" w14:textId="77777777" w:rsidR="000B3C5C" w:rsidRDefault="00ED192D">
            <w:pPr>
              <w:numPr>
                <w:ilvl w:val="0"/>
                <w:numId w:val="93"/>
              </w:numPr>
              <w:spacing w:after="86"/>
              <w:ind w:hanging="358"/>
            </w:pPr>
            <w:r>
              <w:rPr>
                <w:rFonts w:ascii="Arial" w:eastAsia="Arial" w:hAnsi="Arial" w:cs="Arial"/>
                <w:sz w:val="20"/>
              </w:rPr>
              <w:t xml:space="preserve">Hemophagocytosis in bone marrow, spleen, or lymph nodes </w:t>
            </w:r>
          </w:p>
          <w:p w14:paraId="2DDCD642" w14:textId="77777777" w:rsidR="000B3C5C" w:rsidRDefault="00ED192D">
            <w:pPr>
              <w:numPr>
                <w:ilvl w:val="0"/>
                <w:numId w:val="93"/>
              </w:numPr>
              <w:spacing w:after="86" w:line="246" w:lineRule="auto"/>
              <w:ind w:hanging="358"/>
            </w:pPr>
            <w:r>
              <w:rPr>
                <w:rFonts w:ascii="Arial" w:eastAsia="Arial" w:hAnsi="Arial" w:cs="Arial"/>
                <w:sz w:val="20"/>
              </w:rPr>
              <w:t xml:space="preserve">Elevated </w:t>
            </w:r>
            <w:r>
              <w:rPr>
                <w:rFonts w:ascii="Segoe UI Symbol" w:eastAsia="Segoe UI Symbol" w:hAnsi="Segoe UI Symbol" w:cs="Segoe UI Symbol"/>
                <w:sz w:val="20"/>
              </w:rPr>
              <w:t></w:t>
            </w:r>
            <w:r>
              <w:rPr>
                <w:rFonts w:ascii="Arial" w:eastAsia="Arial" w:hAnsi="Arial" w:cs="Arial"/>
                <w:sz w:val="20"/>
              </w:rPr>
              <w:t xml:space="preserve">-glutamyl transpeptidase (GGT) or liver function tests (AST, ALT, or direct bilirubin) </w:t>
            </w:r>
          </w:p>
          <w:p w14:paraId="0C14797F" w14:textId="77777777" w:rsidR="000B3C5C" w:rsidRDefault="00ED192D">
            <w:pPr>
              <w:numPr>
                <w:ilvl w:val="0"/>
                <w:numId w:val="93"/>
              </w:numPr>
              <w:spacing w:after="43" w:line="259" w:lineRule="auto"/>
              <w:ind w:hanging="358"/>
            </w:pPr>
            <w:r>
              <w:rPr>
                <w:rFonts w:ascii="Arial" w:eastAsia="Arial" w:hAnsi="Arial" w:cs="Arial"/>
                <w:sz w:val="20"/>
              </w:rPr>
              <w:t xml:space="preserve">Elevated triglycerides </w:t>
            </w:r>
          </w:p>
          <w:p w14:paraId="0885B69C" w14:textId="77777777" w:rsidR="000B3C5C" w:rsidRDefault="00ED192D">
            <w:pPr>
              <w:numPr>
                <w:ilvl w:val="0"/>
                <w:numId w:val="93"/>
              </w:numPr>
              <w:spacing w:after="40" w:line="259" w:lineRule="auto"/>
              <w:ind w:hanging="358"/>
            </w:pPr>
            <w:r>
              <w:rPr>
                <w:rFonts w:ascii="Arial" w:eastAsia="Arial" w:hAnsi="Arial" w:cs="Arial"/>
                <w:sz w:val="20"/>
              </w:rPr>
              <w:t xml:space="preserve">Elevated LDH </w:t>
            </w:r>
          </w:p>
          <w:p w14:paraId="0CBB3E5D" w14:textId="77777777" w:rsidR="000B3C5C" w:rsidRDefault="00ED192D">
            <w:pPr>
              <w:numPr>
                <w:ilvl w:val="0"/>
                <w:numId w:val="93"/>
              </w:numPr>
              <w:spacing w:after="0" w:line="259" w:lineRule="auto"/>
              <w:ind w:hanging="358"/>
            </w:pPr>
            <w:r>
              <w:rPr>
                <w:rFonts w:ascii="Arial" w:eastAsia="Arial" w:hAnsi="Arial" w:cs="Arial"/>
                <w:sz w:val="20"/>
              </w:rPr>
              <w:t xml:space="preserve">Decreased natural killer cell activity </w:t>
            </w:r>
          </w:p>
        </w:tc>
      </w:tr>
    </w:tbl>
    <w:p w14:paraId="680466E3" w14:textId="77777777" w:rsidR="000B3C5C" w:rsidRDefault="00ED192D">
      <w:pPr>
        <w:spacing w:after="3" w:line="266" w:lineRule="auto"/>
        <w:ind w:left="20" w:right="53"/>
        <w:jc w:val="center"/>
      </w:pPr>
      <w:r>
        <w:rPr>
          <w:rFonts w:ascii="Arial" w:eastAsia="Arial" w:hAnsi="Arial" w:cs="Arial"/>
          <w:sz w:val="20"/>
        </w:rPr>
        <w:t xml:space="preserve">Diagnosis and Management of Systemic Immune Activation </w:t>
      </w:r>
    </w:p>
    <w:tbl>
      <w:tblPr>
        <w:tblStyle w:val="TableGrid"/>
        <w:tblW w:w="9200" w:type="dxa"/>
        <w:tblInd w:w="262" w:type="dxa"/>
        <w:tblCellMar>
          <w:top w:w="0" w:type="dxa"/>
          <w:left w:w="0" w:type="dxa"/>
          <w:bottom w:w="0" w:type="dxa"/>
          <w:right w:w="0" w:type="dxa"/>
        </w:tblCellMar>
        <w:tblLook w:val="04A0" w:firstRow="1" w:lastRow="0" w:firstColumn="1" w:lastColumn="0" w:noHBand="0" w:noVBand="1"/>
      </w:tblPr>
      <w:tblGrid>
        <w:gridCol w:w="1724"/>
        <w:gridCol w:w="1750"/>
        <w:gridCol w:w="358"/>
        <w:gridCol w:w="5368"/>
      </w:tblGrid>
      <w:tr w:rsidR="000B3C5C" w14:paraId="1DC2FEF0" w14:textId="77777777">
        <w:trPr>
          <w:trHeight w:val="267"/>
        </w:trPr>
        <w:tc>
          <w:tcPr>
            <w:tcW w:w="1724" w:type="dxa"/>
            <w:tcBorders>
              <w:top w:val="nil"/>
              <w:left w:val="nil"/>
              <w:bottom w:val="nil"/>
              <w:right w:val="nil"/>
            </w:tcBorders>
          </w:tcPr>
          <w:p w14:paraId="0BEBF766" w14:textId="77777777" w:rsidR="000B3C5C" w:rsidRDefault="00ED192D">
            <w:pPr>
              <w:spacing w:after="0" w:line="259" w:lineRule="auto"/>
              <w:ind w:left="0" w:firstLine="0"/>
            </w:pPr>
            <w:r>
              <w:rPr>
                <w:rFonts w:ascii="Arial" w:eastAsia="Arial" w:hAnsi="Arial" w:cs="Arial"/>
                <w:sz w:val="20"/>
              </w:rPr>
              <w:t xml:space="preserve">Number of Criteria </w:t>
            </w:r>
          </w:p>
        </w:tc>
        <w:tc>
          <w:tcPr>
            <w:tcW w:w="1750" w:type="dxa"/>
            <w:tcBorders>
              <w:top w:val="nil"/>
              <w:left w:val="nil"/>
              <w:bottom w:val="nil"/>
              <w:right w:val="nil"/>
            </w:tcBorders>
          </w:tcPr>
          <w:p w14:paraId="767EAADD" w14:textId="77777777" w:rsidR="000B3C5C" w:rsidRDefault="00ED192D">
            <w:pPr>
              <w:spacing w:after="0" w:line="259" w:lineRule="auto"/>
              <w:ind w:left="271" w:firstLine="0"/>
            </w:pPr>
            <w:r>
              <w:rPr>
                <w:rFonts w:ascii="Arial" w:eastAsia="Arial" w:hAnsi="Arial" w:cs="Arial"/>
                <w:sz w:val="20"/>
              </w:rPr>
              <w:t xml:space="preserve">Diagnosis </w:t>
            </w:r>
          </w:p>
        </w:tc>
        <w:tc>
          <w:tcPr>
            <w:tcW w:w="358" w:type="dxa"/>
            <w:tcBorders>
              <w:top w:val="nil"/>
              <w:left w:val="nil"/>
              <w:bottom w:val="nil"/>
              <w:right w:val="nil"/>
            </w:tcBorders>
          </w:tcPr>
          <w:p w14:paraId="746DE3EE" w14:textId="77777777" w:rsidR="000B3C5C" w:rsidRDefault="000B3C5C">
            <w:pPr>
              <w:spacing w:after="160" w:line="259" w:lineRule="auto"/>
              <w:ind w:left="0" w:firstLine="0"/>
            </w:pPr>
          </w:p>
        </w:tc>
        <w:tc>
          <w:tcPr>
            <w:tcW w:w="5369" w:type="dxa"/>
            <w:tcBorders>
              <w:top w:val="nil"/>
              <w:left w:val="nil"/>
              <w:bottom w:val="nil"/>
              <w:right w:val="nil"/>
            </w:tcBorders>
          </w:tcPr>
          <w:p w14:paraId="36CE2735" w14:textId="77777777" w:rsidR="000B3C5C" w:rsidRDefault="00ED192D">
            <w:pPr>
              <w:spacing w:after="0" w:line="259" w:lineRule="auto"/>
              <w:ind w:left="1634" w:firstLine="0"/>
            </w:pPr>
            <w:r>
              <w:rPr>
                <w:rFonts w:ascii="Arial" w:eastAsia="Arial" w:hAnsi="Arial" w:cs="Arial"/>
                <w:sz w:val="20"/>
              </w:rPr>
              <w:t xml:space="preserve">Action to Be Taken </w:t>
            </w:r>
          </w:p>
        </w:tc>
      </w:tr>
      <w:tr w:rsidR="000B3C5C" w14:paraId="5675B5A9" w14:textId="77777777">
        <w:trPr>
          <w:trHeight w:val="1287"/>
        </w:trPr>
        <w:tc>
          <w:tcPr>
            <w:tcW w:w="1724" w:type="dxa"/>
            <w:tcBorders>
              <w:top w:val="nil"/>
              <w:left w:val="nil"/>
              <w:bottom w:val="nil"/>
              <w:right w:val="nil"/>
            </w:tcBorders>
          </w:tcPr>
          <w:p w14:paraId="5CBAF921" w14:textId="77777777" w:rsidR="000B3C5C" w:rsidRDefault="00ED192D">
            <w:pPr>
              <w:spacing w:after="0" w:line="259" w:lineRule="auto"/>
              <w:ind w:left="72" w:firstLine="0"/>
            </w:pPr>
            <w:r>
              <w:rPr>
                <w:rFonts w:ascii="Segoe UI Symbol" w:eastAsia="Segoe UI Symbol" w:hAnsi="Segoe UI Symbol" w:cs="Segoe UI Symbol"/>
                <w:sz w:val="20"/>
              </w:rPr>
              <w:t></w:t>
            </w:r>
            <w:r>
              <w:rPr>
                <w:rFonts w:ascii="Arial" w:eastAsia="Arial" w:hAnsi="Arial" w:cs="Arial"/>
                <w:sz w:val="20"/>
              </w:rPr>
              <w:t xml:space="preserve">4 major criteria </w:t>
            </w:r>
          </w:p>
        </w:tc>
        <w:tc>
          <w:tcPr>
            <w:tcW w:w="1750" w:type="dxa"/>
            <w:tcBorders>
              <w:top w:val="nil"/>
              <w:left w:val="nil"/>
              <w:bottom w:val="nil"/>
              <w:right w:val="nil"/>
            </w:tcBorders>
          </w:tcPr>
          <w:p w14:paraId="0BF44CD2" w14:textId="77777777" w:rsidR="000B3C5C" w:rsidRDefault="00ED192D">
            <w:pPr>
              <w:spacing w:after="0" w:line="241" w:lineRule="auto"/>
              <w:ind w:left="0" w:firstLine="77"/>
            </w:pPr>
            <w:r>
              <w:rPr>
                <w:rFonts w:ascii="Arial" w:eastAsia="Arial" w:hAnsi="Arial" w:cs="Arial"/>
                <w:sz w:val="20"/>
              </w:rPr>
              <w:t xml:space="preserve">Consistent with systemic immune </w:t>
            </w:r>
          </w:p>
          <w:p w14:paraId="3633C1FF" w14:textId="77777777" w:rsidR="000B3C5C" w:rsidRDefault="00ED192D">
            <w:pPr>
              <w:spacing w:after="0" w:line="259" w:lineRule="auto"/>
              <w:ind w:left="286" w:firstLine="0"/>
            </w:pPr>
            <w:r>
              <w:rPr>
                <w:rFonts w:ascii="Arial" w:eastAsia="Arial" w:hAnsi="Arial" w:cs="Arial"/>
                <w:sz w:val="20"/>
              </w:rPr>
              <w:t xml:space="preserve">activation </w:t>
            </w:r>
          </w:p>
        </w:tc>
        <w:tc>
          <w:tcPr>
            <w:tcW w:w="358" w:type="dxa"/>
            <w:tcBorders>
              <w:top w:val="nil"/>
              <w:left w:val="nil"/>
              <w:bottom w:val="nil"/>
              <w:right w:val="nil"/>
            </w:tcBorders>
          </w:tcPr>
          <w:p w14:paraId="7AA625D4" w14:textId="77777777" w:rsidR="000B3C5C" w:rsidRDefault="00ED192D">
            <w:pPr>
              <w:spacing w:after="24" w:line="259" w:lineRule="auto"/>
              <w:ind w:left="0" w:firstLine="0"/>
            </w:pPr>
            <w:r>
              <w:rPr>
                <w:rFonts w:ascii="Segoe UI Symbol" w:eastAsia="Segoe UI Symbol" w:hAnsi="Segoe UI Symbol" w:cs="Segoe UI Symbol"/>
                <w:sz w:val="20"/>
              </w:rPr>
              <w:t>•</w:t>
            </w:r>
            <w:r>
              <w:rPr>
                <w:rFonts w:ascii="Arial" w:eastAsia="Arial" w:hAnsi="Arial" w:cs="Arial"/>
                <w:sz w:val="20"/>
              </w:rPr>
              <w:t xml:space="preserve"> </w:t>
            </w:r>
          </w:p>
          <w:p w14:paraId="5306402F" w14:textId="77777777" w:rsidR="000B3C5C" w:rsidRDefault="00ED192D">
            <w:pPr>
              <w:spacing w:after="0" w:line="259" w:lineRule="auto"/>
              <w:ind w:left="0" w:firstLine="0"/>
            </w:pPr>
            <w:r>
              <w:rPr>
                <w:rFonts w:ascii="Segoe UI Symbol" w:eastAsia="Segoe UI Symbol" w:hAnsi="Segoe UI Symbol" w:cs="Segoe UI Symbol"/>
                <w:sz w:val="20"/>
              </w:rPr>
              <w:t>•</w:t>
            </w:r>
            <w:r>
              <w:rPr>
                <w:rFonts w:ascii="Arial" w:eastAsia="Arial" w:hAnsi="Arial" w:cs="Arial"/>
                <w:sz w:val="20"/>
              </w:rPr>
              <w:t xml:space="preserve"> </w:t>
            </w:r>
          </w:p>
        </w:tc>
        <w:tc>
          <w:tcPr>
            <w:tcW w:w="5369" w:type="dxa"/>
            <w:tcBorders>
              <w:top w:val="nil"/>
              <w:left w:val="nil"/>
              <w:bottom w:val="nil"/>
              <w:right w:val="nil"/>
            </w:tcBorders>
          </w:tcPr>
          <w:p w14:paraId="31D922D1" w14:textId="77777777" w:rsidR="000B3C5C" w:rsidRDefault="00ED192D">
            <w:pPr>
              <w:spacing w:after="57" w:line="259" w:lineRule="auto"/>
              <w:ind w:left="0" w:firstLine="0"/>
            </w:pPr>
            <w:r>
              <w:rPr>
                <w:rFonts w:ascii="Arial" w:eastAsia="Arial" w:hAnsi="Arial" w:cs="Arial"/>
                <w:sz w:val="20"/>
              </w:rPr>
              <w:t xml:space="preserve">Permanently discontinue isatuximab and atezolizumab. </w:t>
            </w:r>
          </w:p>
          <w:p w14:paraId="72197A4C" w14:textId="77777777" w:rsidR="000B3C5C" w:rsidRDefault="00ED192D">
            <w:pPr>
              <w:spacing w:after="0" w:line="259" w:lineRule="auto"/>
              <w:ind w:left="0" w:firstLine="0"/>
            </w:pPr>
            <w:r>
              <w:rPr>
                <w:rFonts w:ascii="Arial" w:eastAsia="Arial" w:hAnsi="Arial" w:cs="Arial"/>
                <w:sz w:val="20"/>
              </w:rPr>
              <w:t xml:space="preserve">Consider treatment with an immunosuppressive agent (ie, cytokine inhibitors) and IV corticosteroids (ie, methylprednisolone 1 g once daily or equivalent, or dexamethasone </w:t>
            </w:r>
            <w:r>
              <w:rPr>
                <w:rFonts w:ascii="Segoe UI Symbol" w:eastAsia="Segoe UI Symbol" w:hAnsi="Segoe UI Symbol" w:cs="Segoe UI Symbol"/>
                <w:sz w:val="20"/>
              </w:rPr>
              <w:t></w:t>
            </w:r>
            <w:r>
              <w:rPr>
                <w:rFonts w:ascii="Arial" w:eastAsia="Arial" w:hAnsi="Arial" w:cs="Arial"/>
                <w:sz w:val="20"/>
              </w:rPr>
              <w:t>10 mg/m</w:t>
            </w:r>
            <w:r>
              <w:rPr>
                <w:rFonts w:ascii="Arial" w:eastAsia="Arial" w:hAnsi="Arial" w:cs="Arial"/>
                <w:sz w:val="20"/>
                <w:vertAlign w:val="superscript"/>
              </w:rPr>
              <w:t>2</w:t>
            </w:r>
            <w:r>
              <w:rPr>
                <w:rFonts w:ascii="Arial" w:eastAsia="Arial" w:hAnsi="Arial" w:cs="Arial"/>
                <w:sz w:val="20"/>
              </w:rPr>
              <w:t xml:space="preserve"> </w:t>
            </w:r>
            <w:r>
              <w:rPr>
                <w:rFonts w:ascii="Arial" w:eastAsia="Arial" w:hAnsi="Arial" w:cs="Arial"/>
                <w:sz w:val="20"/>
              </w:rPr>
              <w:t xml:space="preserve">once daily if neurologic abnormalities are present). </w:t>
            </w:r>
          </w:p>
        </w:tc>
      </w:tr>
    </w:tbl>
    <w:p w14:paraId="7CC6FE91" w14:textId="77777777" w:rsidR="000B3C5C" w:rsidRDefault="00ED192D">
      <w:pPr>
        <w:numPr>
          <w:ilvl w:val="0"/>
          <w:numId w:val="85"/>
        </w:numPr>
        <w:spacing w:after="50" w:line="250" w:lineRule="auto"/>
        <w:ind w:right="14" w:hanging="358"/>
      </w:pPr>
      <w:r>
        <w:rPr>
          <w:rFonts w:ascii="Arial" w:eastAsia="Arial" w:hAnsi="Arial" w:cs="Arial"/>
          <w:sz w:val="20"/>
        </w:rPr>
        <w:t xml:space="preserve">Contact the Medical Monitor for additional recommendations. </w:t>
      </w:r>
    </w:p>
    <w:p w14:paraId="7920E946" w14:textId="77777777" w:rsidR="000B3C5C" w:rsidRDefault="00ED192D">
      <w:pPr>
        <w:numPr>
          <w:ilvl w:val="0"/>
          <w:numId w:val="85"/>
        </w:numPr>
        <w:spacing w:after="0" w:line="259" w:lineRule="auto"/>
        <w:ind w:right="14" w:hanging="358"/>
      </w:pPr>
      <w:r>
        <w:rPr>
          <w:rFonts w:ascii="Arial" w:eastAsia="Arial" w:hAnsi="Arial" w:cs="Arial"/>
          <w:sz w:val="20"/>
        </w:rPr>
        <w:t>Consider HLH-2004 protocol (</w:t>
      </w:r>
      <w:r>
        <w:rPr>
          <w:rFonts w:ascii="Arial" w:eastAsia="Arial" w:hAnsi="Arial" w:cs="Arial"/>
          <w:color w:val="0000FF"/>
          <w:sz w:val="20"/>
        </w:rPr>
        <w:t>65</w:t>
      </w:r>
      <w:r>
        <w:rPr>
          <w:rFonts w:ascii="Arial" w:eastAsia="Arial" w:hAnsi="Arial" w:cs="Arial"/>
          <w:sz w:val="20"/>
        </w:rPr>
        <w:t xml:space="preserve">)if there is no clinical improvement. </w:t>
      </w:r>
    </w:p>
    <w:p w14:paraId="7EA21225" w14:textId="77777777" w:rsidR="000B3C5C" w:rsidRDefault="00ED192D">
      <w:pPr>
        <w:spacing w:after="0" w:line="259" w:lineRule="auto"/>
        <w:ind w:left="-58" w:right="-7" w:firstLine="0"/>
      </w:pPr>
      <w:r>
        <w:rPr>
          <w:rFonts w:ascii="Calibri" w:eastAsia="Calibri" w:hAnsi="Calibri" w:cs="Calibri"/>
          <w:noProof/>
          <w:sz w:val="22"/>
        </w:rPr>
        <mc:AlternateContent>
          <mc:Choice Requires="wpg">
            <w:drawing>
              <wp:inline distT="0" distB="0" distL="0" distR="0" wp14:anchorId="2934DBF6" wp14:editId="6BE7327F">
                <wp:extent cx="6077408" cy="6096"/>
                <wp:effectExtent l="0" t="0" r="0" b="0"/>
                <wp:docPr id="299522" name="Group 299522"/>
                <wp:cNvGraphicFramePr/>
                <a:graphic xmlns:a="http://schemas.openxmlformats.org/drawingml/2006/main">
                  <a:graphicData uri="http://schemas.microsoft.com/office/word/2010/wordprocessingGroup">
                    <wpg:wgp>
                      <wpg:cNvGrpSpPr/>
                      <wpg:grpSpPr>
                        <a:xfrm>
                          <a:off x="0" y="0"/>
                          <a:ext cx="6077408" cy="6096"/>
                          <a:chOff x="0" y="0"/>
                          <a:chExt cx="6077408" cy="6096"/>
                        </a:xfrm>
                      </wpg:grpSpPr>
                      <wps:wsp>
                        <wps:cNvPr id="315920" name="Shape 315920"/>
                        <wps:cNvSpPr/>
                        <wps:spPr>
                          <a:xfrm>
                            <a:off x="0" y="0"/>
                            <a:ext cx="1246937" cy="9144"/>
                          </a:xfrm>
                          <a:custGeom>
                            <a:avLst/>
                            <a:gdLst/>
                            <a:ahLst/>
                            <a:cxnLst/>
                            <a:rect l="0" t="0" r="0" b="0"/>
                            <a:pathLst>
                              <a:path w="1246937" h="9144">
                                <a:moveTo>
                                  <a:pt x="0" y="0"/>
                                </a:moveTo>
                                <a:lnTo>
                                  <a:pt x="1246937" y="0"/>
                                </a:lnTo>
                                <a:lnTo>
                                  <a:pt x="12469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21" name="Shape 315921"/>
                        <wps:cNvSpPr/>
                        <wps:spPr>
                          <a:xfrm>
                            <a:off x="123781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22" name="Shape 315922"/>
                        <wps:cNvSpPr/>
                        <wps:spPr>
                          <a:xfrm>
                            <a:off x="1243914" y="0"/>
                            <a:ext cx="906780" cy="9144"/>
                          </a:xfrm>
                          <a:custGeom>
                            <a:avLst/>
                            <a:gdLst/>
                            <a:ahLst/>
                            <a:cxnLst/>
                            <a:rect l="0" t="0" r="0" b="0"/>
                            <a:pathLst>
                              <a:path w="906780" h="9144">
                                <a:moveTo>
                                  <a:pt x="0" y="0"/>
                                </a:moveTo>
                                <a:lnTo>
                                  <a:pt x="906780" y="0"/>
                                </a:lnTo>
                                <a:lnTo>
                                  <a:pt x="9067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23" name="Shape 315923"/>
                        <wps:cNvSpPr/>
                        <wps:spPr>
                          <a:xfrm>
                            <a:off x="21415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24" name="Shape 315924"/>
                        <wps:cNvSpPr/>
                        <wps:spPr>
                          <a:xfrm>
                            <a:off x="2147647" y="0"/>
                            <a:ext cx="3929761" cy="9144"/>
                          </a:xfrm>
                          <a:custGeom>
                            <a:avLst/>
                            <a:gdLst/>
                            <a:ahLst/>
                            <a:cxnLst/>
                            <a:rect l="0" t="0" r="0" b="0"/>
                            <a:pathLst>
                              <a:path w="3929761" h="9144">
                                <a:moveTo>
                                  <a:pt x="0" y="0"/>
                                </a:moveTo>
                                <a:lnTo>
                                  <a:pt x="3929761" y="0"/>
                                </a:lnTo>
                                <a:lnTo>
                                  <a:pt x="39297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522" style="width:478.536pt;height:0.47998pt;mso-position-horizontal-relative:char;mso-position-vertical-relative:line" coordsize="60774,60">
                <v:shape id="Shape 315925" style="position:absolute;width:12469;height:91;left:0;top:0;" coordsize="1246937,9144" path="m0,0l1246937,0l1246937,9144l0,9144l0,0">
                  <v:stroke weight="0pt" endcap="flat" joinstyle="miter" miterlimit="10" on="false" color="#000000" opacity="0"/>
                  <v:fill on="true" color="#000000"/>
                </v:shape>
                <v:shape id="Shape 315926" style="position:absolute;width:91;height:91;left:12378;top:0;" coordsize="9144,9144" path="m0,0l9144,0l9144,9144l0,9144l0,0">
                  <v:stroke weight="0pt" endcap="flat" joinstyle="miter" miterlimit="10" on="false" color="#000000" opacity="0"/>
                  <v:fill on="true" color="#000000"/>
                </v:shape>
                <v:shape id="Shape 315927" style="position:absolute;width:9067;height:91;left:12439;top:0;" coordsize="906780,9144" path="m0,0l906780,0l906780,9144l0,9144l0,0">
                  <v:stroke weight="0pt" endcap="flat" joinstyle="miter" miterlimit="10" on="false" color="#000000" opacity="0"/>
                  <v:fill on="true" color="#000000"/>
                </v:shape>
                <v:shape id="Shape 315928" style="position:absolute;width:91;height:91;left:21415;top:0;" coordsize="9144,9144" path="m0,0l9144,0l9144,9144l0,9144l0,0">
                  <v:stroke weight="0pt" endcap="flat" joinstyle="miter" miterlimit="10" on="false" color="#000000" opacity="0"/>
                  <v:fill on="true" color="#000000"/>
                </v:shape>
                <v:shape id="Shape 315929" style="position:absolute;width:39297;height:91;left:21476;top:0;" coordsize="3929761,9144" path="m0,0l3929761,0l3929761,9144l0,9144l0,0">
                  <v:stroke weight="0pt" endcap="flat" joinstyle="miter" miterlimit="10" on="false" color="#000000" opacity="0"/>
                  <v:fill on="true" color="#000000"/>
                </v:shape>
              </v:group>
            </w:pict>
          </mc:Fallback>
        </mc:AlternateContent>
      </w:r>
    </w:p>
    <w:p w14:paraId="2A9F0F0D" w14:textId="77777777" w:rsidR="000B3C5C" w:rsidRDefault="00ED192D">
      <w:pPr>
        <w:tabs>
          <w:tab w:val="center" w:pos="931"/>
          <w:tab w:val="center" w:pos="2617"/>
          <w:tab w:val="center" w:pos="3781"/>
          <w:tab w:val="center" w:pos="6547"/>
        </w:tabs>
        <w:spacing w:after="3" w:line="266" w:lineRule="auto"/>
        <w:ind w:left="0" w:firstLine="0"/>
      </w:pPr>
      <w:r>
        <w:rPr>
          <w:rFonts w:ascii="Calibri" w:eastAsia="Calibri" w:hAnsi="Calibri" w:cs="Calibri"/>
          <w:sz w:val="22"/>
        </w:rPr>
        <w:tab/>
      </w:r>
      <w:r>
        <w:rPr>
          <w:rFonts w:ascii="Arial" w:eastAsia="Arial" w:hAnsi="Arial" w:cs="Arial"/>
          <w:sz w:val="20"/>
        </w:rPr>
        <w:t xml:space="preserve">3 major criteria </w:t>
      </w:r>
      <w:r>
        <w:rPr>
          <w:rFonts w:ascii="Arial" w:eastAsia="Arial" w:hAnsi="Arial" w:cs="Arial"/>
          <w:sz w:val="20"/>
        </w:rPr>
        <w:tab/>
        <w:t xml:space="preserve">Probable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Depending on clinical severity, follow guidelines for “Consistent with </w:t>
      </w:r>
    </w:p>
    <w:p w14:paraId="33113812" w14:textId="77777777" w:rsidR="000B3C5C" w:rsidRDefault="00ED192D">
      <w:pPr>
        <w:spacing w:after="38" w:line="250" w:lineRule="auto"/>
        <w:ind w:left="2271" w:hanging="1465"/>
      </w:pPr>
      <w:r>
        <w:rPr>
          <w:rFonts w:ascii="Arial" w:eastAsia="Arial" w:hAnsi="Arial" w:cs="Arial"/>
          <w:sz w:val="20"/>
          <w:u w:val="single" w:color="000000"/>
        </w:rPr>
        <w:t>OR</w:t>
      </w:r>
      <w:r>
        <w:rPr>
          <w:rFonts w:ascii="Arial" w:eastAsia="Arial" w:hAnsi="Arial" w:cs="Arial"/>
          <w:sz w:val="20"/>
        </w:rPr>
        <w:t xml:space="preserve"> </w:t>
      </w:r>
      <w:r>
        <w:rPr>
          <w:rFonts w:ascii="Arial" w:eastAsia="Arial" w:hAnsi="Arial" w:cs="Arial"/>
          <w:sz w:val="20"/>
        </w:rPr>
        <w:tab/>
        <w:t xml:space="preserve">systemic immune </w:t>
      </w:r>
      <w:r>
        <w:rPr>
          <w:rFonts w:ascii="Arial" w:eastAsia="Arial" w:hAnsi="Arial" w:cs="Arial"/>
          <w:sz w:val="20"/>
        </w:rPr>
        <w:tab/>
        <w:t xml:space="preserve">systemic immune activation” or “Possible systemic immune activation” activation </w:t>
      </w:r>
      <w:r>
        <w:rPr>
          <w:rFonts w:ascii="Arial" w:eastAsia="Arial" w:hAnsi="Arial" w:cs="Arial"/>
          <w:sz w:val="20"/>
        </w:rPr>
        <w:tab/>
        <w:t xml:space="preserve">diagnosis. </w:t>
      </w:r>
    </w:p>
    <w:p w14:paraId="36A0D5EB" w14:textId="77777777" w:rsidR="000B3C5C" w:rsidRDefault="00ED192D">
      <w:pPr>
        <w:spacing w:after="4" w:line="250" w:lineRule="auto"/>
        <w:ind w:left="142"/>
      </w:pPr>
      <w:r>
        <w:rPr>
          <w:rFonts w:ascii="Arial" w:eastAsia="Arial" w:hAnsi="Arial" w:cs="Arial"/>
          <w:sz w:val="20"/>
        </w:rPr>
        <w:t xml:space="preserve">2 major plus </w:t>
      </w:r>
      <w:r>
        <w:rPr>
          <w:rFonts w:ascii="Segoe UI Symbol" w:eastAsia="Segoe UI Symbol" w:hAnsi="Segoe UI Symbol" w:cs="Segoe UI Symbol"/>
          <w:sz w:val="20"/>
        </w:rPr>
        <w:t></w:t>
      </w:r>
      <w:r>
        <w:rPr>
          <w:rFonts w:ascii="Arial" w:eastAsia="Arial" w:hAnsi="Arial" w:cs="Arial"/>
          <w:sz w:val="20"/>
        </w:rPr>
        <w:t xml:space="preserve">3 minor </w:t>
      </w:r>
    </w:p>
    <w:p w14:paraId="533B67DF" w14:textId="77777777" w:rsidR="000B3C5C" w:rsidRDefault="00ED192D">
      <w:pPr>
        <w:spacing w:after="77" w:line="266" w:lineRule="auto"/>
        <w:ind w:left="20"/>
        <w:jc w:val="center"/>
      </w:pPr>
      <w:r>
        <w:rPr>
          <w:rFonts w:ascii="Arial" w:eastAsia="Arial" w:hAnsi="Arial" w:cs="Arial"/>
          <w:sz w:val="20"/>
        </w:rPr>
        <w:t xml:space="preserve">criteria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0"/>
        </w:rPr>
        <w:t xml:space="preserve">Clinical specialists and the Medical Monitor may be contacted for recommendations. </w:t>
      </w:r>
    </w:p>
    <w:p w14:paraId="290CA523" w14:textId="77777777" w:rsidR="000B3C5C" w:rsidRDefault="00ED192D">
      <w:pPr>
        <w:tabs>
          <w:tab w:val="center" w:pos="2616"/>
          <w:tab w:val="center" w:pos="3781"/>
          <w:tab w:val="center" w:pos="5515"/>
        </w:tabs>
        <w:spacing w:after="71" w:line="250" w:lineRule="auto"/>
        <w:ind w:left="0" w:firstLine="0"/>
      </w:pPr>
      <w:r>
        <w:rPr>
          <w:rFonts w:ascii="Arial" w:eastAsia="Arial" w:hAnsi="Arial" w:cs="Arial"/>
          <w:sz w:val="20"/>
        </w:rPr>
        <w:t xml:space="preserve">2 major plus </w:t>
      </w:r>
      <w:r>
        <w:rPr>
          <w:rFonts w:ascii="Segoe UI Symbol" w:eastAsia="Segoe UI Symbol" w:hAnsi="Segoe UI Symbol" w:cs="Segoe UI Symbol"/>
          <w:sz w:val="20"/>
        </w:rPr>
        <w:t></w:t>
      </w:r>
      <w:r>
        <w:rPr>
          <w:rFonts w:ascii="Arial" w:eastAsia="Arial" w:hAnsi="Arial" w:cs="Arial"/>
          <w:sz w:val="20"/>
        </w:rPr>
        <w:t xml:space="preserve">2 minor </w:t>
      </w:r>
      <w:r>
        <w:rPr>
          <w:rFonts w:ascii="Arial" w:eastAsia="Arial" w:hAnsi="Arial" w:cs="Arial"/>
          <w:sz w:val="20"/>
        </w:rPr>
        <w:tab/>
        <w:t xml:space="preserve">Possible systemic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Withhold isatuximab and atezolizumab. </w:t>
      </w:r>
    </w:p>
    <w:p w14:paraId="6528025C" w14:textId="77777777" w:rsidR="000B3C5C" w:rsidRDefault="00ED192D">
      <w:pPr>
        <w:tabs>
          <w:tab w:val="center" w:pos="930"/>
          <w:tab w:val="center" w:pos="2616"/>
          <w:tab w:val="center" w:pos="3781"/>
          <w:tab w:val="center" w:pos="5633"/>
        </w:tabs>
        <w:spacing w:after="160" w:line="250" w:lineRule="auto"/>
        <w:ind w:left="0" w:firstLine="0"/>
      </w:pPr>
      <w:r>
        <w:rPr>
          <w:rFonts w:ascii="Calibri" w:eastAsia="Calibri" w:hAnsi="Calibri" w:cs="Calibri"/>
          <w:sz w:val="22"/>
        </w:rPr>
        <w:tab/>
      </w:r>
      <w:r>
        <w:rPr>
          <w:rFonts w:ascii="Arial" w:eastAsia="Arial" w:hAnsi="Arial" w:cs="Arial"/>
          <w:sz w:val="20"/>
        </w:rPr>
        <w:t xml:space="preserve">criteria </w:t>
      </w:r>
      <w:r>
        <w:rPr>
          <w:rFonts w:ascii="Arial" w:eastAsia="Arial" w:hAnsi="Arial" w:cs="Arial"/>
          <w:sz w:val="20"/>
        </w:rPr>
        <w:tab/>
        <w:t xml:space="preserve">immune activation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Consider treatment with IV corticosteroids. </w:t>
      </w:r>
    </w:p>
    <w:p w14:paraId="4AEF6AAC" w14:textId="77777777" w:rsidR="000B3C5C" w:rsidRDefault="00ED192D">
      <w:pPr>
        <w:spacing w:after="90" w:line="250" w:lineRule="auto"/>
        <w:ind w:left="132" w:right="576" w:firstLine="674"/>
      </w:pPr>
      <w:r>
        <w:rPr>
          <w:rFonts w:ascii="Arial" w:eastAsia="Arial" w:hAnsi="Arial" w:cs="Arial"/>
          <w:sz w:val="20"/>
          <w:u w:val="single" w:color="000000"/>
        </w:rPr>
        <w:t>OR</w:t>
      </w:r>
      <w:r>
        <w:rPr>
          <w:rFonts w:ascii="Arial" w:eastAsia="Arial" w:hAnsi="Arial" w:cs="Arial"/>
          <w:sz w:val="20"/>
        </w:rPr>
        <w:t xml:space="preserve">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Clinical specialists and the Medical Monitor may be contacted for 1 major plus </w:t>
      </w:r>
      <w:r>
        <w:rPr>
          <w:rFonts w:ascii="Segoe UI Symbol" w:eastAsia="Segoe UI Symbol" w:hAnsi="Segoe UI Symbol" w:cs="Segoe UI Symbol"/>
          <w:sz w:val="20"/>
        </w:rPr>
        <w:t></w:t>
      </w:r>
      <w:r>
        <w:rPr>
          <w:rFonts w:ascii="Arial" w:eastAsia="Arial" w:hAnsi="Arial" w:cs="Arial"/>
          <w:sz w:val="20"/>
        </w:rPr>
        <w:t xml:space="preserve">4 minor </w:t>
      </w:r>
      <w:r>
        <w:rPr>
          <w:rFonts w:ascii="Arial" w:eastAsia="Arial" w:hAnsi="Arial" w:cs="Arial"/>
          <w:sz w:val="20"/>
        </w:rPr>
        <w:tab/>
        <w:t xml:space="preserve">additional recommendations. </w:t>
      </w:r>
    </w:p>
    <w:p w14:paraId="5DDC2DDC" w14:textId="77777777" w:rsidR="000B3C5C" w:rsidRDefault="00ED192D">
      <w:pPr>
        <w:tabs>
          <w:tab w:val="center" w:pos="930"/>
          <w:tab w:val="center" w:pos="3781"/>
          <w:tab w:val="center" w:pos="6498"/>
        </w:tabs>
        <w:spacing w:after="4" w:line="250" w:lineRule="auto"/>
        <w:ind w:left="0" w:firstLine="0"/>
      </w:pPr>
      <w:r>
        <w:rPr>
          <w:rFonts w:ascii="Calibri" w:eastAsia="Calibri" w:hAnsi="Calibri" w:cs="Calibri"/>
          <w:sz w:val="22"/>
        </w:rPr>
        <w:tab/>
      </w:r>
      <w:r>
        <w:rPr>
          <w:rFonts w:ascii="Arial" w:eastAsia="Arial" w:hAnsi="Arial" w:cs="Arial"/>
          <w:sz w:val="20"/>
        </w:rPr>
        <w:t xml:space="preserve">criteria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Follow guidelines for “Consistent with systemic immune activation” </w:t>
      </w:r>
    </w:p>
    <w:p w14:paraId="62D847E8" w14:textId="77777777" w:rsidR="000B3C5C" w:rsidRDefault="00ED192D">
      <w:pPr>
        <w:spacing w:after="83" w:line="250" w:lineRule="auto"/>
        <w:ind w:left="4103"/>
      </w:pPr>
      <w:r>
        <w:rPr>
          <w:rFonts w:ascii="Arial" w:eastAsia="Arial" w:hAnsi="Arial" w:cs="Arial"/>
          <w:sz w:val="20"/>
        </w:rPr>
        <w:t xml:space="preserve">diagnosis if there is no clinical improvement or if clinical worsening occurs. </w:t>
      </w:r>
    </w:p>
    <w:p w14:paraId="1E4B7A35" w14:textId="77777777" w:rsidR="000B3C5C" w:rsidRDefault="00ED192D">
      <w:pPr>
        <w:spacing w:after="4" w:line="250" w:lineRule="auto"/>
        <w:ind w:left="4093" w:hanging="358"/>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 xml:space="preserve">If clinical improvement occurs, isatuximab and atezolizumab may be resumed following a benefit-risk assessment by the Medical Monitor. </w:t>
      </w:r>
    </w:p>
    <w:p w14:paraId="509BFE72" w14:textId="77777777" w:rsidR="000B3C5C" w:rsidRDefault="00ED192D">
      <w:pPr>
        <w:spacing w:after="56" w:line="259" w:lineRule="auto"/>
        <w:ind w:left="-43" w:right="-7" w:firstLine="0"/>
      </w:pPr>
      <w:r>
        <w:rPr>
          <w:rFonts w:ascii="Calibri" w:eastAsia="Calibri" w:hAnsi="Calibri" w:cs="Calibri"/>
          <w:noProof/>
          <w:sz w:val="22"/>
        </w:rPr>
        <mc:AlternateContent>
          <mc:Choice Requires="wpg">
            <w:drawing>
              <wp:inline distT="0" distB="0" distL="0" distR="0" wp14:anchorId="1F8932F1" wp14:editId="6D740451">
                <wp:extent cx="6068264" cy="6096"/>
                <wp:effectExtent l="0" t="0" r="0" b="0"/>
                <wp:docPr id="301196" name="Group 301196"/>
                <wp:cNvGraphicFramePr/>
                <a:graphic xmlns:a="http://schemas.openxmlformats.org/drawingml/2006/main">
                  <a:graphicData uri="http://schemas.microsoft.com/office/word/2010/wordprocessingGroup">
                    <wpg:wgp>
                      <wpg:cNvGrpSpPr/>
                      <wpg:grpSpPr>
                        <a:xfrm>
                          <a:off x="0" y="0"/>
                          <a:ext cx="6068264" cy="6096"/>
                          <a:chOff x="0" y="0"/>
                          <a:chExt cx="6068264" cy="6096"/>
                        </a:xfrm>
                      </wpg:grpSpPr>
                      <wps:wsp>
                        <wps:cNvPr id="315930" name="Shape 315930"/>
                        <wps:cNvSpPr/>
                        <wps:spPr>
                          <a:xfrm>
                            <a:off x="0" y="0"/>
                            <a:ext cx="1237793" cy="9144"/>
                          </a:xfrm>
                          <a:custGeom>
                            <a:avLst/>
                            <a:gdLst/>
                            <a:ahLst/>
                            <a:cxnLst/>
                            <a:rect l="0" t="0" r="0" b="0"/>
                            <a:pathLst>
                              <a:path w="1237793" h="9144">
                                <a:moveTo>
                                  <a:pt x="0" y="0"/>
                                </a:moveTo>
                                <a:lnTo>
                                  <a:pt x="1237793" y="0"/>
                                </a:lnTo>
                                <a:lnTo>
                                  <a:pt x="12377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31" name="Shape 315931"/>
                        <wps:cNvSpPr/>
                        <wps:spPr>
                          <a:xfrm>
                            <a:off x="123781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32" name="Shape 315932"/>
                        <wps:cNvSpPr/>
                        <wps:spPr>
                          <a:xfrm>
                            <a:off x="1243914" y="0"/>
                            <a:ext cx="897636" cy="9144"/>
                          </a:xfrm>
                          <a:custGeom>
                            <a:avLst/>
                            <a:gdLst/>
                            <a:ahLst/>
                            <a:cxnLst/>
                            <a:rect l="0" t="0" r="0" b="0"/>
                            <a:pathLst>
                              <a:path w="897636" h="9144">
                                <a:moveTo>
                                  <a:pt x="0" y="0"/>
                                </a:moveTo>
                                <a:lnTo>
                                  <a:pt x="897636" y="0"/>
                                </a:lnTo>
                                <a:lnTo>
                                  <a:pt x="8976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33" name="Shape 315933"/>
                        <wps:cNvSpPr/>
                        <wps:spPr>
                          <a:xfrm>
                            <a:off x="21415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34" name="Shape 315934"/>
                        <wps:cNvSpPr/>
                        <wps:spPr>
                          <a:xfrm>
                            <a:off x="2147646" y="0"/>
                            <a:ext cx="3920617" cy="9144"/>
                          </a:xfrm>
                          <a:custGeom>
                            <a:avLst/>
                            <a:gdLst/>
                            <a:ahLst/>
                            <a:cxnLst/>
                            <a:rect l="0" t="0" r="0" b="0"/>
                            <a:pathLst>
                              <a:path w="3920617" h="9144">
                                <a:moveTo>
                                  <a:pt x="0" y="0"/>
                                </a:moveTo>
                                <a:lnTo>
                                  <a:pt x="3920617" y="0"/>
                                </a:lnTo>
                                <a:lnTo>
                                  <a:pt x="39206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196" style="width:477.816pt;height:0.47998pt;mso-position-horizontal-relative:char;mso-position-vertical-relative:line" coordsize="60682,60">
                <v:shape id="Shape 315935" style="position:absolute;width:12377;height:91;left:0;top:0;" coordsize="1237793,9144" path="m0,0l1237793,0l1237793,9144l0,9144l0,0">
                  <v:stroke weight="0pt" endcap="flat" joinstyle="miter" miterlimit="10" on="false" color="#000000" opacity="0"/>
                  <v:fill on="true" color="#000000"/>
                </v:shape>
                <v:shape id="Shape 315936" style="position:absolute;width:91;height:91;left:12378;top:0;" coordsize="9144,9144" path="m0,0l9144,0l9144,9144l0,9144l0,0">
                  <v:stroke weight="0pt" endcap="flat" joinstyle="miter" miterlimit="10" on="false" color="#000000" opacity="0"/>
                  <v:fill on="true" color="#000000"/>
                </v:shape>
                <v:shape id="Shape 315937" style="position:absolute;width:8976;height:91;left:12439;top:0;" coordsize="897636,9144" path="m0,0l897636,0l897636,9144l0,9144l0,0">
                  <v:stroke weight="0pt" endcap="flat" joinstyle="miter" miterlimit="10" on="false" color="#000000" opacity="0"/>
                  <v:fill on="true" color="#000000"/>
                </v:shape>
                <v:shape id="Shape 315938" style="position:absolute;width:91;height:91;left:21415;top:0;" coordsize="9144,9144" path="m0,0l9144,0l9144,9144l0,9144l0,0">
                  <v:stroke weight="0pt" endcap="flat" joinstyle="miter" miterlimit="10" on="false" color="#000000" opacity="0"/>
                  <v:fill on="true" color="#000000"/>
                </v:shape>
                <v:shape id="Shape 315939" style="position:absolute;width:39206;height:91;left:21476;top:0;" coordsize="3920617,9144" path="m0,0l3920617,0l3920617,9144l0,9144l0,0">
                  <v:stroke weight="0pt" endcap="flat" joinstyle="miter" miterlimit="10" on="false" color="#000000" opacity="0"/>
                  <v:fill on="true" color="#000000"/>
                </v:shape>
              </v:group>
            </w:pict>
          </mc:Fallback>
        </mc:AlternateContent>
      </w:r>
    </w:p>
    <w:p w14:paraId="0B7D484A" w14:textId="77777777" w:rsidR="000B3C5C" w:rsidRDefault="00ED192D">
      <w:pPr>
        <w:spacing w:after="12"/>
        <w:ind w:left="-5" w:right="2"/>
      </w:pPr>
      <w:r>
        <w:rPr>
          <w:rFonts w:ascii="Arial" w:eastAsia="Arial" w:hAnsi="Arial" w:cs="Arial"/>
          <w:sz w:val="18"/>
        </w:rPr>
        <w:t>Notes:  Criteria are adapted from a Delphi Survey of 26 experts who provided helpful criteria in the positive diagnosis of hemophagocytic syndrome in adult patients (</w:t>
      </w:r>
      <w:r>
        <w:rPr>
          <w:rFonts w:ascii="Arial" w:eastAsia="Arial" w:hAnsi="Arial" w:cs="Arial"/>
          <w:color w:val="0000FF"/>
          <w:sz w:val="18"/>
        </w:rPr>
        <w:t>66</w:t>
      </w:r>
      <w:r>
        <w:rPr>
          <w:rFonts w:ascii="Arial" w:eastAsia="Arial" w:hAnsi="Arial" w:cs="Arial"/>
          <w:sz w:val="18"/>
        </w:rPr>
        <w:t xml:space="preserve">). </w:t>
      </w:r>
    </w:p>
    <w:p w14:paraId="604AEF6F" w14:textId="77777777" w:rsidR="000B3C5C" w:rsidRDefault="00ED192D">
      <w:pPr>
        <w:spacing w:after="12"/>
        <w:ind w:left="-5" w:right="2"/>
      </w:pPr>
      <w:r>
        <w:rPr>
          <w:rFonts w:ascii="Arial" w:eastAsia="Arial" w:hAnsi="Arial" w:cs="Arial"/>
          <w:sz w:val="18"/>
        </w:rPr>
        <w:t xml:space="preserve">Grades are based on MedDRA and CTCAE. </w:t>
      </w:r>
    </w:p>
    <w:p w14:paraId="35D06A23" w14:textId="77777777" w:rsidR="000B3C5C" w:rsidRDefault="00ED192D">
      <w:pPr>
        <w:spacing w:after="529"/>
        <w:ind w:left="-5" w:right="2"/>
      </w:pPr>
      <w:r>
        <w:rPr>
          <w:rFonts w:ascii="Arial" w:eastAsia="Arial" w:hAnsi="Arial" w:cs="Arial"/>
          <w:sz w:val="18"/>
        </w:rPr>
        <w:t xml:space="preserve">These recommendations do not replace clinical judgment and are intended as suggested guidance. </w:t>
      </w:r>
    </w:p>
    <w:p w14:paraId="1784A160" w14:textId="77777777" w:rsidR="000B3C5C" w:rsidRDefault="00ED192D">
      <w:pPr>
        <w:pStyle w:val="Heading4"/>
        <w:ind w:left="-5"/>
      </w:pPr>
      <w:r>
        <w:t xml:space="preserve">10.22 APPENDIX 22: MANAGEMENT OF PATIENTS WITH HCV INFECTION  </w:t>
      </w:r>
    </w:p>
    <w:p w14:paraId="562F9F7D" w14:textId="77777777" w:rsidR="000B3C5C" w:rsidRDefault="00ED192D">
      <w:pPr>
        <w:ind w:left="-3" w:right="14"/>
      </w:pPr>
      <w:r>
        <w:t xml:space="preserve">Recommended management for recurrent HCV infection or an HCV flare are described below. </w:t>
      </w:r>
    </w:p>
    <w:p w14:paraId="7C06606A" w14:textId="77777777" w:rsidR="000B3C5C" w:rsidRDefault="00ED192D">
      <w:pPr>
        <w:ind w:left="-3" w:right="14"/>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6D67D2E" wp14:editId="3D8D1AD0">
                <wp:simplePos x="0" y="0"/>
                <wp:positionH relativeFrom="page">
                  <wp:posOffset>980237</wp:posOffset>
                </wp:positionH>
                <wp:positionV relativeFrom="page">
                  <wp:posOffset>1158494</wp:posOffset>
                </wp:positionV>
                <wp:extent cx="6068264" cy="6096"/>
                <wp:effectExtent l="0" t="0" r="0" b="0"/>
                <wp:wrapTopAndBottom/>
                <wp:docPr id="301195" name="Group 301195"/>
                <wp:cNvGraphicFramePr/>
                <a:graphic xmlns:a="http://schemas.openxmlformats.org/drawingml/2006/main">
                  <a:graphicData uri="http://schemas.microsoft.com/office/word/2010/wordprocessingGroup">
                    <wpg:wgp>
                      <wpg:cNvGrpSpPr/>
                      <wpg:grpSpPr>
                        <a:xfrm>
                          <a:off x="0" y="0"/>
                          <a:ext cx="6068264" cy="6096"/>
                          <a:chOff x="0" y="0"/>
                          <a:chExt cx="6068264" cy="6096"/>
                        </a:xfrm>
                      </wpg:grpSpPr>
                      <wps:wsp>
                        <wps:cNvPr id="315940" name="Shape 315940"/>
                        <wps:cNvSpPr/>
                        <wps:spPr>
                          <a:xfrm>
                            <a:off x="0" y="0"/>
                            <a:ext cx="1237793" cy="9144"/>
                          </a:xfrm>
                          <a:custGeom>
                            <a:avLst/>
                            <a:gdLst/>
                            <a:ahLst/>
                            <a:cxnLst/>
                            <a:rect l="0" t="0" r="0" b="0"/>
                            <a:pathLst>
                              <a:path w="1237793" h="9144">
                                <a:moveTo>
                                  <a:pt x="0" y="0"/>
                                </a:moveTo>
                                <a:lnTo>
                                  <a:pt x="1237793" y="0"/>
                                </a:lnTo>
                                <a:lnTo>
                                  <a:pt x="12377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41" name="Shape 315941"/>
                        <wps:cNvSpPr/>
                        <wps:spPr>
                          <a:xfrm>
                            <a:off x="123781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42" name="Shape 315942"/>
                        <wps:cNvSpPr/>
                        <wps:spPr>
                          <a:xfrm>
                            <a:off x="1243914" y="0"/>
                            <a:ext cx="897636" cy="9144"/>
                          </a:xfrm>
                          <a:custGeom>
                            <a:avLst/>
                            <a:gdLst/>
                            <a:ahLst/>
                            <a:cxnLst/>
                            <a:rect l="0" t="0" r="0" b="0"/>
                            <a:pathLst>
                              <a:path w="897636" h="9144">
                                <a:moveTo>
                                  <a:pt x="0" y="0"/>
                                </a:moveTo>
                                <a:lnTo>
                                  <a:pt x="897636" y="0"/>
                                </a:lnTo>
                                <a:lnTo>
                                  <a:pt x="8976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43" name="Shape 315943"/>
                        <wps:cNvSpPr/>
                        <wps:spPr>
                          <a:xfrm>
                            <a:off x="21415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44" name="Shape 315944"/>
                        <wps:cNvSpPr/>
                        <wps:spPr>
                          <a:xfrm>
                            <a:off x="2147646" y="0"/>
                            <a:ext cx="3920617" cy="9144"/>
                          </a:xfrm>
                          <a:custGeom>
                            <a:avLst/>
                            <a:gdLst/>
                            <a:ahLst/>
                            <a:cxnLst/>
                            <a:rect l="0" t="0" r="0" b="0"/>
                            <a:pathLst>
                              <a:path w="3920617" h="9144">
                                <a:moveTo>
                                  <a:pt x="0" y="0"/>
                                </a:moveTo>
                                <a:lnTo>
                                  <a:pt x="3920617" y="0"/>
                                </a:lnTo>
                                <a:lnTo>
                                  <a:pt x="39206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195" style="width:477.816pt;height:0.47998pt;position:absolute;mso-position-horizontal-relative:page;mso-position-horizontal:absolute;margin-left:77.184pt;mso-position-vertical-relative:page;margin-top:91.22pt;" coordsize="60682,60">
                <v:shape id="Shape 315945" style="position:absolute;width:12377;height:91;left:0;top:0;" coordsize="1237793,9144" path="m0,0l1237793,0l1237793,9144l0,9144l0,0">
                  <v:stroke weight="0pt" endcap="flat" joinstyle="miter" miterlimit="10" on="false" color="#000000" opacity="0"/>
                  <v:fill on="true" color="#000000"/>
                </v:shape>
                <v:shape id="Shape 315946" style="position:absolute;width:91;height:91;left:12378;top:0;" coordsize="9144,9144" path="m0,0l9144,0l9144,9144l0,9144l0,0">
                  <v:stroke weight="0pt" endcap="flat" joinstyle="miter" miterlimit="10" on="false" color="#000000" opacity="0"/>
                  <v:fill on="true" color="#000000"/>
                </v:shape>
                <v:shape id="Shape 315947" style="position:absolute;width:8976;height:91;left:12439;top:0;" coordsize="897636,9144" path="m0,0l897636,0l897636,9144l0,9144l0,0">
                  <v:stroke weight="0pt" endcap="flat" joinstyle="miter" miterlimit="10" on="false" color="#000000" opacity="0"/>
                  <v:fill on="true" color="#000000"/>
                </v:shape>
                <v:shape id="Shape 315948" style="position:absolute;width:91;height:91;left:21415;top:0;" coordsize="9144,9144" path="m0,0l9144,0l9144,9144l0,9144l0,0">
                  <v:stroke weight="0pt" endcap="flat" joinstyle="miter" miterlimit="10" on="false" color="#000000" opacity="0"/>
                  <v:fill on="true" color="#000000"/>
                </v:shape>
                <v:shape id="Shape 315949" style="position:absolute;width:39206;height:91;left:21476;top:0;" coordsize="3920617,9144" path="m0,0l3920617,0l3920617,9144l0,9144l0,0">
                  <v:stroke weight="0pt" endcap="flat" joinstyle="miter" miterlimit="10" on="false" color="#000000" opacity="0"/>
                  <v:fill on="true" color="#000000"/>
                </v:shape>
                <w10:wrap type="topAndBottom"/>
              </v:group>
            </w:pict>
          </mc:Fallback>
        </mc:AlternateContent>
      </w:r>
      <w:r>
        <w:t xml:space="preserve">In case of a hepatic AE, Investigator should exercise clinical judgment based on the symptoms and the condition of the individual patient.  This includes the characterization of an immune-related hepatic AE, by excluding differential diagnoses such as virologic flare (if applicable), biliary or vascular obstruction, infection, medications, and alcohol use.  Hepatology consultation is required per common standard of care in the sites with HCC treating expertise.  If the hepatic AE is deemed to be the result </w:t>
      </w:r>
      <w:r>
        <w:t xml:space="preserve">of a viral flare, common standard of care per site protocol should be followed.  Otherwise, if a hepatic AE is deemed to be the consequence of an immune-related mechanism, the detailed instructions articulated in </w:t>
      </w:r>
      <w:r>
        <w:rPr>
          <w:color w:val="0000FF"/>
        </w:rPr>
        <w:t xml:space="preserve">Table 18 </w:t>
      </w:r>
      <w:r>
        <w:t xml:space="preserve">of the study protocol are to be followed. </w:t>
      </w:r>
    </w:p>
    <w:p w14:paraId="1BADB2D4" w14:textId="77777777" w:rsidR="000B3C5C" w:rsidRDefault="00ED192D">
      <w:pPr>
        <w:numPr>
          <w:ilvl w:val="0"/>
          <w:numId w:val="86"/>
        </w:numPr>
        <w:spacing w:after="139"/>
        <w:ind w:right="14" w:hanging="360"/>
      </w:pPr>
      <w:r>
        <w:t xml:space="preserve">Recurrent HCV infection:  If the patient entered the study with an HCV RNA test of “Target not Detected” and has confirmed detectable HCV RNA (2 specimens, 1 week apart), then the patient has experienced a late HCV relapse or a recurrent infection. </w:t>
      </w:r>
    </w:p>
    <w:p w14:paraId="71B22D47" w14:textId="77777777" w:rsidR="000B3C5C" w:rsidRDefault="00ED192D">
      <w:pPr>
        <w:numPr>
          <w:ilvl w:val="1"/>
          <w:numId w:val="86"/>
        </w:numPr>
        <w:spacing w:after="142"/>
        <w:ind w:right="14" w:hanging="362"/>
      </w:pPr>
      <w:r>
        <w:t xml:space="preserve">Question the patient about use of injection or inhalation drugs, </w:t>
      </w:r>
    </w:p>
    <w:p w14:paraId="5B7FFAD2" w14:textId="77777777" w:rsidR="000B3C5C" w:rsidRDefault="00ED192D">
      <w:pPr>
        <w:numPr>
          <w:ilvl w:val="1"/>
          <w:numId w:val="86"/>
        </w:numPr>
        <w:spacing w:after="143"/>
        <w:ind w:right="14" w:hanging="362"/>
      </w:pPr>
      <w:r>
        <w:t xml:space="preserve">At the time of first detection of HCV RNA, send a specimen for HCV genotyping, </w:t>
      </w:r>
    </w:p>
    <w:p w14:paraId="57C6380F" w14:textId="77777777" w:rsidR="000B3C5C" w:rsidRDefault="00ED192D">
      <w:pPr>
        <w:numPr>
          <w:ilvl w:val="1"/>
          <w:numId w:val="86"/>
        </w:numPr>
        <w:spacing w:after="142"/>
        <w:ind w:right="14" w:hanging="362"/>
      </w:pPr>
      <w:r>
        <w:t xml:space="preserve">Measure AST, ALT, ALP, total bilirubin, direct bilirubin, and INR weekly, </w:t>
      </w:r>
    </w:p>
    <w:p w14:paraId="6A617542" w14:textId="77777777" w:rsidR="000B3C5C" w:rsidRDefault="00ED192D">
      <w:pPr>
        <w:numPr>
          <w:ilvl w:val="1"/>
          <w:numId w:val="86"/>
        </w:numPr>
        <w:spacing w:after="142"/>
        <w:ind w:right="14" w:hanging="362"/>
      </w:pPr>
      <w:r>
        <w:t xml:space="preserve">Measure HCV RNA levels every 2 weeks, </w:t>
      </w:r>
    </w:p>
    <w:p w14:paraId="37DC4EB4" w14:textId="77777777" w:rsidR="000B3C5C" w:rsidRDefault="00ED192D">
      <w:pPr>
        <w:numPr>
          <w:ilvl w:val="1"/>
          <w:numId w:val="86"/>
        </w:numPr>
        <w:ind w:right="14" w:hanging="362"/>
      </w:pPr>
      <w:r>
        <w:t xml:space="preserve">Therapy with HCV antiviral treatments should be strongly considered. </w:t>
      </w:r>
    </w:p>
    <w:p w14:paraId="19C40E2F" w14:textId="77777777" w:rsidR="000B3C5C" w:rsidRDefault="00ED192D">
      <w:pPr>
        <w:numPr>
          <w:ilvl w:val="0"/>
          <w:numId w:val="86"/>
        </w:numPr>
        <w:spacing w:after="136"/>
        <w:ind w:right="14" w:hanging="360"/>
      </w:pPr>
      <w:r>
        <w:t xml:space="preserve">HCV Flare: </w:t>
      </w:r>
    </w:p>
    <w:p w14:paraId="1160DCCC" w14:textId="77777777" w:rsidR="000B3C5C" w:rsidRDefault="00ED192D">
      <w:pPr>
        <w:numPr>
          <w:ilvl w:val="1"/>
          <w:numId w:val="86"/>
        </w:numPr>
        <w:ind w:right="14" w:hanging="362"/>
      </w:pPr>
      <w:r>
        <w:t xml:space="preserve">At the time of first detection of HCV RNA, send a specimen for HCV genotyping, </w:t>
      </w:r>
    </w:p>
    <w:p w14:paraId="4C0328AB" w14:textId="77777777" w:rsidR="000B3C5C" w:rsidRDefault="00ED192D">
      <w:pPr>
        <w:numPr>
          <w:ilvl w:val="1"/>
          <w:numId w:val="86"/>
        </w:numPr>
        <w:spacing w:after="142" w:line="249" w:lineRule="auto"/>
        <w:ind w:right="14" w:hanging="362"/>
      </w:pPr>
      <w:r>
        <w:t xml:space="preserve">Measure AST, ALT, ALP, total bilirubin, direct bilirubin, and INR weekly, </w:t>
      </w:r>
    </w:p>
    <w:p w14:paraId="303C088E" w14:textId="77777777" w:rsidR="000B3C5C" w:rsidRDefault="00ED192D">
      <w:pPr>
        <w:numPr>
          <w:ilvl w:val="1"/>
          <w:numId w:val="86"/>
        </w:numPr>
        <w:spacing w:after="142"/>
        <w:ind w:right="14" w:hanging="362"/>
      </w:pPr>
      <w:r>
        <w:t xml:space="preserve">Measure HCV RNA levels every 2 weeks, </w:t>
      </w:r>
    </w:p>
    <w:p w14:paraId="0A2100A9" w14:textId="77777777" w:rsidR="000B3C5C" w:rsidRDefault="00ED192D">
      <w:pPr>
        <w:numPr>
          <w:ilvl w:val="1"/>
          <w:numId w:val="86"/>
        </w:numPr>
        <w:ind w:right="14" w:hanging="362"/>
      </w:pPr>
      <w:r>
        <w:t xml:space="preserve">Therapy with HCV antiviral treatments should be strongly considered. </w:t>
      </w:r>
    </w:p>
    <w:p w14:paraId="2F231B67" w14:textId="77777777" w:rsidR="000B3C5C" w:rsidRDefault="00ED192D">
      <w:pPr>
        <w:numPr>
          <w:ilvl w:val="0"/>
          <w:numId w:val="86"/>
        </w:numPr>
        <w:ind w:right="14" w:hanging="360"/>
      </w:pPr>
      <w:r>
        <w:t xml:space="preserve">For both recurrent infection and HCV flare:  If ALT returns to normal or Grade 1 (if normal at baseline), or to baseline grade (if Grade 2 at baseline) within 12 weeks, and the patient is clinically stable, the patient may restart study treatment. If these conditions are not met, then study treatment should be permanently discontinued. </w:t>
      </w:r>
    </w:p>
    <w:p w14:paraId="70DF073F" w14:textId="77777777" w:rsidR="000B3C5C" w:rsidRDefault="00ED192D">
      <w:pPr>
        <w:spacing w:after="0" w:line="259" w:lineRule="auto"/>
        <w:ind w:left="0" w:firstLine="0"/>
      </w:pPr>
      <w:r>
        <w:rPr>
          <w:b/>
        </w:rPr>
        <w:t xml:space="preserve"> </w:t>
      </w:r>
      <w:r>
        <w:br w:type="page"/>
      </w:r>
    </w:p>
    <w:p w14:paraId="3725EB02" w14:textId="77777777" w:rsidR="000B3C5C" w:rsidRDefault="00ED192D">
      <w:pPr>
        <w:pStyle w:val="Heading1"/>
        <w:tabs>
          <w:tab w:val="center" w:pos="1636"/>
        </w:tabs>
        <w:ind w:left="-13" w:firstLine="0"/>
      </w:pPr>
      <w:r>
        <w:t xml:space="preserve">11 </w:t>
      </w:r>
      <w:r>
        <w:tab/>
        <w:t xml:space="preserve">REFERENCES  </w:t>
      </w:r>
    </w:p>
    <w:p w14:paraId="44B56D97" w14:textId="77777777" w:rsidR="000B3C5C" w:rsidRDefault="00ED192D">
      <w:pPr>
        <w:numPr>
          <w:ilvl w:val="0"/>
          <w:numId w:val="87"/>
        </w:numPr>
        <w:ind w:right="14" w:hanging="358"/>
      </w:pPr>
      <w:r>
        <w:t xml:space="preserve">Reinherz EL, Kung PC, Goldstein G, Levey RH, Schlossman SF. Discrete stages of human intrathymic differentiation: analysis of normal thymocytes and leukemic lymphoblasts of Tcell lineage. Proc Natl Acad Sci U S A. 1980;77(3):1588-92. </w:t>
      </w:r>
    </w:p>
    <w:p w14:paraId="7F3A06BA" w14:textId="77777777" w:rsidR="000B3C5C" w:rsidRDefault="00ED192D">
      <w:pPr>
        <w:numPr>
          <w:ilvl w:val="0"/>
          <w:numId w:val="87"/>
        </w:numPr>
        <w:ind w:right="14" w:hanging="358"/>
      </w:pPr>
      <w:r>
        <w:t xml:space="preserve">El-Khoueiry AB, Sangro B, Yau T, Crocenzi TS, Kudo M, Hsu C et al. Nivolumab in patients with advanced hepatocellular carcinoma (CheckMate 040): an open-label, non-comparative, phase 1/2 dose escalation and expansion trial Lancet, 389 (2017), pp. 2492-502. </w:t>
      </w:r>
    </w:p>
    <w:p w14:paraId="70211BB5" w14:textId="77777777" w:rsidR="000B3C5C" w:rsidRDefault="00ED192D">
      <w:pPr>
        <w:numPr>
          <w:ilvl w:val="0"/>
          <w:numId w:val="87"/>
        </w:numPr>
        <w:ind w:right="14" w:hanging="358"/>
      </w:pPr>
      <w:r>
        <w:t xml:space="preserve">Bruix J, Qin S, Merle P, Granito A, Huang YH, Bodoky G et al. Regorafenib for patients with hepatocellular carcinoma who progressed on sorafenib treatment (RESORCE): a randomised, double-blind, placebo-controlled, phase 3 trial. Lancet, 389 (2017), pp. 56-66. </w:t>
      </w:r>
    </w:p>
    <w:p w14:paraId="4130DE9F" w14:textId="77777777" w:rsidR="000B3C5C" w:rsidRDefault="00ED192D">
      <w:pPr>
        <w:numPr>
          <w:ilvl w:val="0"/>
          <w:numId w:val="87"/>
        </w:numPr>
        <w:ind w:right="14" w:hanging="358"/>
      </w:pPr>
      <w:r>
        <w:t xml:space="preserve">Wainberg Z, Segal NH, Jaeger D, Lee KH, Marshall J, et al. Safety and clinical activity of durvalumab monotherapy in patients with hepatocellular carcinoma (HCC). J. Clin. Oncol. 35(Suppl.), Abstract 4071 (2017). </w:t>
      </w:r>
    </w:p>
    <w:p w14:paraId="0AD95AF3" w14:textId="77777777" w:rsidR="000B3C5C" w:rsidRDefault="00ED192D">
      <w:pPr>
        <w:numPr>
          <w:ilvl w:val="0"/>
          <w:numId w:val="87"/>
        </w:numPr>
        <w:ind w:right="14" w:hanging="358"/>
      </w:pPr>
      <w:r>
        <w:t xml:space="preserve">Pignon JP, le Maître A, Maillard E, Bourhis J. Meta-analysis of chemotherapy in head and neck cancer (MACH-NC): an update on 93 randomised trials and 17,346 patients. Radiother Oncol. 2009;92(1):4-14. </w:t>
      </w:r>
    </w:p>
    <w:p w14:paraId="4F82BFF1" w14:textId="77777777" w:rsidR="000B3C5C" w:rsidRDefault="00ED192D">
      <w:pPr>
        <w:numPr>
          <w:ilvl w:val="0"/>
          <w:numId w:val="87"/>
        </w:numPr>
        <w:spacing w:after="11"/>
        <w:ind w:right="14" w:hanging="358"/>
      </w:pPr>
      <w:r>
        <w:t xml:space="preserve">Bernier J, Domenge C, Ozsahin M, Matuszewska K, Lefèbvre JL, Greiner RH et al. </w:t>
      </w:r>
    </w:p>
    <w:p w14:paraId="660A6C12" w14:textId="77777777" w:rsidR="000B3C5C" w:rsidRDefault="00ED192D">
      <w:pPr>
        <w:ind w:left="368" w:right="14"/>
      </w:pPr>
      <w:r>
        <w:t xml:space="preserve">Postoperative irradiation with or without concomitant chemotherapy for locally advanced head and neck cancer. N Engl J Med 2004. 2004;350(19):1945-52. </w:t>
      </w:r>
    </w:p>
    <w:p w14:paraId="38E0E17B" w14:textId="77777777" w:rsidR="000B3C5C" w:rsidRDefault="00ED192D">
      <w:pPr>
        <w:numPr>
          <w:ilvl w:val="0"/>
          <w:numId w:val="87"/>
        </w:numPr>
        <w:ind w:right="14" w:hanging="358"/>
      </w:pPr>
      <w:r>
        <w:t>Crocenzi TS, El-</w:t>
      </w:r>
      <w:r>
        <w:t xml:space="preserve">Khoueiry AB, Yau T, Melero I, Sangro B, Kudo M, et al. Nivolumab (nivo) in sorafenib (sor)-naive and -experienced pts with advanced hepatocellular carcinoma (HCC): CheckMate 040 study. J Clin Oncol 35, 2017 (suppl; abstr 4013). </w:t>
      </w:r>
    </w:p>
    <w:p w14:paraId="2636F796" w14:textId="77777777" w:rsidR="000B3C5C" w:rsidRDefault="00ED192D">
      <w:pPr>
        <w:numPr>
          <w:ilvl w:val="0"/>
          <w:numId w:val="87"/>
        </w:numPr>
        <w:ind w:right="14" w:hanging="358"/>
      </w:pPr>
      <w:r>
        <w:t xml:space="preserve">Saloura V, Cohen EE, Licitra L, Billan S, Dinis J, Lisby S et al. An open-label single-arm, phase II trial of zalutumumab, a human monoclonal anti-EGFR antibody, in patients with platinumrefractory squamous cell carcinoma of the head and neck. Cancer Chemother Pharmacol. 2014;73(6):1227-39. </w:t>
      </w:r>
    </w:p>
    <w:p w14:paraId="25C50F68" w14:textId="77777777" w:rsidR="000B3C5C" w:rsidRDefault="00ED192D">
      <w:pPr>
        <w:numPr>
          <w:ilvl w:val="0"/>
          <w:numId w:val="87"/>
        </w:numPr>
        <w:ind w:right="14" w:hanging="358"/>
      </w:pPr>
      <w:r>
        <w:t xml:space="preserve">Argiris A, Harrington KJ, Tahara M, Schulten J, Chomette P, Ferreira Castro A et al. Evidence-based treatment options in recurrent and/or metastatic squamous cell carcinoma of the head and neck. Front Oncol. 2017;7:72. </w:t>
      </w:r>
    </w:p>
    <w:p w14:paraId="13ECE16D" w14:textId="77777777" w:rsidR="000B3C5C" w:rsidRDefault="00ED192D">
      <w:pPr>
        <w:numPr>
          <w:ilvl w:val="0"/>
          <w:numId w:val="87"/>
        </w:numPr>
        <w:ind w:right="14" w:hanging="358"/>
      </w:pPr>
      <w:r>
        <w:t xml:space="preserve">NCI-CTC Version 3.0 reference, accessible through the NCI website at http://ctep.info.nih.gov/reporting/ctc.html </w:t>
      </w:r>
    </w:p>
    <w:p w14:paraId="0190C182" w14:textId="77777777" w:rsidR="000B3C5C" w:rsidRDefault="00ED192D">
      <w:pPr>
        <w:numPr>
          <w:ilvl w:val="0"/>
          <w:numId w:val="87"/>
        </w:numPr>
        <w:ind w:right="14" w:hanging="358"/>
      </w:pPr>
      <w:r>
        <w:t xml:space="preserve">Ferris RL, Blumenschein G Jr, Fayette J, Guigay J, Colevas AD, Licitra L, et al. Nivolumab for Recurrent Squamous-Cell Carcinoma of the Head and Neck. N Engl J Med. 2016;375(19):1856-67. </w:t>
      </w:r>
    </w:p>
    <w:p w14:paraId="295C4077" w14:textId="77777777" w:rsidR="000B3C5C" w:rsidRDefault="00ED192D">
      <w:pPr>
        <w:numPr>
          <w:ilvl w:val="0"/>
          <w:numId w:val="87"/>
        </w:numPr>
        <w:spacing w:after="259"/>
        <w:ind w:right="14" w:hanging="358"/>
      </w:pPr>
      <w:r>
        <w:t xml:space="preserve">Monnerat C, Faivre S, Temam S, Bourhis J, Raymond E. End points for new agents in induction chemotherapy for locally advanced head and neck cancers. Ann Oncol, 13 (2002), pp. 995-1006. </w:t>
      </w:r>
    </w:p>
    <w:p w14:paraId="5321DD76" w14:textId="77777777" w:rsidR="000B3C5C" w:rsidRDefault="00ED192D">
      <w:pPr>
        <w:numPr>
          <w:ilvl w:val="0"/>
          <w:numId w:val="87"/>
        </w:numPr>
        <w:ind w:right="14" w:hanging="358"/>
      </w:pPr>
      <w:r>
        <w:t xml:space="preserve">Giannini EG, Farinati F, Ciccarese F, Pecorelli A, Rapaccini GL, Di Marco M et al. Prognosis of untreated hepatocellular carcinoma.  Hepatology. 2015;61(1):184-90. </w:t>
      </w:r>
    </w:p>
    <w:p w14:paraId="5539E11A" w14:textId="77777777" w:rsidR="000B3C5C" w:rsidRDefault="00ED192D">
      <w:pPr>
        <w:numPr>
          <w:ilvl w:val="0"/>
          <w:numId w:val="87"/>
        </w:numPr>
        <w:ind w:right="14" w:hanging="358"/>
      </w:pPr>
      <w:r>
        <w:t xml:space="preserve">Bishayee A. The role of inflammation and liver cancer. Adv Exp Med Biol. 2014;816:401-35. </w:t>
      </w:r>
    </w:p>
    <w:p w14:paraId="287D93E3" w14:textId="77777777" w:rsidR="000B3C5C" w:rsidRDefault="00ED192D">
      <w:pPr>
        <w:numPr>
          <w:ilvl w:val="0"/>
          <w:numId w:val="87"/>
        </w:numPr>
        <w:ind w:right="14" w:hanging="358"/>
      </w:pPr>
      <w:r>
        <w:t xml:space="preserve">Zenda S, Onozawa Y, Boku N, Iida Y, Ebihara M, Onitsuka T. Single-agent docetaxel in patients with platinum-refractory metastatic or recurrent squamous cell carcinoma of the head and neck (SCCHN). Jpn J Clin Oncol. 2007;37(7):477-81. </w:t>
      </w:r>
    </w:p>
    <w:p w14:paraId="749F4573" w14:textId="77777777" w:rsidR="000B3C5C" w:rsidRDefault="00ED192D">
      <w:pPr>
        <w:numPr>
          <w:ilvl w:val="0"/>
          <w:numId w:val="87"/>
        </w:numPr>
        <w:ind w:right="14" w:hanging="358"/>
      </w:pPr>
      <w:r>
        <w:t xml:space="preserve">Vermorken JB, Mesia R, Rivera F, Remenar E, Kawecki A, Rottey S, et al. Platinum-based chemotherapy plus cetuximab in head and neck cancer. N Engl J Med. 2008;359(11):1116–27. </w:t>
      </w:r>
    </w:p>
    <w:p w14:paraId="1D3852C0" w14:textId="77777777" w:rsidR="000B3C5C" w:rsidRDefault="00ED192D">
      <w:pPr>
        <w:numPr>
          <w:ilvl w:val="0"/>
          <w:numId w:val="87"/>
        </w:numPr>
        <w:ind w:right="14" w:hanging="358"/>
      </w:pPr>
      <w:r>
        <w:t xml:space="preserve">Vermorken JB, Trigo J, Hitt R, Koralewski P, Diaz-Rubio E, Rolland F, et al. Open-label, uncontrolled, multicenter phase II study to evaluate the efficacy and toxicity of cetuximab as a single agent in patients with recurrent and/or metastatic squamous cell carcinoma of the head and neck who failed to respond to platinum-based therapy. J Clin Oncol. 2007;25(16):2171– 77. </w:t>
      </w:r>
    </w:p>
    <w:p w14:paraId="14CB60E6" w14:textId="77777777" w:rsidR="000B3C5C" w:rsidRDefault="00ED192D">
      <w:pPr>
        <w:numPr>
          <w:ilvl w:val="0"/>
          <w:numId w:val="87"/>
        </w:numPr>
        <w:ind w:right="14" w:hanging="358"/>
      </w:pPr>
      <w:r>
        <w:t xml:space="preserve">Chow LQ, Haddad R, Gupta S, Mahipal A, Mehra R, Tahara M et al. Antitumor activity of pembrolizumab in biomarker-unselected patients with recurrent and/or metastatic head and neck squamous cell carcinoma: results from the phase Ib KEYNOTE-012 expansion cohort. J Clin Oncol. 2016. </w:t>
      </w:r>
    </w:p>
    <w:p w14:paraId="59512687" w14:textId="77777777" w:rsidR="000B3C5C" w:rsidRDefault="00ED192D">
      <w:pPr>
        <w:numPr>
          <w:ilvl w:val="0"/>
          <w:numId w:val="87"/>
        </w:numPr>
        <w:ind w:right="14" w:hanging="358"/>
      </w:pPr>
      <w:r>
        <w:t xml:space="preserve">Seiwert TY, Burtness B, Mehra R, Weiss J, Berger R, Eder JP et al. Safety and clinical activity of pembrolizumab for treatment of recurrent or metastatic squamous cell carcinoma of the head and neck (KEYNOTE-012): an open-label, multicentre, phase 1b trial. Lancet Oncol. 2016;17(7):956–65. </w:t>
      </w:r>
    </w:p>
    <w:p w14:paraId="193FF41E" w14:textId="77777777" w:rsidR="000B3C5C" w:rsidRDefault="00ED192D">
      <w:pPr>
        <w:numPr>
          <w:ilvl w:val="0"/>
          <w:numId w:val="87"/>
        </w:numPr>
        <w:ind w:right="14" w:hanging="358"/>
      </w:pPr>
      <w:r>
        <w:t xml:space="preserve">Bauml J, Seiwert TY, Pfister DG, Worden F, Liu SV, Gilbert J et al: Pembrolizumab for platinum- and cetuximab-refractory head and neck cancer: Results from a single-arm, phase II study. J Clin Oncol. 2017;35(14):1542-9. </w:t>
      </w:r>
    </w:p>
    <w:p w14:paraId="4584EC07" w14:textId="77777777" w:rsidR="000B3C5C" w:rsidRDefault="00ED192D">
      <w:pPr>
        <w:numPr>
          <w:ilvl w:val="0"/>
          <w:numId w:val="87"/>
        </w:numPr>
        <w:ind w:right="14" w:hanging="358"/>
      </w:pPr>
      <w:r>
        <w:t xml:space="preserve">Hygino da Cruz LC, Rodriguez I, Domingues RC, Gaspareto EL, Sorensen AG. Pseudoprogression and pseudoresponse: imaging challenges in the assessment of posttreatment glioma. AJNR. </w:t>
      </w:r>
    </w:p>
    <w:p w14:paraId="175FAD2D" w14:textId="77777777" w:rsidR="000B3C5C" w:rsidRDefault="00ED192D">
      <w:pPr>
        <w:numPr>
          <w:ilvl w:val="0"/>
          <w:numId w:val="87"/>
        </w:numPr>
        <w:ind w:right="14" w:hanging="358"/>
      </w:pPr>
      <w:r>
        <w:t xml:space="preserve">Berghoff AS, Kiesel B, Widhalm G, Rajky O, Ricken G, Wohrer A, et al. Programmed death ligand 1 expression and tumor-infiltrating lymphocytes in glioblastoma Neuro-oncol., 17 (2014), pp. 1064-75. </w:t>
      </w:r>
    </w:p>
    <w:p w14:paraId="4C8348A6" w14:textId="77777777" w:rsidR="000B3C5C" w:rsidRDefault="00ED192D">
      <w:pPr>
        <w:numPr>
          <w:ilvl w:val="0"/>
          <w:numId w:val="87"/>
        </w:numPr>
        <w:ind w:right="14" w:hanging="358"/>
      </w:pPr>
      <w:r>
        <w:t xml:space="preserve">Vlahovic G, Fecci PE, Reardon D, Sampson JH. Programmed death ligand 1 (PD-L1) as an immunotherapy target in patients with glioblastoma. Neuro Oncol. 2015;17(8):1043-5. </w:t>
      </w:r>
    </w:p>
    <w:p w14:paraId="6386F613" w14:textId="77777777" w:rsidR="000B3C5C" w:rsidRDefault="00ED192D">
      <w:pPr>
        <w:numPr>
          <w:ilvl w:val="0"/>
          <w:numId w:val="87"/>
        </w:numPr>
        <w:spacing w:after="11"/>
        <w:ind w:right="14" w:hanging="358"/>
      </w:pPr>
      <w:r>
        <w:t xml:space="preserve">Schneider SW, Ludwig T, Tatenhorst L, Braune S, Oberleithner H, Senner V, et al. </w:t>
      </w:r>
    </w:p>
    <w:p w14:paraId="4B9B14B6" w14:textId="77777777" w:rsidR="000B3C5C" w:rsidRDefault="00ED192D">
      <w:pPr>
        <w:spacing w:after="259"/>
        <w:ind w:left="368" w:right="14"/>
      </w:pPr>
      <w:r>
        <w:t xml:space="preserve">Glioblastoma cells release factors that disrupt blood-brain barrier features. Acta Neuropathol. 2004;107(3):272-6. </w:t>
      </w:r>
    </w:p>
    <w:p w14:paraId="177673D8" w14:textId="77777777" w:rsidR="000B3C5C" w:rsidRDefault="00ED192D">
      <w:pPr>
        <w:numPr>
          <w:ilvl w:val="0"/>
          <w:numId w:val="87"/>
        </w:numPr>
        <w:ind w:right="14" w:hanging="358"/>
      </w:pPr>
      <w:r>
        <w:t xml:space="preserve">Kreisl TN, Kim L, Moore K, Duic P, Royce C, Stroud I et al. Phase II trial of single-agent bevacizumab followed by bevacizumab plus irinotecan at tumor progression in recurrent glioblastoma. J Clin Oncol. 2009;27:740–5. </w:t>
      </w:r>
    </w:p>
    <w:p w14:paraId="3646E442" w14:textId="77777777" w:rsidR="000B3C5C" w:rsidRDefault="00ED192D">
      <w:pPr>
        <w:numPr>
          <w:ilvl w:val="0"/>
          <w:numId w:val="87"/>
        </w:numPr>
        <w:ind w:right="14" w:hanging="358"/>
      </w:pPr>
      <w:r>
        <w:t xml:space="preserve">Friedman HS, Prados MD, Wen PY, Mikkelsen T, Schiff D, Abrey LE et al. Bevacizumab alone and in combination with irinotecan in recurrent glioblastoma. J Clin Oncol. 2009; 27:4733-40. </w:t>
      </w:r>
    </w:p>
    <w:p w14:paraId="58AF9A0E" w14:textId="77777777" w:rsidR="000B3C5C" w:rsidRDefault="00ED192D">
      <w:pPr>
        <w:numPr>
          <w:ilvl w:val="0"/>
          <w:numId w:val="87"/>
        </w:numPr>
        <w:ind w:right="14" w:hanging="358"/>
      </w:pPr>
      <w:r>
        <w:t xml:space="preserve">Horenstein AL, Chillemi A, Zaccarello G, Bruzzone S, Quarona V, Zito A. A CD38/CD203a/CD73 ectoenzymatic pathway independent of CD39 drives a novel adenosinergic loop in human T lymphocytes. Oncoimmunology. 2013;1;2(9):e26246. </w:t>
      </w:r>
    </w:p>
    <w:p w14:paraId="63B6025F" w14:textId="77777777" w:rsidR="000B3C5C" w:rsidRDefault="00ED192D">
      <w:pPr>
        <w:numPr>
          <w:ilvl w:val="0"/>
          <w:numId w:val="87"/>
        </w:numPr>
        <w:ind w:right="14" w:hanging="358"/>
      </w:pPr>
      <w:r>
        <w:t xml:space="preserve">Reinherz EL, Kung PC, Goldstein G, Levey RH, Schlossman SF. Discrete stages of human intrathymic differentiation: analysis of normal thymocytes and leukemic lymphoblasts of T- cell lineage. Proc Natl Acad Sci U S A. 1980;77(3):1588-92. </w:t>
      </w:r>
    </w:p>
    <w:p w14:paraId="5885D6F1" w14:textId="77777777" w:rsidR="000B3C5C" w:rsidRDefault="00ED192D">
      <w:pPr>
        <w:numPr>
          <w:ilvl w:val="0"/>
          <w:numId w:val="87"/>
        </w:numPr>
        <w:ind w:right="14" w:hanging="358"/>
      </w:pPr>
      <w:r>
        <w:t xml:space="preserve">Waghray A, Murali AR, Menon KN. Hepatocellular carcinoma: From diagnosis to treatment. World J Hepatol. 2015;7(8):1020-9 </w:t>
      </w:r>
    </w:p>
    <w:p w14:paraId="2193D2FD" w14:textId="77777777" w:rsidR="000B3C5C" w:rsidRDefault="00ED192D">
      <w:pPr>
        <w:numPr>
          <w:ilvl w:val="0"/>
          <w:numId w:val="87"/>
        </w:numPr>
        <w:ind w:right="14" w:hanging="358"/>
      </w:pPr>
      <w:r>
        <w:t xml:space="preserve">Reardon DA, Omuro A, Brandes A, Rieger J, Wick A, Sepulveda J et al. Randomized Phase 3 Study Evaluating the Efficacy and Safety of Nivolumab vs Bevacizumab in Patients With Recurrent Glioblastoma: CheckMate 143. Neuro-Oncology. 2017, Vol 19:Pages iii21. </w:t>
      </w:r>
    </w:p>
    <w:p w14:paraId="3F11FBEB" w14:textId="77777777" w:rsidR="000B3C5C" w:rsidRDefault="00ED192D">
      <w:pPr>
        <w:numPr>
          <w:ilvl w:val="0"/>
          <w:numId w:val="87"/>
        </w:numPr>
        <w:ind w:right="14" w:hanging="358"/>
      </w:pPr>
      <w:r>
        <w:t xml:space="preserve">Ott PA, Hodi FS, Robert C. CTLA-4 and PD-1/PD-L1 blockade: new immunotherapeutic modalities with durable clinical benefit in melanoma patients. Clin Cancer Res. 2013;19(19):5300-9. </w:t>
      </w:r>
    </w:p>
    <w:p w14:paraId="2FFA2F34" w14:textId="77777777" w:rsidR="000B3C5C" w:rsidRDefault="00ED192D">
      <w:pPr>
        <w:numPr>
          <w:ilvl w:val="0"/>
          <w:numId w:val="87"/>
        </w:numPr>
        <w:ind w:right="14" w:hanging="358"/>
      </w:pPr>
      <w:r>
        <w:t xml:space="preserve">Luvero D, Milani A, Ledermann JA. Treatment options in recurrent ovarian cancer: latest evidence and clinical potential. Ther Adv Med Oncol. 2014;6:229-39. </w:t>
      </w:r>
    </w:p>
    <w:p w14:paraId="2BF1A6A6" w14:textId="77777777" w:rsidR="000B3C5C" w:rsidRDefault="00ED192D">
      <w:pPr>
        <w:numPr>
          <w:ilvl w:val="0"/>
          <w:numId w:val="87"/>
        </w:numPr>
        <w:ind w:right="14" w:hanging="358"/>
      </w:pPr>
      <w:r>
        <w:t xml:space="preserve">Global Burden of Disease Liver Cancer Collaboration. The burden of primary liver cancer and underlying etiologies from 1990 to 2015 at the global, regional, and national level. JAMA Oncology. 5 Oct 2017. doi:10.1001/jamaoncol.2017.3055. </w:t>
      </w:r>
    </w:p>
    <w:p w14:paraId="7092F017" w14:textId="77777777" w:rsidR="000B3C5C" w:rsidRDefault="00ED192D">
      <w:pPr>
        <w:numPr>
          <w:ilvl w:val="0"/>
          <w:numId w:val="87"/>
        </w:numPr>
        <w:ind w:right="14" w:hanging="358"/>
      </w:pPr>
      <w:r>
        <w:t xml:space="preserve">Llovet JM, Ricci S, Mazzaferro V, Hilgard P, Gane E, Blanc JF, et al. Sorafenib in advanced hepatocellular carcinoma. N Engl J Med. 2008; 359(4):378-90. </w:t>
      </w:r>
    </w:p>
    <w:p w14:paraId="50118EA0" w14:textId="77777777" w:rsidR="000B3C5C" w:rsidRDefault="00ED192D">
      <w:pPr>
        <w:numPr>
          <w:ilvl w:val="0"/>
          <w:numId w:val="87"/>
        </w:numPr>
        <w:ind w:right="14" w:hanging="358"/>
      </w:pPr>
      <w:r>
        <w:t xml:space="preserve">Cheng AL, Kang YK, Chen Z, Tsao CJ, Qin S, Kim JS, et al. Efficacy and safety of sorafenib in patients in the Asia-Pacific region with advanced hepatocellular carcinoma: a phase III randomised, double-blind, placebo-controlled trial. The Lancet Oncology. 2009;10(1):25–34. </w:t>
      </w:r>
    </w:p>
    <w:p w14:paraId="4C997C19" w14:textId="77777777" w:rsidR="000B3C5C" w:rsidRDefault="00ED192D">
      <w:pPr>
        <w:numPr>
          <w:ilvl w:val="0"/>
          <w:numId w:val="87"/>
        </w:numPr>
        <w:ind w:right="14" w:hanging="358"/>
      </w:pPr>
      <w:r>
        <w:t xml:space="preserve">Cheng AL, Finn RS, Qin S, Han KH, Ikeda K, Piscagliaet F et al. Phase III trial of lenvatinib (LEN) vs sorafenib (SOR) in first-line treatment of patients (pts) with unresectable hepatocellular carcinoma (uHCC) (abstract). J Clin Oncol 35, 2017 (suppl; abstr 4001). </w:t>
      </w:r>
    </w:p>
    <w:p w14:paraId="373A9B1B" w14:textId="77777777" w:rsidR="000B3C5C" w:rsidRDefault="00ED192D">
      <w:pPr>
        <w:numPr>
          <w:ilvl w:val="0"/>
          <w:numId w:val="87"/>
        </w:numPr>
        <w:spacing w:after="259"/>
        <w:ind w:right="14" w:hanging="358"/>
      </w:pPr>
      <w:r>
        <w:t xml:space="preserve">Owusu Sekyere S, Suneetha PV, Kraft AR, Zhang S, Dietz J, Sarrazin C et al. A heterogeneous hierarchy of co-regulatory receptors regulates exhaustion of HCV-specific CD8 T cells in patients with chronic hepatitis C. J Hepatol. 2015;62:31-4. </w:t>
      </w:r>
    </w:p>
    <w:p w14:paraId="5E5D3459" w14:textId="77777777" w:rsidR="000B3C5C" w:rsidRDefault="00ED192D">
      <w:pPr>
        <w:numPr>
          <w:ilvl w:val="0"/>
          <w:numId w:val="87"/>
        </w:numPr>
        <w:ind w:right="14" w:hanging="358"/>
      </w:pPr>
      <w:r>
        <w:t xml:space="preserve">Bahleda R, Braiteh FS, Balmanoukian AS, Braña I, Hodi FS, Garbo L, et al. Long-Term Safety and Clinical Outcomes of Atezolizumab in Head and Neck Cancer: Phase Ia Trial Results. Annals of Oncology (2017) 28 (suppl_5): 372-94. </w:t>
      </w:r>
    </w:p>
    <w:p w14:paraId="38AE167F" w14:textId="77777777" w:rsidR="000B3C5C" w:rsidRDefault="00ED192D">
      <w:pPr>
        <w:numPr>
          <w:ilvl w:val="0"/>
          <w:numId w:val="87"/>
        </w:numPr>
        <w:ind w:right="14" w:hanging="358"/>
      </w:pPr>
      <w:r>
        <w:t xml:space="preserve">McCluggage WG. Morphological subtypes of ovarian carcinoma: a review with emphasis on new developments and pathogenesis. Pathology 2011; 43: 420–432. </w:t>
      </w:r>
    </w:p>
    <w:p w14:paraId="09A1C9A7" w14:textId="77777777" w:rsidR="000B3C5C" w:rsidRDefault="00ED192D">
      <w:pPr>
        <w:numPr>
          <w:ilvl w:val="0"/>
          <w:numId w:val="87"/>
        </w:numPr>
        <w:ind w:right="14" w:hanging="358"/>
      </w:pPr>
      <w:r>
        <w:t xml:space="preserve">Ovarian Cancer, Version 3. 2017, NCCN Clinical Practice Guidelines in Oncology. </w:t>
      </w:r>
    </w:p>
    <w:p w14:paraId="1EC1B209" w14:textId="77777777" w:rsidR="000B3C5C" w:rsidRDefault="00ED192D">
      <w:pPr>
        <w:numPr>
          <w:ilvl w:val="0"/>
          <w:numId w:val="87"/>
        </w:numPr>
        <w:ind w:right="14" w:hanging="358"/>
      </w:pPr>
      <w:r>
        <w:t xml:space="preserve">Neff RT, Senter L, Salani R. BRCA mutation in ovarian cancer: testing, implications and treatment considerations. Ther Adv Med Oncol. 2017;9(8):519-31. </w:t>
      </w:r>
    </w:p>
    <w:p w14:paraId="07D7B6C0" w14:textId="77777777" w:rsidR="000B3C5C" w:rsidRDefault="00ED192D">
      <w:pPr>
        <w:numPr>
          <w:ilvl w:val="0"/>
          <w:numId w:val="87"/>
        </w:numPr>
        <w:ind w:right="14" w:hanging="358"/>
      </w:pPr>
      <w:r>
        <w:t xml:space="preserve">Pujade-Lauraine E, Ledermann JA, Selle F, Gebski V, Penson RT, Oza AM, et al. Olaparib tablets as maintenance therapy in patients with platinum-sensitive, relapsed ovarian cancer and a BRCA1/2 mutation (SOLO2/ENGOT-Ov21): a double-blind, randomised, placebocontrolled, phase 3 trial. Lancet Oncol. 2017 Sep;18(9):1274-84. </w:t>
      </w:r>
    </w:p>
    <w:p w14:paraId="798A8F0E" w14:textId="77777777" w:rsidR="000B3C5C" w:rsidRDefault="00ED192D">
      <w:pPr>
        <w:numPr>
          <w:ilvl w:val="0"/>
          <w:numId w:val="87"/>
        </w:numPr>
        <w:ind w:right="14" w:hanging="358"/>
      </w:pPr>
      <w:r>
        <w:t xml:space="preserve">Pujade-Lauraine E, Hilpert F, Weber B, Reuss A, Poveda A, Kristensen G et al. Bevacizumab combined with chemotherapy for platinum-resistant recurrent ovarian cancer: the AURELIA open-label randomized phase III trial. J Clin Oncol. 2014;32(13):1302–8. </w:t>
      </w:r>
    </w:p>
    <w:p w14:paraId="539F0BD6" w14:textId="77777777" w:rsidR="000B3C5C" w:rsidRDefault="00ED192D">
      <w:pPr>
        <w:numPr>
          <w:ilvl w:val="0"/>
          <w:numId w:val="87"/>
        </w:numPr>
        <w:ind w:right="14" w:hanging="358"/>
      </w:pPr>
      <w:r>
        <w:t xml:space="preserve">Heong V, Ngoi N, Tan DS. Update on immune checkpoint inhibitors in gynecological cancers. J Gynecol Oncol. 2017;28(2):e20. </w:t>
      </w:r>
    </w:p>
    <w:p w14:paraId="17960569" w14:textId="77777777" w:rsidR="000B3C5C" w:rsidRDefault="00ED192D">
      <w:pPr>
        <w:numPr>
          <w:ilvl w:val="0"/>
          <w:numId w:val="87"/>
        </w:numPr>
        <w:ind w:right="14" w:hanging="358"/>
      </w:pPr>
      <w:r>
        <w:t xml:space="preserve">Gaillard SL, Secord AA, Monk B. The role of immune checkpoint inhibition in the treatment of ovarian cancer. Gynecologic Oncology Research and Practice. 2016;3(11):eCollection. </w:t>
      </w:r>
    </w:p>
    <w:p w14:paraId="715A3980" w14:textId="77777777" w:rsidR="000B3C5C" w:rsidRDefault="00ED192D">
      <w:pPr>
        <w:numPr>
          <w:ilvl w:val="0"/>
          <w:numId w:val="87"/>
        </w:numPr>
        <w:ind w:right="14" w:hanging="358"/>
      </w:pPr>
      <w:r>
        <w:t xml:space="preserve">Disis ML, Patel MR, Pant S, Hamilton EP, Lockhart AC, Kelly K et al. Avelumab (MSB0010718C; anti-PD-L1) in patients with recurrent/refractory ovarian cancer from the JAVELIN Solid Tumor phase Ib trial: safety and clinical activity. Journal of Clinical Oncol. 2016:34, no. 15_suppl;5533-5533. </w:t>
      </w:r>
    </w:p>
    <w:p w14:paraId="2D5CD1B9" w14:textId="77777777" w:rsidR="000B3C5C" w:rsidRDefault="00ED192D">
      <w:pPr>
        <w:numPr>
          <w:ilvl w:val="0"/>
          <w:numId w:val="87"/>
        </w:numPr>
        <w:ind w:right="14" w:hanging="358"/>
      </w:pPr>
      <w:r>
        <w:t xml:space="preserve">Hamanishi J, Mandai M, Ikeda T, Minami M, Kawaguchi A, Murayama T et al. Safety and antitumor activity of anti-PD-1 antibody, nivolumab, in patients with platinum-resistant ovarian cancer. J Clin Oncol. 2015;33:4015-22. </w:t>
      </w:r>
    </w:p>
    <w:p w14:paraId="5CE6612D" w14:textId="77777777" w:rsidR="000B3C5C" w:rsidRDefault="00ED192D">
      <w:pPr>
        <w:numPr>
          <w:ilvl w:val="0"/>
          <w:numId w:val="87"/>
        </w:numPr>
        <w:ind w:right="14" w:hanging="358"/>
      </w:pPr>
      <w:r>
        <w:t xml:space="preserve">Varga A, Piha-Paul SA, Ott PA, Mehnert JM, Berton-Rigaud D, Morosky A. Pembrolizumab in patients (pts) with PD-L1–positive (PD-L1+) advanced ovarian cancer: Updated analysis of KEYNOTE-028. Journal of Clinical Oncology. 2017;35:(no15)suppl:5513. </w:t>
      </w:r>
    </w:p>
    <w:p w14:paraId="0D2AD351" w14:textId="77777777" w:rsidR="000B3C5C" w:rsidRDefault="00ED192D">
      <w:pPr>
        <w:numPr>
          <w:ilvl w:val="0"/>
          <w:numId w:val="87"/>
        </w:numPr>
        <w:ind w:right="14" w:hanging="358"/>
      </w:pPr>
      <w:r>
        <w:t xml:space="preserve">Pujade-Lauraine E, Colombo N, Disis ML, Fujiwara K, Ledermann JA. Avelumab (MSB0010718C; anti-PD-L1) +/− pegylated liposomal doxorubicin vs pegylated liposomal doxorubicin alone in patients with platinum-resistant/refractory ovarian cancer: the phase III JAVELIN Ovarian 200 trial. J Clin Oncol. 2016;34(suppl; abstr TPS5600). </w:t>
      </w:r>
    </w:p>
    <w:p w14:paraId="3EF98758" w14:textId="77777777" w:rsidR="000B3C5C" w:rsidRDefault="00ED192D">
      <w:pPr>
        <w:numPr>
          <w:ilvl w:val="0"/>
          <w:numId w:val="87"/>
        </w:numPr>
        <w:ind w:right="14" w:hanging="358"/>
      </w:pPr>
      <w:r>
        <w:t xml:space="preserve">Alexander BM, Cloughesy TF. Adult glioblastoma. J Clin Oncol. 2017;35(21):2402-9. </w:t>
      </w:r>
    </w:p>
    <w:p w14:paraId="05CA084C" w14:textId="77777777" w:rsidR="000B3C5C" w:rsidRDefault="00ED192D">
      <w:pPr>
        <w:numPr>
          <w:ilvl w:val="0"/>
          <w:numId w:val="87"/>
        </w:numPr>
        <w:ind w:right="14" w:hanging="358"/>
      </w:pPr>
      <w:r>
        <w:t xml:space="preserve">Stupp R, Mason WP, Van den Bent MJ, Weller M, Fisher B, Taphoorn MJ et al. Radiotherapy plus concomitant and adjuvant temozolomide for glioblastoma. N Engl J Med. 2005;352(10):987-96. </w:t>
      </w:r>
    </w:p>
    <w:p w14:paraId="32AD1078" w14:textId="77777777" w:rsidR="000B3C5C" w:rsidRDefault="00ED192D">
      <w:pPr>
        <w:numPr>
          <w:ilvl w:val="0"/>
          <w:numId w:val="87"/>
        </w:numPr>
        <w:ind w:right="14" w:hanging="358"/>
      </w:pPr>
      <w:r>
        <w:t xml:space="preserve">Stupp R, Hegi ME, Mason WP, Van den Bent MJ, Taphoorn MJ, Janzer RC et al. Effects of radiotherapy with concomitant and adjuvant temozolomide versus radiotherapy alone on survival in glioblastoma in a randomised phase III study: 5-year analysis of the EORTC-NCIC trial. Lancet Oncol. 2009;10(5):459–66. </w:t>
      </w:r>
    </w:p>
    <w:p w14:paraId="345DA2A9" w14:textId="77777777" w:rsidR="000B3C5C" w:rsidRDefault="00ED192D">
      <w:pPr>
        <w:numPr>
          <w:ilvl w:val="0"/>
          <w:numId w:val="87"/>
        </w:numPr>
        <w:ind w:right="14" w:hanging="358"/>
      </w:pPr>
      <w:r>
        <w:t xml:space="preserve">Wick W, Puduvalli VK, Chamberlain MC, Van den Bent MJ, Carpentier AF, Cher LM et al. Phase III study of enzastaurin compared with lomustine in the treatment of recurrent intracranial glioblastoma. J Clin Oncol. 2010;28(7):1168–74. </w:t>
      </w:r>
    </w:p>
    <w:p w14:paraId="073609C9" w14:textId="77777777" w:rsidR="000B3C5C" w:rsidRDefault="00ED192D">
      <w:pPr>
        <w:numPr>
          <w:ilvl w:val="0"/>
          <w:numId w:val="87"/>
        </w:numPr>
        <w:ind w:right="14" w:hanging="358"/>
      </w:pPr>
      <w:r>
        <w:t xml:space="preserve">Batchelor TT, Mulholland P, Neyns B, Nabors LB, Campone M, Wick A et al. Phase III randomized trial comparing the effi cacy of cediranib as monotherapy, and in combination with lomustine, versus lomustine alone in patients with recurrent glioblastoma. J Clin Oncol. 2013;31(26): 3212–8. </w:t>
      </w:r>
    </w:p>
    <w:p w14:paraId="3F221612" w14:textId="77777777" w:rsidR="000B3C5C" w:rsidRDefault="00ED192D">
      <w:pPr>
        <w:numPr>
          <w:ilvl w:val="0"/>
          <w:numId w:val="87"/>
        </w:numPr>
        <w:ind w:right="14" w:hanging="358"/>
      </w:pPr>
      <w:r>
        <w:t xml:space="preserve">Lombardi G, De Salvo GL, Brandes AA, Eoli M, Rudà R, Faedi M, et al. REGOMA: a randomized, multicenter, controlled open-label Phase II clinical trial evaluating regorafenib activity in relapsed glioblastoma patients.  Annals of Oncology (2017) 28 (suppl_5): 605-49. </w:t>
      </w:r>
    </w:p>
    <w:p w14:paraId="19B59745" w14:textId="77777777" w:rsidR="000B3C5C" w:rsidRDefault="00ED192D">
      <w:pPr>
        <w:numPr>
          <w:ilvl w:val="0"/>
          <w:numId w:val="87"/>
        </w:numPr>
        <w:ind w:right="14" w:hanging="358"/>
      </w:pPr>
      <w:r>
        <w:t xml:space="preserve">Reardon DA, Gokhale PC, Klein SR, Ligon KL, Rodig SJ, Ramkissoon SH et al. Glioblastoma eradication following immune checkpoint blockade in an orthotopic, immunocompetent model. Cancer Immunol Res. 2016;4(2):124-35. </w:t>
      </w:r>
    </w:p>
    <w:p w14:paraId="6678E6AA" w14:textId="77777777" w:rsidR="000B3C5C" w:rsidRDefault="00ED192D">
      <w:pPr>
        <w:numPr>
          <w:ilvl w:val="0"/>
          <w:numId w:val="87"/>
        </w:numPr>
        <w:ind w:right="14" w:hanging="358"/>
      </w:pPr>
      <w:r>
        <w:t xml:space="preserve">Fehrenbacher L, Spira A, Ballinger M, Kowanetz M, Vansteenkiste J, Mazieres J et al. Atezolizumab versus docetaxel for patients with previously treated non-small cell lung cancer (POPLAR): a multicentre, open-label, Phase 2 randomised controlled trial. Lancet. 2016;387(10030):1837-46. </w:t>
      </w:r>
    </w:p>
    <w:p w14:paraId="4735F53A" w14:textId="77777777" w:rsidR="000B3C5C" w:rsidRDefault="00ED192D">
      <w:pPr>
        <w:numPr>
          <w:ilvl w:val="0"/>
          <w:numId w:val="87"/>
        </w:numPr>
        <w:ind w:right="14" w:hanging="358"/>
      </w:pPr>
      <w:r>
        <w:t xml:space="preserve">Rosenberg J, Hoffman-Censits J, Powles T, Van der Heijden MS, Balar A, Necchi A et al. Atezolizumab in patients with locally advanced and metastatic urothelial carcinoma who have progressed following treatment with platinum-based chemotherapy: a single-arm, multicentre, Phase 2 trial. Lancet. 2016;387(10031):1909-20. </w:t>
      </w:r>
    </w:p>
    <w:p w14:paraId="7C0D9A5E" w14:textId="77777777" w:rsidR="000B3C5C" w:rsidRDefault="00ED192D">
      <w:pPr>
        <w:numPr>
          <w:ilvl w:val="0"/>
          <w:numId w:val="87"/>
        </w:numPr>
        <w:ind w:right="14" w:hanging="358"/>
      </w:pPr>
      <w:r>
        <w:t xml:space="preserve">Eisenhauer EA, Therasse P, Bogaerts J Schwartz LH, Sargent D, Ford R et al. New response evaluation criteria in solid tumours: Revised RECIST guideline (version 1.1). Eur J Cancer. 2009;45:228-47. </w:t>
      </w:r>
    </w:p>
    <w:p w14:paraId="30E8025C" w14:textId="77777777" w:rsidR="000B3C5C" w:rsidRDefault="00ED192D">
      <w:pPr>
        <w:numPr>
          <w:ilvl w:val="0"/>
          <w:numId w:val="87"/>
        </w:numPr>
        <w:ind w:right="14" w:hanging="358"/>
      </w:pPr>
      <w:r>
        <w:t xml:space="preserve">Llovet JM, Bru C, Bruix J. Prognosis of hepatocellular carcinoma: the BCLC staging classification. Semin Liver Dis 1999;19:329-38. </w:t>
      </w:r>
    </w:p>
    <w:p w14:paraId="4FAF40CA" w14:textId="77777777" w:rsidR="000B3C5C" w:rsidRDefault="00ED192D">
      <w:pPr>
        <w:numPr>
          <w:ilvl w:val="0"/>
          <w:numId w:val="87"/>
        </w:numPr>
        <w:ind w:right="14" w:hanging="358"/>
      </w:pPr>
      <w:r>
        <w:t xml:space="preserve">Developed by the Eastern Cooperative Oncology Group, Robert L. Comis, MD, Group Chair:Oken MM, Creech RH, Tormey DC, Horton J, Davis TE, McFadden ET, et al. Toxicity </w:t>
      </w:r>
    </w:p>
    <w:p w14:paraId="11555629" w14:textId="77777777" w:rsidR="000B3C5C" w:rsidRDefault="00ED192D">
      <w:pPr>
        <w:ind w:left="368" w:right="14"/>
      </w:pPr>
      <w:r>
        <w:t xml:space="preserve">and Response Criteria of the Eastern Cooperative Oncology Group. Am J Clin Oncol. 1982;5:649-655. </w:t>
      </w:r>
    </w:p>
    <w:p w14:paraId="11D70F08" w14:textId="77777777" w:rsidR="000B3C5C" w:rsidRDefault="00ED192D">
      <w:pPr>
        <w:numPr>
          <w:ilvl w:val="0"/>
          <w:numId w:val="87"/>
        </w:numPr>
        <w:ind w:right="14" w:hanging="358"/>
      </w:pPr>
      <w:r>
        <w:t xml:space="preserve">Karnofsky D, Burchenal J, The clinical evaluation of chemotherapeutic agents in cancer. In: MacLeod C, ed. Evaluation of Chemotherapeutic Agents. New York, NY: Columbia University Press; 1949:191–205. </w:t>
      </w:r>
    </w:p>
    <w:p w14:paraId="026858DD" w14:textId="77777777" w:rsidR="000B3C5C" w:rsidRDefault="00ED192D">
      <w:pPr>
        <w:numPr>
          <w:ilvl w:val="0"/>
          <w:numId w:val="87"/>
        </w:numPr>
        <w:ind w:right="14" w:hanging="358"/>
      </w:pPr>
      <w:r>
        <w:t>Wen PY, Macdonald DR, Reardon DA, Cloughesy TF, Sorensen AG, Galanis E et al. Updated Response Assessment Criteria for High-</w:t>
      </w:r>
      <w:r>
        <w:t xml:space="preserve">Grade Gliomas:  Response Assessment in NeuroOncology Group. J Clinc Oncol. 2010;28(11):1963-72. </w:t>
      </w:r>
    </w:p>
    <w:p w14:paraId="7825B72D" w14:textId="77777777" w:rsidR="000B3C5C" w:rsidRDefault="00ED192D">
      <w:pPr>
        <w:numPr>
          <w:ilvl w:val="0"/>
          <w:numId w:val="87"/>
        </w:numPr>
        <w:ind w:right="14" w:hanging="358"/>
      </w:pPr>
      <w:r>
        <w:t xml:space="preserve">Okada H, Weller M, Huang R, Finocchiaro G, Gilbert M, Wick W et al. Immunotherapy Response Assessment in Neuro-Oncology (iRANO):  a report of the RANO working group. Lancel Oncol. 2015;16(15):e534-42. </w:t>
      </w:r>
    </w:p>
    <w:p w14:paraId="59F12F96" w14:textId="77777777" w:rsidR="000B3C5C" w:rsidRDefault="00ED192D">
      <w:pPr>
        <w:numPr>
          <w:ilvl w:val="0"/>
          <w:numId w:val="87"/>
        </w:numPr>
        <w:ind w:right="14" w:hanging="358"/>
      </w:pPr>
      <w:r>
        <w:t xml:space="preserve">Henter JI, Horne A, Aricó M, Egeler RM, Filipovich AH, Imashuku S, et al. HLH-2004: Diagnostic and therapeutic guidelines for hemophagocytic lymphohistiocytosis. Pediatr Blood Cancer. 2007 Feb;48(2):124-31. </w:t>
      </w:r>
    </w:p>
    <w:p w14:paraId="14BB7007" w14:textId="77777777" w:rsidR="000B3C5C" w:rsidRDefault="00ED192D">
      <w:pPr>
        <w:numPr>
          <w:ilvl w:val="0"/>
          <w:numId w:val="87"/>
        </w:numPr>
        <w:spacing w:after="0"/>
        <w:ind w:right="14" w:hanging="358"/>
      </w:pPr>
      <w:r>
        <w:t xml:space="preserve">Hejblum G, Lambotte O, Galicier L, et al. A web-based Delphi study for eliciting helpful criteria in the positive diagnosis of hemophagocytic syndrome in adult patients. PLoS ONE. </w:t>
      </w:r>
    </w:p>
    <w:p w14:paraId="75C56A8C" w14:textId="77777777" w:rsidR="000B3C5C" w:rsidRDefault="00ED192D">
      <w:pPr>
        <w:ind w:left="368" w:right="14"/>
      </w:pPr>
      <w:r>
        <w:t xml:space="preserve">2014;9(4):e94024.  </w:t>
      </w:r>
    </w:p>
    <w:p w14:paraId="31956AEE" w14:textId="77777777" w:rsidR="000B3C5C" w:rsidRDefault="00ED192D">
      <w:pPr>
        <w:spacing w:after="216" w:line="259" w:lineRule="auto"/>
        <w:ind w:left="0" w:firstLine="0"/>
      </w:pPr>
      <w:r>
        <w:t xml:space="preserve">  </w:t>
      </w:r>
    </w:p>
    <w:p w14:paraId="4C33FFDB" w14:textId="77777777" w:rsidR="000B3C5C" w:rsidRDefault="00ED192D">
      <w:pPr>
        <w:spacing w:after="216" w:line="259" w:lineRule="auto"/>
        <w:ind w:left="0" w:firstLine="0"/>
      </w:pPr>
      <w:r>
        <w:t xml:space="preserve"> </w:t>
      </w:r>
    </w:p>
    <w:p w14:paraId="01EB54C5" w14:textId="77777777" w:rsidR="000B3C5C" w:rsidRDefault="00ED192D">
      <w:pPr>
        <w:spacing w:after="216" w:line="259" w:lineRule="auto"/>
        <w:ind w:left="0" w:firstLine="0"/>
      </w:pPr>
      <w:r>
        <w:t xml:space="preserve"> </w:t>
      </w:r>
    </w:p>
    <w:p w14:paraId="3C1FC5BC" w14:textId="77777777" w:rsidR="000B3C5C" w:rsidRDefault="00ED192D">
      <w:pPr>
        <w:spacing w:after="216" w:line="259" w:lineRule="auto"/>
        <w:ind w:left="0" w:firstLine="0"/>
      </w:pPr>
      <w:r>
        <w:t xml:space="preserve"> </w:t>
      </w:r>
    </w:p>
    <w:p w14:paraId="29F191AC" w14:textId="77777777" w:rsidR="000B3C5C" w:rsidRDefault="00ED192D">
      <w:pPr>
        <w:spacing w:after="216" w:line="259" w:lineRule="auto"/>
        <w:ind w:left="0" w:firstLine="0"/>
      </w:pPr>
      <w:r>
        <w:t xml:space="preserve"> </w:t>
      </w:r>
    </w:p>
    <w:p w14:paraId="336E2BD5" w14:textId="77777777" w:rsidR="000B3C5C" w:rsidRDefault="00ED192D">
      <w:pPr>
        <w:spacing w:after="216" w:line="259" w:lineRule="auto"/>
        <w:ind w:left="0" w:firstLine="0"/>
      </w:pPr>
      <w:r>
        <w:t xml:space="preserve"> </w:t>
      </w:r>
    </w:p>
    <w:p w14:paraId="249454A3" w14:textId="77777777" w:rsidR="000B3C5C" w:rsidRDefault="00ED192D">
      <w:pPr>
        <w:spacing w:after="216" w:line="259" w:lineRule="auto"/>
        <w:ind w:left="0" w:firstLine="0"/>
      </w:pPr>
      <w:r>
        <w:t xml:space="preserve"> </w:t>
      </w:r>
    </w:p>
    <w:p w14:paraId="697FA4EA" w14:textId="77777777" w:rsidR="000B3C5C" w:rsidRDefault="00ED192D">
      <w:pPr>
        <w:spacing w:after="0" w:line="259" w:lineRule="auto"/>
        <w:ind w:left="0" w:firstLine="0"/>
      </w:pPr>
      <w:r>
        <w:t xml:space="preserve"> </w:t>
      </w:r>
    </w:p>
    <w:p w14:paraId="60E68B95" w14:textId="77777777" w:rsidR="000B3C5C" w:rsidRDefault="000B3C5C">
      <w:pPr>
        <w:sectPr w:rsidR="000B3C5C">
          <w:headerReference w:type="even" r:id="rId58"/>
          <w:headerReference w:type="default" r:id="rId59"/>
          <w:footerReference w:type="even" r:id="rId60"/>
          <w:footerReference w:type="default" r:id="rId61"/>
          <w:headerReference w:type="first" r:id="rId62"/>
          <w:footerReference w:type="first" r:id="rId63"/>
          <w:pgSz w:w="11906" w:h="16838"/>
          <w:pgMar w:top="1170" w:right="814" w:bottom="2158" w:left="1587" w:header="720" w:footer="454" w:gutter="0"/>
          <w:cols w:space="720"/>
          <w:titlePg/>
        </w:sectPr>
      </w:pPr>
    </w:p>
    <w:p w14:paraId="0785C686" w14:textId="77777777" w:rsidR="000B3C5C" w:rsidRDefault="00ED192D">
      <w:pPr>
        <w:spacing w:after="0" w:line="259" w:lineRule="auto"/>
        <w:ind w:left="1093" w:right="693" w:firstLine="0"/>
        <w:jc w:val="center"/>
      </w:pPr>
      <w:r>
        <w:rPr>
          <w:rFonts w:ascii="Calibri" w:eastAsia="Calibri" w:hAnsi="Calibri" w:cs="Calibri"/>
          <w:sz w:val="22"/>
        </w:rPr>
        <w:t>Signature Page for VV-CLIN-0500709 v5.0 act15377-16-1-1-amended-protocol05</w:t>
      </w:r>
    </w:p>
    <w:tbl>
      <w:tblPr>
        <w:tblStyle w:val="TableGrid"/>
        <w:tblW w:w="9682" w:type="dxa"/>
        <w:tblInd w:w="-49" w:type="dxa"/>
        <w:tblCellMar>
          <w:top w:w="244" w:type="dxa"/>
          <w:left w:w="40" w:type="dxa"/>
          <w:bottom w:w="0" w:type="dxa"/>
          <w:right w:w="115" w:type="dxa"/>
        </w:tblCellMar>
        <w:tblLook w:val="04A0" w:firstRow="1" w:lastRow="0" w:firstColumn="1" w:lastColumn="0" w:noHBand="0" w:noVBand="1"/>
      </w:tblPr>
      <w:tblGrid>
        <w:gridCol w:w="9682"/>
      </w:tblGrid>
      <w:tr w:rsidR="000B3C5C" w14:paraId="7FFA3195" w14:textId="77777777">
        <w:trPr>
          <w:trHeight w:val="298"/>
        </w:trPr>
        <w:tc>
          <w:tcPr>
            <w:tcW w:w="9682" w:type="dxa"/>
            <w:vMerge w:val="restart"/>
            <w:tcBorders>
              <w:top w:val="nil"/>
              <w:left w:val="nil"/>
              <w:bottom w:val="nil"/>
              <w:right w:val="nil"/>
            </w:tcBorders>
            <w:shd w:val="clear" w:color="auto" w:fill="000000"/>
          </w:tcPr>
          <w:p w14:paraId="321DABAB" w14:textId="77777777" w:rsidR="000B3C5C" w:rsidRDefault="00ED192D">
            <w:pPr>
              <w:spacing w:after="750" w:line="259" w:lineRule="auto"/>
              <w:ind w:left="0" w:firstLine="0"/>
            </w:pPr>
            <w:r>
              <w:rPr>
                <w:rFonts w:ascii="Calibri" w:eastAsia="Calibri" w:hAnsi="Calibri" w:cs="Calibri"/>
                <w:sz w:val="22"/>
              </w:rPr>
              <w:t>Approve &amp; eSign</w:t>
            </w:r>
          </w:p>
          <w:p w14:paraId="374F804F" w14:textId="77777777" w:rsidR="000B3C5C" w:rsidRDefault="00ED192D">
            <w:pPr>
              <w:spacing w:after="0" w:line="259" w:lineRule="auto"/>
              <w:ind w:left="0" w:firstLine="0"/>
            </w:pPr>
            <w:r>
              <w:rPr>
                <w:rFonts w:ascii="Calibri" w:eastAsia="Calibri" w:hAnsi="Calibri" w:cs="Calibri"/>
                <w:sz w:val="22"/>
              </w:rPr>
              <w:t>Approve &amp; eSign</w:t>
            </w:r>
          </w:p>
        </w:tc>
      </w:tr>
      <w:tr w:rsidR="000B3C5C" w14:paraId="77EA55B1" w14:textId="77777777">
        <w:trPr>
          <w:trHeight w:val="740"/>
        </w:trPr>
        <w:tc>
          <w:tcPr>
            <w:tcW w:w="0" w:type="auto"/>
            <w:vMerge/>
            <w:tcBorders>
              <w:top w:val="nil"/>
              <w:left w:val="nil"/>
              <w:bottom w:val="nil"/>
              <w:right w:val="nil"/>
            </w:tcBorders>
          </w:tcPr>
          <w:p w14:paraId="3C4D2DFF" w14:textId="77777777" w:rsidR="000B3C5C" w:rsidRDefault="000B3C5C">
            <w:pPr>
              <w:spacing w:after="160" w:line="259" w:lineRule="auto"/>
              <w:ind w:left="0" w:firstLine="0"/>
            </w:pPr>
          </w:p>
        </w:tc>
      </w:tr>
      <w:tr w:rsidR="000B3C5C" w14:paraId="68293C87" w14:textId="77777777">
        <w:trPr>
          <w:trHeight w:val="458"/>
        </w:trPr>
        <w:tc>
          <w:tcPr>
            <w:tcW w:w="0" w:type="auto"/>
            <w:vMerge/>
            <w:tcBorders>
              <w:top w:val="nil"/>
              <w:left w:val="nil"/>
              <w:bottom w:val="nil"/>
              <w:right w:val="nil"/>
            </w:tcBorders>
          </w:tcPr>
          <w:p w14:paraId="73E66122" w14:textId="77777777" w:rsidR="000B3C5C" w:rsidRDefault="000B3C5C">
            <w:pPr>
              <w:spacing w:after="160" w:line="259" w:lineRule="auto"/>
              <w:ind w:left="0" w:firstLine="0"/>
            </w:pPr>
          </w:p>
        </w:tc>
      </w:tr>
      <w:tr w:rsidR="000B3C5C" w14:paraId="5D8947C1" w14:textId="77777777">
        <w:trPr>
          <w:trHeight w:val="740"/>
        </w:trPr>
        <w:tc>
          <w:tcPr>
            <w:tcW w:w="0" w:type="auto"/>
            <w:vMerge/>
            <w:tcBorders>
              <w:top w:val="nil"/>
              <w:left w:val="nil"/>
              <w:bottom w:val="nil"/>
              <w:right w:val="nil"/>
            </w:tcBorders>
          </w:tcPr>
          <w:p w14:paraId="1103E588" w14:textId="77777777" w:rsidR="000B3C5C" w:rsidRDefault="000B3C5C">
            <w:pPr>
              <w:spacing w:after="160" w:line="259" w:lineRule="auto"/>
              <w:ind w:left="0" w:firstLine="0"/>
            </w:pPr>
          </w:p>
        </w:tc>
      </w:tr>
      <w:tr w:rsidR="000B3C5C" w14:paraId="71B29C95" w14:textId="77777777">
        <w:trPr>
          <w:trHeight w:val="458"/>
        </w:trPr>
        <w:tc>
          <w:tcPr>
            <w:tcW w:w="0" w:type="auto"/>
            <w:vMerge/>
            <w:tcBorders>
              <w:top w:val="nil"/>
              <w:left w:val="nil"/>
              <w:bottom w:val="nil"/>
              <w:right w:val="nil"/>
            </w:tcBorders>
          </w:tcPr>
          <w:p w14:paraId="76929D8A" w14:textId="77777777" w:rsidR="000B3C5C" w:rsidRDefault="000B3C5C">
            <w:pPr>
              <w:spacing w:after="160" w:line="259" w:lineRule="auto"/>
              <w:ind w:left="0" w:firstLine="0"/>
            </w:pPr>
          </w:p>
        </w:tc>
      </w:tr>
    </w:tbl>
    <w:p w14:paraId="6C2DFE15" w14:textId="77777777" w:rsidR="00ED192D" w:rsidRDefault="00ED192D"/>
    <w:sectPr w:rsidR="00000000">
      <w:headerReference w:type="even" r:id="rId64"/>
      <w:headerReference w:type="default" r:id="rId65"/>
      <w:footerReference w:type="even" r:id="rId66"/>
      <w:footerReference w:type="default" r:id="rId67"/>
      <w:headerReference w:type="first" r:id="rId68"/>
      <w:footerReference w:type="first" r:id="rId69"/>
      <w:pgSz w:w="11906" w:h="16838"/>
      <w:pgMar w:top="1440" w:right="1440" w:bottom="1440" w:left="1440" w:header="720"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7DAC3" w14:textId="77777777" w:rsidR="00ED192D" w:rsidRDefault="00ED192D">
      <w:pPr>
        <w:spacing w:after="0" w:line="240" w:lineRule="auto"/>
      </w:pPr>
      <w:r>
        <w:separator/>
      </w:r>
    </w:p>
  </w:endnote>
  <w:endnote w:type="continuationSeparator" w:id="0">
    <w:p w14:paraId="62840278" w14:textId="77777777" w:rsidR="00ED192D" w:rsidRDefault="00ED1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roman"/>
    <w:pitch w:val="fixed"/>
    <w:sig w:usb0="00000001" w:usb1="08070000" w:usb2="00000010" w:usb3="00000000" w:csb0="0002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29973" w14:textId="77777777" w:rsidR="000B3C5C" w:rsidRDefault="00ED192D">
    <w:pPr>
      <w:tabs>
        <w:tab w:val="right" w:pos="9473"/>
      </w:tabs>
      <w:spacing w:after="887" w:line="259" w:lineRule="auto"/>
      <w:ind w:left="0" w:right="-1"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sz w:val="18"/>
      </w:rPr>
      <w:t xml:space="preserve"> </w:t>
    </w:r>
  </w:p>
  <w:p w14:paraId="6285A6B8" w14:textId="77777777" w:rsidR="000B3C5C" w:rsidRDefault="00ED192D">
    <w:pPr>
      <w:spacing w:after="0" w:line="259" w:lineRule="auto"/>
      <w:ind w:left="0" w:right="735" w:firstLine="0"/>
      <w:jc w:val="center"/>
    </w:pPr>
    <w:r>
      <w:rPr>
        <w:rFonts w:ascii="Calibri" w:eastAsia="Calibri" w:hAnsi="Calibri" w:cs="Calibri"/>
        <w:sz w:val="22"/>
      </w:rPr>
      <w:t>VV-CLIN-0500709 5.0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B64EA" w14:textId="77777777" w:rsidR="000B3C5C" w:rsidRDefault="00ED192D">
    <w:pPr>
      <w:tabs>
        <w:tab w:val="right" w:pos="9465"/>
      </w:tabs>
      <w:spacing w:after="887" w:line="259" w:lineRule="auto"/>
      <w:ind w:left="0" w:right="-6"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25</w:t>
    </w:r>
    <w:r>
      <w:rPr>
        <w:rFonts w:ascii="Arial" w:eastAsia="Arial" w:hAnsi="Arial" w:cs="Arial"/>
        <w:sz w:val="18"/>
      </w:rPr>
      <w:fldChar w:fldCharType="end"/>
    </w:r>
    <w:r>
      <w:rPr>
        <w:rFonts w:ascii="Arial" w:eastAsia="Arial" w:hAnsi="Arial" w:cs="Arial"/>
        <w:sz w:val="18"/>
      </w:rPr>
      <w:t xml:space="preserve"> </w:t>
    </w:r>
  </w:p>
  <w:p w14:paraId="1CEB3269" w14:textId="77777777" w:rsidR="000B3C5C" w:rsidRDefault="00ED192D">
    <w:pPr>
      <w:spacing w:after="0" w:line="259" w:lineRule="auto"/>
      <w:ind w:left="0" w:right="733" w:firstLine="0"/>
      <w:jc w:val="center"/>
    </w:pPr>
    <w:r>
      <w:rPr>
        <w:rFonts w:ascii="Calibri" w:eastAsia="Calibri" w:hAnsi="Calibri" w:cs="Calibri"/>
        <w:sz w:val="22"/>
      </w:rPr>
      <w:t>VV-CLIN-0500709 5.0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7067" w14:textId="77777777" w:rsidR="000B3C5C" w:rsidRDefault="00ED192D">
    <w:pPr>
      <w:tabs>
        <w:tab w:val="right" w:pos="9465"/>
      </w:tabs>
      <w:spacing w:after="887" w:line="259" w:lineRule="auto"/>
      <w:ind w:left="0" w:right="-6"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25</w:t>
    </w:r>
    <w:r>
      <w:rPr>
        <w:rFonts w:ascii="Arial" w:eastAsia="Arial" w:hAnsi="Arial" w:cs="Arial"/>
        <w:sz w:val="18"/>
      </w:rPr>
      <w:fldChar w:fldCharType="end"/>
    </w:r>
    <w:r>
      <w:rPr>
        <w:rFonts w:ascii="Arial" w:eastAsia="Arial" w:hAnsi="Arial" w:cs="Arial"/>
        <w:sz w:val="18"/>
      </w:rPr>
      <w:t xml:space="preserve"> </w:t>
    </w:r>
  </w:p>
  <w:p w14:paraId="053DFC2F" w14:textId="77777777" w:rsidR="000B3C5C" w:rsidRDefault="00ED192D">
    <w:pPr>
      <w:spacing w:after="0" w:line="259" w:lineRule="auto"/>
      <w:ind w:left="0" w:right="733" w:firstLine="0"/>
      <w:jc w:val="center"/>
    </w:pPr>
    <w:r>
      <w:rPr>
        <w:rFonts w:ascii="Calibri" w:eastAsia="Calibri" w:hAnsi="Calibri" w:cs="Calibri"/>
        <w:sz w:val="22"/>
      </w:rPr>
      <w:t>VV-CLIN-0500709 5.0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945B7" w14:textId="77777777" w:rsidR="000B3C5C" w:rsidRDefault="00ED192D">
    <w:pPr>
      <w:tabs>
        <w:tab w:val="right" w:pos="9465"/>
      </w:tabs>
      <w:spacing w:after="887" w:line="259" w:lineRule="auto"/>
      <w:ind w:left="0" w:right="-6"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25</w:t>
    </w:r>
    <w:r>
      <w:rPr>
        <w:rFonts w:ascii="Arial" w:eastAsia="Arial" w:hAnsi="Arial" w:cs="Arial"/>
        <w:sz w:val="18"/>
      </w:rPr>
      <w:fldChar w:fldCharType="end"/>
    </w:r>
    <w:r>
      <w:rPr>
        <w:rFonts w:ascii="Arial" w:eastAsia="Arial" w:hAnsi="Arial" w:cs="Arial"/>
        <w:sz w:val="18"/>
      </w:rPr>
      <w:t xml:space="preserve"> </w:t>
    </w:r>
  </w:p>
  <w:p w14:paraId="0A5455D3" w14:textId="77777777" w:rsidR="000B3C5C" w:rsidRDefault="00ED192D">
    <w:pPr>
      <w:spacing w:after="0" w:line="259" w:lineRule="auto"/>
      <w:ind w:left="0" w:right="733" w:firstLine="0"/>
      <w:jc w:val="center"/>
    </w:pPr>
    <w:r>
      <w:rPr>
        <w:rFonts w:ascii="Calibri" w:eastAsia="Calibri" w:hAnsi="Calibri" w:cs="Calibri"/>
        <w:sz w:val="22"/>
      </w:rPr>
      <w:t>VV-CLIN-0500709 5.0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14054" w14:textId="77777777" w:rsidR="000B3C5C" w:rsidRDefault="00ED192D">
    <w:pPr>
      <w:tabs>
        <w:tab w:val="right" w:pos="9532"/>
      </w:tabs>
      <w:spacing w:after="887" w:line="259" w:lineRule="auto"/>
      <w:ind w:left="0"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25</w:t>
    </w:r>
    <w:r>
      <w:rPr>
        <w:rFonts w:ascii="Arial" w:eastAsia="Arial" w:hAnsi="Arial" w:cs="Arial"/>
        <w:sz w:val="18"/>
      </w:rPr>
      <w:fldChar w:fldCharType="end"/>
    </w:r>
    <w:r>
      <w:rPr>
        <w:rFonts w:ascii="Arial" w:eastAsia="Arial" w:hAnsi="Arial" w:cs="Arial"/>
        <w:sz w:val="18"/>
      </w:rPr>
      <w:t xml:space="preserve"> </w:t>
    </w:r>
  </w:p>
  <w:p w14:paraId="177DADE3" w14:textId="77777777" w:rsidR="000B3C5C" w:rsidRDefault="00ED192D">
    <w:pPr>
      <w:spacing w:after="0" w:line="259" w:lineRule="auto"/>
      <w:ind w:left="0" w:right="800" w:firstLine="0"/>
      <w:jc w:val="center"/>
    </w:pPr>
    <w:r>
      <w:rPr>
        <w:rFonts w:ascii="Calibri" w:eastAsia="Calibri" w:hAnsi="Calibri" w:cs="Calibri"/>
        <w:sz w:val="22"/>
      </w:rPr>
      <w:t>VV-CLIN-0500709 5.0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88CEF" w14:textId="77777777" w:rsidR="000B3C5C" w:rsidRDefault="00ED192D">
    <w:pPr>
      <w:tabs>
        <w:tab w:val="right" w:pos="9532"/>
      </w:tabs>
      <w:spacing w:after="887" w:line="259" w:lineRule="auto"/>
      <w:ind w:left="0"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25</w:t>
    </w:r>
    <w:r>
      <w:rPr>
        <w:rFonts w:ascii="Arial" w:eastAsia="Arial" w:hAnsi="Arial" w:cs="Arial"/>
        <w:sz w:val="18"/>
      </w:rPr>
      <w:fldChar w:fldCharType="end"/>
    </w:r>
    <w:r>
      <w:rPr>
        <w:rFonts w:ascii="Arial" w:eastAsia="Arial" w:hAnsi="Arial" w:cs="Arial"/>
        <w:sz w:val="18"/>
      </w:rPr>
      <w:t xml:space="preserve"> </w:t>
    </w:r>
  </w:p>
  <w:p w14:paraId="2F936EB0" w14:textId="77777777" w:rsidR="000B3C5C" w:rsidRDefault="00ED192D">
    <w:pPr>
      <w:spacing w:after="0" w:line="259" w:lineRule="auto"/>
      <w:ind w:left="0" w:right="800" w:firstLine="0"/>
      <w:jc w:val="center"/>
    </w:pPr>
    <w:r>
      <w:rPr>
        <w:rFonts w:ascii="Calibri" w:eastAsia="Calibri" w:hAnsi="Calibri" w:cs="Calibri"/>
        <w:sz w:val="22"/>
      </w:rPr>
      <w:t>VV-CLIN-0500709 5.0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66F69" w14:textId="77777777" w:rsidR="000B3C5C" w:rsidRDefault="00ED192D">
    <w:pPr>
      <w:tabs>
        <w:tab w:val="right" w:pos="9532"/>
      </w:tabs>
      <w:spacing w:after="887" w:line="259" w:lineRule="auto"/>
      <w:ind w:left="0"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25</w:t>
    </w:r>
    <w:r>
      <w:rPr>
        <w:rFonts w:ascii="Arial" w:eastAsia="Arial" w:hAnsi="Arial" w:cs="Arial"/>
        <w:sz w:val="18"/>
      </w:rPr>
      <w:fldChar w:fldCharType="end"/>
    </w:r>
    <w:r>
      <w:rPr>
        <w:rFonts w:ascii="Arial" w:eastAsia="Arial" w:hAnsi="Arial" w:cs="Arial"/>
        <w:sz w:val="18"/>
      </w:rPr>
      <w:t xml:space="preserve"> </w:t>
    </w:r>
  </w:p>
  <w:p w14:paraId="718CD653" w14:textId="77777777" w:rsidR="000B3C5C" w:rsidRDefault="00ED192D">
    <w:pPr>
      <w:spacing w:after="0" w:line="259" w:lineRule="auto"/>
      <w:ind w:left="0" w:right="800" w:firstLine="0"/>
      <w:jc w:val="center"/>
    </w:pPr>
    <w:r>
      <w:rPr>
        <w:rFonts w:ascii="Calibri" w:eastAsia="Calibri" w:hAnsi="Calibri" w:cs="Calibri"/>
        <w:sz w:val="22"/>
      </w:rPr>
      <w:t>VV-CLIN-0500709 5.0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A07A1" w14:textId="77777777" w:rsidR="000B3C5C" w:rsidRDefault="00ED192D">
    <w:pPr>
      <w:tabs>
        <w:tab w:val="right" w:pos="9466"/>
      </w:tabs>
      <w:spacing w:after="887" w:line="259" w:lineRule="auto"/>
      <w:ind w:left="0" w:right="-6" w:firstLine="0"/>
    </w:pPr>
    <w:r>
      <w:rPr>
        <w:rFonts w:ascii="Arial" w:eastAsia="Arial" w:hAnsi="Arial" w:cs="Arial"/>
        <w:sz w:val="18"/>
      </w:rPr>
      <w:t xml:space="preserve">Property of the Sanofi group - </w:t>
    </w:r>
    <w:r>
      <w:rPr>
        <w:rFonts w:ascii="Arial" w:eastAsia="Arial" w:hAnsi="Arial" w:cs="Arial"/>
        <w:sz w:val="18"/>
      </w:rPr>
      <w:t xml:space="preserve">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w:t>
    </w:r>
  </w:p>
  <w:p w14:paraId="6453A7DF" w14:textId="77777777" w:rsidR="000B3C5C" w:rsidRDefault="00ED192D">
    <w:pPr>
      <w:spacing w:after="0" w:line="259" w:lineRule="auto"/>
      <w:ind w:left="0" w:right="733" w:firstLine="0"/>
      <w:jc w:val="center"/>
    </w:pPr>
    <w:r>
      <w:rPr>
        <w:rFonts w:ascii="Calibri" w:eastAsia="Calibri" w:hAnsi="Calibri" w:cs="Calibri"/>
        <w:sz w:val="22"/>
      </w:rPr>
      <w:t>VV-CLIN-0500709 5.0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267B7" w14:textId="77777777" w:rsidR="000B3C5C" w:rsidRDefault="00ED192D">
    <w:pPr>
      <w:tabs>
        <w:tab w:val="right" w:pos="9466"/>
      </w:tabs>
      <w:spacing w:after="887" w:line="259" w:lineRule="auto"/>
      <w:ind w:left="0" w:right="-6"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w:t>
    </w:r>
  </w:p>
  <w:p w14:paraId="0F11E03A" w14:textId="77777777" w:rsidR="000B3C5C" w:rsidRDefault="00ED192D">
    <w:pPr>
      <w:spacing w:after="0" w:line="259" w:lineRule="auto"/>
      <w:ind w:left="0" w:right="733" w:firstLine="0"/>
      <w:jc w:val="center"/>
    </w:pPr>
    <w:r>
      <w:rPr>
        <w:rFonts w:ascii="Calibri" w:eastAsia="Calibri" w:hAnsi="Calibri" w:cs="Calibri"/>
        <w:sz w:val="22"/>
      </w:rPr>
      <w:t>VV-CLIN-0500709 5.0</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E1CDA" w14:textId="77777777" w:rsidR="000B3C5C" w:rsidRDefault="00ED192D">
    <w:pPr>
      <w:tabs>
        <w:tab w:val="right" w:pos="9466"/>
      </w:tabs>
      <w:spacing w:after="887" w:line="259" w:lineRule="auto"/>
      <w:ind w:left="0" w:right="-6" w:firstLine="0"/>
    </w:pPr>
    <w:r>
      <w:rPr>
        <w:rFonts w:ascii="Arial" w:eastAsia="Arial" w:hAnsi="Arial" w:cs="Arial"/>
        <w:sz w:val="18"/>
      </w:rPr>
      <w:t xml:space="preserve">Property of the Sanofi group - </w:t>
    </w:r>
    <w:r>
      <w:rPr>
        <w:rFonts w:ascii="Arial" w:eastAsia="Arial" w:hAnsi="Arial" w:cs="Arial"/>
        <w:sz w:val="18"/>
      </w:rPr>
      <w:t xml:space="preserve">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w:t>
    </w:r>
  </w:p>
  <w:p w14:paraId="5E85A126" w14:textId="77777777" w:rsidR="000B3C5C" w:rsidRDefault="00ED192D">
    <w:pPr>
      <w:spacing w:after="0" w:line="259" w:lineRule="auto"/>
      <w:ind w:left="0" w:right="733" w:firstLine="0"/>
      <w:jc w:val="center"/>
    </w:pPr>
    <w:r>
      <w:rPr>
        <w:rFonts w:ascii="Calibri" w:eastAsia="Calibri" w:hAnsi="Calibri" w:cs="Calibri"/>
        <w:sz w:val="22"/>
      </w:rPr>
      <w:t>VV-CLIN-0500709 5.0</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6BD3A" w14:textId="77777777" w:rsidR="000B3C5C" w:rsidRDefault="00ED192D">
    <w:pPr>
      <w:tabs>
        <w:tab w:val="right" w:pos="9506"/>
      </w:tabs>
      <w:spacing w:after="887" w:line="259" w:lineRule="auto"/>
      <w:ind w:left="0"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w:t>
    </w:r>
  </w:p>
  <w:p w14:paraId="00A62D65" w14:textId="77777777" w:rsidR="000B3C5C" w:rsidRDefault="00ED192D">
    <w:pPr>
      <w:spacing w:after="0" w:line="259" w:lineRule="auto"/>
      <w:ind w:left="0" w:right="773" w:firstLine="0"/>
      <w:jc w:val="center"/>
    </w:pPr>
    <w:r>
      <w:rPr>
        <w:rFonts w:ascii="Calibri" w:eastAsia="Calibri" w:hAnsi="Calibri" w:cs="Calibri"/>
        <w:sz w:val="22"/>
      </w:rPr>
      <w:t>VV-CLIN-0500709 5.0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2A69D" w14:textId="77777777" w:rsidR="000B3C5C" w:rsidRDefault="00ED192D">
    <w:pPr>
      <w:tabs>
        <w:tab w:val="right" w:pos="9473"/>
      </w:tabs>
      <w:spacing w:after="887" w:line="259" w:lineRule="auto"/>
      <w:ind w:left="0" w:right="-1"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sz w:val="18"/>
      </w:rPr>
      <w:t xml:space="preserve"> </w:t>
    </w:r>
  </w:p>
  <w:p w14:paraId="0CCEB625" w14:textId="77777777" w:rsidR="000B3C5C" w:rsidRDefault="00ED192D">
    <w:pPr>
      <w:spacing w:after="0" w:line="259" w:lineRule="auto"/>
      <w:ind w:left="0" w:right="735" w:firstLine="0"/>
      <w:jc w:val="center"/>
    </w:pPr>
    <w:r>
      <w:rPr>
        <w:rFonts w:ascii="Calibri" w:eastAsia="Calibri" w:hAnsi="Calibri" w:cs="Calibri"/>
        <w:sz w:val="22"/>
      </w:rPr>
      <w:t>VV-CLIN-0500709 5.0</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F5754" w14:textId="77777777" w:rsidR="000B3C5C" w:rsidRDefault="00ED192D">
    <w:pPr>
      <w:tabs>
        <w:tab w:val="right" w:pos="9506"/>
      </w:tabs>
      <w:spacing w:after="887" w:line="259" w:lineRule="auto"/>
      <w:ind w:left="0"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w:t>
    </w:r>
  </w:p>
  <w:p w14:paraId="48161102" w14:textId="77777777" w:rsidR="000B3C5C" w:rsidRDefault="00ED192D">
    <w:pPr>
      <w:spacing w:after="0" w:line="259" w:lineRule="auto"/>
      <w:ind w:left="0" w:right="773" w:firstLine="0"/>
      <w:jc w:val="center"/>
    </w:pPr>
    <w:r>
      <w:rPr>
        <w:rFonts w:ascii="Calibri" w:eastAsia="Calibri" w:hAnsi="Calibri" w:cs="Calibri"/>
        <w:sz w:val="22"/>
      </w:rPr>
      <w:t>VV-CLIN-0500709 5.0</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6AF47" w14:textId="77777777" w:rsidR="000B3C5C" w:rsidRDefault="00ED192D">
    <w:pPr>
      <w:tabs>
        <w:tab w:val="right" w:pos="9506"/>
      </w:tabs>
      <w:spacing w:after="887" w:line="259" w:lineRule="auto"/>
      <w:ind w:left="0"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100</w:t>
    </w:r>
    <w:r>
      <w:rPr>
        <w:rFonts w:ascii="Arial" w:eastAsia="Arial" w:hAnsi="Arial" w:cs="Arial"/>
        <w:sz w:val="18"/>
      </w:rPr>
      <w:fldChar w:fldCharType="end"/>
    </w:r>
    <w:r>
      <w:rPr>
        <w:rFonts w:ascii="Arial" w:eastAsia="Arial" w:hAnsi="Arial" w:cs="Arial"/>
        <w:sz w:val="18"/>
      </w:rPr>
      <w:t xml:space="preserve"> </w:t>
    </w:r>
  </w:p>
  <w:p w14:paraId="078F0CF7" w14:textId="77777777" w:rsidR="000B3C5C" w:rsidRDefault="00ED192D">
    <w:pPr>
      <w:spacing w:after="0" w:line="259" w:lineRule="auto"/>
      <w:ind w:left="0" w:right="773" w:firstLine="0"/>
      <w:jc w:val="center"/>
    </w:pPr>
    <w:r>
      <w:rPr>
        <w:rFonts w:ascii="Calibri" w:eastAsia="Calibri" w:hAnsi="Calibri" w:cs="Calibri"/>
        <w:sz w:val="22"/>
      </w:rPr>
      <w:t>VV-CLIN-0500709 5.0</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0807F" w14:textId="77777777" w:rsidR="000B3C5C" w:rsidRDefault="00ED192D">
    <w:pPr>
      <w:spacing w:after="0" w:line="259" w:lineRule="auto"/>
      <w:ind w:left="0" w:firstLine="0"/>
      <w:jc w:val="center"/>
    </w:pPr>
    <w:r>
      <w:rPr>
        <w:rFonts w:ascii="Calibri" w:eastAsia="Calibri" w:hAnsi="Calibri" w:cs="Calibri"/>
        <w:sz w:val="22"/>
      </w:rPr>
      <w:t>VV-CLIN-0500709 5.0</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6F9AE" w14:textId="77777777" w:rsidR="000B3C5C" w:rsidRDefault="00ED192D">
    <w:pPr>
      <w:spacing w:after="0" w:line="259" w:lineRule="auto"/>
      <w:ind w:left="0" w:firstLine="0"/>
      <w:jc w:val="center"/>
    </w:pPr>
    <w:r>
      <w:rPr>
        <w:rFonts w:ascii="Calibri" w:eastAsia="Calibri" w:hAnsi="Calibri" w:cs="Calibri"/>
        <w:sz w:val="22"/>
      </w:rPr>
      <w:t>VV-CLIN-0500709 5.0</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40410" w14:textId="77777777" w:rsidR="000B3C5C" w:rsidRDefault="00ED192D">
    <w:pPr>
      <w:spacing w:after="0" w:line="259" w:lineRule="auto"/>
      <w:ind w:left="0" w:firstLine="0"/>
      <w:jc w:val="center"/>
    </w:pPr>
    <w:r>
      <w:rPr>
        <w:rFonts w:ascii="Calibri" w:eastAsia="Calibri" w:hAnsi="Calibri" w:cs="Calibri"/>
        <w:sz w:val="22"/>
      </w:rPr>
      <w:t>VV-CLIN-0500709 5.0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ECE5E" w14:textId="77777777" w:rsidR="000B3C5C" w:rsidRDefault="00ED192D">
    <w:pPr>
      <w:spacing w:after="881" w:line="259" w:lineRule="auto"/>
      <w:ind w:left="0" w:right="-13" w:firstLine="0"/>
      <w:jc w:val="right"/>
    </w:pP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w:t>
    </w:r>
  </w:p>
  <w:p w14:paraId="2C1FB44E" w14:textId="77777777" w:rsidR="000B3C5C" w:rsidRDefault="00ED192D">
    <w:pPr>
      <w:spacing w:after="0" w:line="259" w:lineRule="auto"/>
      <w:ind w:left="0" w:right="735" w:firstLine="0"/>
      <w:jc w:val="center"/>
    </w:pPr>
    <w:r>
      <w:rPr>
        <w:rFonts w:ascii="Calibri" w:eastAsia="Calibri" w:hAnsi="Calibri" w:cs="Calibri"/>
        <w:sz w:val="22"/>
      </w:rPr>
      <w:t>VV-CLIN-0500709 5.0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C9928" w14:textId="77777777" w:rsidR="000B3C5C" w:rsidRDefault="00ED192D">
    <w:pPr>
      <w:tabs>
        <w:tab w:val="right" w:pos="9448"/>
      </w:tabs>
      <w:spacing w:after="887" w:line="259" w:lineRule="auto"/>
      <w:ind w:left="0" w:right="-24"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r>
      <w:rPr>
        <w:rFonts w:ascii="Arial" w:eastAsia="Arial" w:hAnsi="Arial" w:cs="Arial"/>
        <w:sz w:val="18"/>
      </w:rPr>
      <w:t xml:space="preserve"> </w:t>
    </w:r>
  </w:p>
  <w:p w14:paraId="1B0C710B" w14:textId="77777777" w:rsidR="000B3C5C" w:rsidRDefault="00ED192D">
    <w:pPr>
      <w:spacing w:after="0" w:line="259" w:lineRule="auto"/>
      <w:ind w:left="0" w:right="715" w:firstLine="0"/>
      <w:jc w:val="center"/>
    </w:pPr>
    <w:r>
      <w:rPr>
        <w:rFonts w:ascii="Calibri" w:eastAsia="Calibri" w:hAnsi="Calibri" w:cs="Calibri"/>
        <w:sz w:val="22"/>
      </w:rPr>
      <w:t>VV-CLIN-0500709 5.0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0D41B" w14:textId="77777777" w:rsidR="000B3C5C" w:rsidRDefault="00ED192D">
    <w:pPr>
      <w:tabs>
        <w:tab w:val="right" w:pos="9448"/>
      </w:tabs>
      <w:spacing w:after="887" w:line="259" w:lineRule="auto"/>
      <w:ind w:left="0" w:right="-24"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r>
      <w:rPr>
        <w:rFonts w:ascii="Arial" w:eastAsia="Arial" w:hAnsi="Arial" w:cs="Arial"/>
        <w:sz w:val="18"/>
      </w:rPr>
      <w:t xml:space="preserve"> </w:t>
    </w:r>
  </w:p>
  <w:p w14:paraId="4DC5F064" w14:textId="77777777" w:rsidR="000B3C5C" w:rsidRDefault="00ED192D">
    <w:pPr>
      <w:spacing w:after="0" w:line="259" w:lineRule="auto"/>
      <w:ind w:left="0" w:right="715" w:firstLine="0"/>
      <w:jc w:val="center"/>
    </w:pPr>
    <w:r>
      <w:rPr>
        <w:rFonts w:ascii="Calibri" w:eastAsia="Calibri" w:hAnsi="Calibri" w:cs="Calibri"/>
        <w:sz w:val="22"/>
      </w:rPr>
      <w:t>VV-CLIN-0500709 5.0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A273B" w14:textId="77777777" w:rsidR="000B3C5C" w:rsidRDefault="00ED192D">
    <w:pPr>
      <w:tabs>
        <w:tab w:val="right" w:pos="9448"/>
      </w:tabs>
      <w:spacing w:after="887" w:line="259" w:lineRule="auto"/>
      <w:ind w:left="0" w:right="-24" w:firstLine="0"/>
    </w:pPr>
    <w:r>
      <w:rPr>
        <w:rFonts w:ascii="Arial" w:eastAsia="Arial" w:hAnsi="Arial" w:cs="Arial"/>
        <w:sz w:val="18"/>
      </w:rPr>
      <w:t xml:space="preserve">Property of the Sanofi Group - strictly confidential </w:t>
    </w:r>
    <w:r>
      <w:rPr>
        <w:rFonts w:ascii="Arial" w:eastAsia="Arial" w:hAnsi="Arial" w:cs="Arial"/>
        <w:sz w:val="18"/>
      </w:rPr>
      <w:tab/>
      <w:t xml:space="preserve">Page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r>
      <w:rPr>
        <w:rFonts w:ascii="Arial" w:eastAsia="Arial" w:hAnsi="Arial" w:cs="Arial"/>
        <w:sz w:val="18"/>
      </w:rPr>
      <w:t xml:space="preserve"> </w:t>
    </w:r>
  </w:p>
  <w:p w14:paraId="090FC6FF" w14:textId="77777777" w:rsidR="000B3C5C" w:rsidRDefault="00ED192D">
    <w:pPr>
      <w:spacing w:after="0" w:line="259" w:lineRule="auto"/>
      <w:ind w:left="0" w:right="715" w:firstLine="0"/>
      <w:jc w:val="center"/>
    </w:pPr>
    <w:r>
      <w:rPr>
        <w:rFonts w:ascii="Calibri" w:eastAsia="Calibri" w:hAnsi="Calibri" w:cs="Calibri"/>
        <w:sz w:val="22"/>
      </w:rPr>
      <w:t>VV-CLIN-0500709 5.0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B4589" w14:textId="77777777" w:rsidR="000B3C5C" w:rsidRDefault="00ED192D">
    <w:pPr>
      <w:tabs>
        <w:tab w:val="center" w:pos="6833"/>
        <w:tab w:val="right" w:pos="13961"/>
      </w:tabs>
      <w:spacing w:after="0" w:line="259" w:lineRule="auto"/>
      <w:ind w:left="0" w:right="-217" w:firstLine="0"/>
    </w:pPr>
    <w:r>
      <w:rPr>
        <w:rFonts w:ascii="Arial" w:eastAsia="Arial" w:hAnsi="Arial" w:cs="Arial"/>
        <w:sz w:val="18"/>
      </w:rPr>
      <w:t xml:space="preserve">Property of the Sanofi Group - strictly confidential </w:t>
    </w:r>
    <w:r>
      <w:rPr>
        <w:rFonts w:ascii="Arial" w:eastAsia="Arial" w:hAnsi="Arial" w:cs="Arial"/>
        <w:sz w:val="18"/>
      </w:rPr>
      <w:tab/>
    </w:r>
    <w:r>
      <w:rPr>
        <w:rFonts w:ascii="Calibri" w:eastAsia="Calibri" w:hAnsi="Calibri" w:cs="Calibri"/>
        <w:sz w:val="22"/>
      </w:rPr>
      <w:t>VV-CLIN-0500709 5.0</w:t>
    </w:r>
    <w:r>
      <w:rPr>
        <w:rFonts w:ascii="Calibri" w:eastAsia="Calibri" w:hAnsi="Calibri" w:cs="Calibri"/>
        <w:sz w:val="22"/>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18</w:t>
    </w:r>
    <w:r>
      <w:rPr>
        <w:rFonts w:ascii="Arial" w:eastAsia="Arial" w:hAnsi="Arial" w:cs="Arial"/>
        <w:sz w:val="18"/>
      </w:rPr>
      <w:fldChar w:fldCharType="end"/>
    </w:r>
    <w:r>
      <w:rPr>
        <w:rFonts w:ascii="Arial" w:eastAsia="Arial" w:hAnsi="Arial" w:cs="Arial"/>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68374" w14:textId="77777777" w:rsidR="000B3C5C" w:rsidRDefault="00ED192D">
    <w:pPr>
      <w:tabs>
        <w:tab w:val="center" w:pos="6833"/>
        <w:tab w:val="right" w:pos="13961"/>
      </w:tabs>
      <w:spacing w:after="0" w:line="259" w:lineRule="auto"/>
      <w:ind w:left="0" w:right="-217" w:firstLine="0"/>
    </w:pPr>
    <w:r>
      <w:rPr>
        <w:rFonts w:ascii="Arial" w:eastAsia="Arial" w:hAnsi="Arial" w:cs="Arial"/>
        <w:sz w:val="18"/>
      </w:rPr>
      <w:t xml:space="preserve">Property of the Sanofi Group - strictly confidential </w:t>
    </w:r>
    <w:r>
      <w:rPr>
        <w:rFonts w:ascii="Arial" w:eastAsia="Arial" w:hAnsi="Arial" w:cs="Arial"/>
        <w:sz w:val="18"/>
      </w:rPr>
      <w:tab/>
    </w:r>
    <w:r>
      <w:rPr>
        <w:rFonts w:ascii="Calibri" w:eastAsia="Calibri" w:hAnsi="Calibri" w:cs="Calibri"/>
        <w:sz w:val="22"/>
      </w:rPr>
      <w:t>VV-CLIN-0500709 5.0</w:t>
    </w:r>
    <w:r>
      <w:rPr>
        <w:rFonts w:ascii="Calibri" w:eastAsia="Calibri" w:hAnsi="Calibri" w:cs="Calibri"/>
        <w:sz w:val="22"/>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18</w:t>
    </w:r>
    <w:r>
      <w:rPr>
        <w:rFonts w:ascii="Arial" w:eastAsia="Arial" w:hAnsi="Arial" w:cs="Arial"/>
        <w:sz w:val="18"/>
      </w:rPr>
      <w:fldChar w:fldCharType="end"/>
    </w:r>
    <w:r>
      <w:rPr>
        <w:rFonts w:ascii="Arial" w:eastAsia="Arial" w:hAnsi="Arial" w:cs="Arial"/>
        <w:sz w:val="1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3ABB5" w14:textId="77777777" w:rsidR="000B3C5C" w:rsidRDefault="00ED192D">
    <w:pPr>
      <w:tabs>
        <w:tab w:val="center" w:pos="6833"/>
        <w:tab w:val="right" w:pos="13961"/>
      </w:tabs>
      <w:spacing w:after="0" w:line="259" w:lineRule="auto"/>
      <w:ind w:left="0" w:right="-217" w:firstLine="0"/>
    </w:pPr>
    <w:r>
      <w:rPr>
        <w:rFonts w:ascii="Arial" w:eastAsia="Arial" w:hAnsi="Arial" w:cs="Arial"/>
        <w:sz w:val="18"/>
      </w:rPr>
      <w:t xml:space="preserve">Property of the Sanofi Group - strictly confidential </w:t>
    </w:r>
    <w:r>
      <w:rPr>
        <w:rFonts w:ascii="Arial" w:eastAsia="Arial" w:hAnsi="Arial" w:cs="Arial"/>
        <w:sz w:val="18"/>
      </w:rPr>
      <w:tab/>
    </w:r>
    <w:r>
      <w:rPr>
        <w:rFonts w:ascii="Calibri" w:eastAsia="Calibri" w:hAnsi="Calibri" w:cs="Calibri"/>
        <w:sz w:val="22"/>
      </w:rPr>
      <w:t>VV-CLIN-0500709 5.0</w:t>
    </w:r>
    <w:r>
      <w:rPr>
        <w:rFonts w:ascii="Calibri" w:eastAsia="Calibri" w:hAnsi="Calibri" w:cs="Calibri"/>
        <w:sz w:val="22"/>
      </w:rPr>
      <w:tab/>
    </w:r>
    <w:r>
      <w:rPr>
        <w:rFonts w:ascii="Arial" w:eastAsia="Arial" w:hAnsi="Arial" w:cs="Arial"/>
        <w:sz w:val="18"/>
      </w:rPr>
      <w:t xml:space="preserve">Page </w:t>
    </w:r>
    <w:r>
      <w:fldChar w:fldCharType="begin"/>
    </w:r>
    <w:r>
      <w:instrText xml:space="preserve"> PAGE   \* MERGEFORMAT </w:instrText>
    </w:r>
    <w:r>
      <w:fldChar w:fldCharType="separate"/>
    </w:r>
    <w:r>
      <w:rPr>
        <w:rFonts w:ascii="Arial" w:eastAsia="Arial" w:hAnsi="Arial" w:cs="Arial"/>
        <w:sz w:val="18"/>
      </w:rPr>
      <w:t>18</w:t>
    </w:r>
    <w:r>
      <w:rPr>
        <w:rFonts w:ascii="Arial" w:eastAsia="Arial" w:hAnsi="Arial" w:cs="Arial"/>
        <w:sz w:val="18"/>
      </w:rPr>
      <w:fldChar w:fldCharType="end"/>
    </w:r>
    <w:r>
      <w:rPr>
        <w:rFonts w:ascii="Arial" w:eastAsia="Arial" w:hAnsi="Arial" w:cs="Arial"/>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C622A" w14:textId="77777777" w:rsidR="00ED192D" w:rsidRDefault="00ED192D">
      <w:pPr>
        <w:spacing w:after="0" w:line="240" w:lineRule="auto"/>
      </w:pPr>
      <w:r>
        <w:separator/>
      </w:r>
    </w:p>
  </w:footnote>
  <w:footnote w:type="continuationSeparator" w:id="0">
    <w:p w14:paraId="34CC4F15" w14:textId="77777777" w:rsidR="00ED192D" w:rsidRDefault="00ED1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51F7E" w14:textId="77777777" w:rsidR="000B3C5C" w:rsidRDefault="00ED192D">
    <w:pPr>
      <w:tabs>
        <w:tab w:val="center" w:pos="5044"/>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7D861BAE" w14:textId="77777777" w:rsidR="000B3C5C" w:rsidRDefault="00ED192D">
    <w:pPr>
      <w:tabs>
        <w:tab w:val="center" w:pos="5259"/>
      </w:tabs>
      <w:spacing w:after="0" w:line="259" w:lineRule="auto"/>
      <w:ind w:left="0" w:firstLine="0"/>
    </w:pPr>
    <w:r>
      <w:rPr>
        <w:rFonts w:ascii="Arial" w:eastAsia="Arial" w:hAnsi="Arial" w:cs="Arial"/>
        <w:sz w:val="18"/>
      </w:rPr>
      <w:t xml:space="preserve">ACT15377- isatuximab </w:t>
    </w:r>
    <w:r>
      <w:rPr>
        <w:rFonts w:ascii="Arial" w:eastAsia="Arial" w:hAnsi="Arial" w:cs="Arial"/>
        <w:sz w:val="18"/>
      </w:rPr>
      <w:tab/>
      <w:t>Version number: 1</w:t>
    </w:r>
    <w:r>
      <w:rPr>
        <w:rFonts w:ascii="Arial" w:eastAsia="Arial" w:hAnsi="Arial" w:cs="Arial"/>
        <w:color w:val="0070C0"/>
        <w:sz w:val="18"/>
      </w:rPr>
      <w:t xml:space="preserve"> </w:t>
    </w:r>
  </w:p>
  <w:p w14:paraId="1CE0EC88" w14:textId="77777777" w:rsidR="000B3C5C" w:rsidRDefault="00ED192D">
    <w:pPr>
      <w:spacing w:after="0" w:line="259" w:lineRule="auto"/>
      <w:ind w:left="2" w:firstLine="0"/>
    </w:pPr>
    <w:r>
      <w:rPr>
        <w:rFonts w:ascii="Arial" w:eastAsia="Arial" w:hAnsi="Arial" w:cs="Arial"/>
        <w:sz w:val="18"/>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D69C7"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548FD434" w14:textId="77777777" w:rsidR="000B3C5C" w:rsidRDefault="00ED192D">
    <w:pPr>
      <w:tabs>
        <w:tab w:val="center" w:pos="5256"/>
      </w:tabs>
      <w:spacing w:after="44" w:line="259" w:lineRule="auto"/>
      <w:ind w:left="0" w:firstLine="0"/>
    </w:pPr>
    <w:r>
      <w:rPr>
        <w:rFonts w:ascii="Arial" w:eastAsia="Arial" w:hAnsi="Arial" w:cs="Arial"/>
        <w:sz w:val="18"/>
      </w:rPr>
      <w:t xml:space="preserve">ACT15377 – isatuximab </w:t>
    </w:r>
    <w:r>
      <w:rPr>
        <w:rFonts w:ascii="Arial" w:eastAsia="Arial" w:hAnsi="Arial" w:cs="Arial"/>
        <w:sz w:val="18"/>
      </w:rPr>
      <w:tab/>
      <w:t>Version number: 1</w:t>
    </w:r>
    <w:r>
      <w:rPr>
        <w:rFonts w:ascii="Arial" w:eastAsia="Arial" w:hAnsi="Arial" w:cs="Arial"/>
        <w:color w:val="0070C0"/>
        <w:sz w:val="18"/>
      </w:rPr>
      <w:t xml:space="preserve"> </w:t>
    </w:r>
  </w:p>
  <w:p w14:paraId="2CCCB1B9" w14:textId="77777777" w:rsidR="000B3C5C" w:rsidRDefault="00ED192D">
    <w:pPr>
      <w:spacing w:after="0" w:line="259" w:lineRule="auto"/>
      <w:ind w:left="0" w:firstLine="0"/>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DB994"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7BE53795" w14:textId="77777777" w:rsidR="000B3C5C" w:rsidRDefault="00ED192D">
    <w:pPr>
      <w:tabs>
        <w:tab w:val="center" w:pos="5256"/>
      </w:tabs>
      <w:spacing w:after="44" w:line="259" w:lineRule="auto"/>
      <w:ind w:left="0" w:firstLine="0"/>
    </w:pPr>
    <w:r>
      <w:rPr>
        <w:rFonts w:ascii="Arial" w:eastAsia="Arial" w:hAnsi="Arial" w:cs="Arial"/>
        <w:sz w:val="18"/>
      </w:rPr>
      <w:t xml:space="preserve">ACT15377 – isatuximab </w:t>
    </w:r>
    <w:r>
      <w:rPr>
        <w:rFonts w:ascii="Arial" w:eastAsia="Arial" w:hAnsi="Arial" w:cs="Arial"/>
        <w:sz w:val="18"/>
      </w:rPr>
      <w:tab/>
      <w:t>Version number: 1</w:t>
    </w:r>
    <w:r>
      <w:rPr>
        <w:rFonts w:ascii="Arial" w:eastAsia="Arial" w:hAnsi="Arial" w:cs="Arial"/>
        <w:color w:val="0070C0"/>
        <w:sz w:val="18"/>
      </w:rPr>
      <w:t xml:space="preserve"> </w:t>
    </w:r>
  </w:p>
  <w:p w14:paraId="239240A6" w14:textId="77777777" w:rsidR="000B3C5C" w:rsidRDefault="00ED192D">
    <w:pPr>
      <w:spacing w:after="0" w:line="259" w:lineRule="auto"/>
      <w:ind w:left="0" w:firstLine="0"/>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B1D6E"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6524E1CC" w14:textId="77777777" w:rsidR="000B3C5C" w:rsidRDefault="00ED192D">
    <w:pPr>
      <w:tabs>
        <w:tab w:val="center" w:pos="5256"/>
      </w:tabs>
      <w:spacing w:after="44" w:line="259" w:lineRule="auto"/>
      <w:ind w:left="0" w:firstLine="0"/>
    </w:pPr>
    <w:r>
      <w:rPr>
        <w:rFonts w:ascii="Arial" w:eastAsia="Arial" w:hAnsi="Arial" w:cs="Arial"/>
        <w:sz w:val="18"/>
      </w:rPr>
      <w:t xml:space="preserve">ACT15377 – </w:t>
    </w:r>
    <w:r>
      <w:rPr>
        <w:rFonts w:ascii="Arial" w:eastAsia="Arial" w:hAnsi="Arial" w:cs="Arial"/>
        <w:sz w:val="18"/>
      </w:rPr>
      <w:t xml:space="preserve">isatuximab </w:t>
    </w:r>
    <w:r>
      <w:rPr>
        <w:rFonts w:ascii="Arial" w:eastAsia="Arial" w:hAnsi="Arial" w:cs="Arial"/>
        <w:sz w:val="18"/>
      </w:rPr>
      <w:tab/>
      <w:t>Version number: 1</w:t>
    </w:r>
    <w:r>
      <w:rPr>
        <w:rFonts w:ascii="Arial" w:eastAsia="Arial" w:hAnsi="Arial" w:cs="Arial"/>
        <w:color w:val="0070C0"/>
        <w:sz w:val="18"/>
      </w:rPr>
      <w:t xml:space="preserve"> </w:t>
    </w:r>
  </w:p>
  <w:p w14:paraId="52F72AF8" w14:textId="77777777" w:rsidR="000B3C5C" w:rsidRDefault="00ED192D">
    <w:pPr>
      <w:spacing w:after="0" w:line="259" w:lineRule="auto"/>
      <w:ind w:left="0" w:firstLine="0"/>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26071"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7CAABC25" w14:textId="77777777" w:rsidR="000B3C5C" w:rsidRDefault="00ED192D">
    <w:pPr>
      <w:tabs>
        <w:tab w:val="center" w:pos="5256"/>
      </w:tabs>
      <w:spacing w:after="44" w:line="259" w:lineRule="auto"/>
      <w:ind w:left="0" w:firstLine="0"/>
    </w:pPr>
    <w:r>
      <w:rPr>
        <w:rFonts w:ascii="Arial" w:eastAsia="Arial" w:hAnsi="Arial" w:cs="Arial"/>
        <w:sz w:val="18"/>
      </w:rPr>
      <w:t xml:space="preserve">ACT15377 – isatuximab </w:t>
    </w:r>
    <w:r>
      <w:rPr>
        <w:rFonts w:ascii="Arial" w:eastAsia="Arial" w:hAnsi="Arial" w:cs="Arial"/>
        <w:sz w:val="18"/>
      </w:rPr>
      <w:tab/>
      <w:t>Version number: 1</w:t>
    </w:r>
    <w:r>
      <w:rPr>
        <w:rFonts w:ascii="Arial" w:eastAsia="Arial" w:hAnsi="Arial" w:cs="Arial"/>
        <w:color w:val="0070C0"/>
        <w:sz w:val="18"/>
      </w:rPr>
      <w:t xml:space="preserve"> </w:t>
    </w:r>
  </w:p>
  <w:p w14:paraId="3D00C344" w14:textId="77777777" w:rsidR="000B3C5C" w:rsidRDefault="00ED192D">
    <w:pPr>
      <w:spacing w:after="0" w:line="259" w:lineRule="auto"/>
      <w:ind w:left="0" w:firstLine="0"/>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00C09"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15DA8C90" w14:textId="77777777" w:rsidR="000B3C5C" w:rsidRDefault="00ED192D">
    <w:pPr>
      <w:tabs>
        <w:tab w:val="center" w:pos="5256"/>
      </w:tabs>
      <w:spacing w:after="44" w:line="259" w:lineRule="auto"/>
      <w:ind w:left="0" w:firstLine="0"/>
    </w:pPr>
    <w:r>
      <w:rPr>
        <w:rFonts w:ascii="Arial" w:eastAsia="Arial" w:hAnsi="Arial" w:cs="Arial"/>
        <w:sz w:val="18"/>
      </w:rPr>
      <w:t xml:space="preserve">ACT15377 – isatuximab </w:t>
    </w:r>
    <w:r>
      <w:rPr>
        <w:rFonts w:ascii="Arial" w:eastAsia="Arial" w:hAnsi="Arial" w:cs="Arial"/>
        <w:sz w:val="18"/>
      </w:rPr>
      <w:tab/>
      <w:t>Version number: 1</w:t>
    </w:r>
    <w:r>
      <w:rPr>
        <w:rFonts w:ascii="Arial" w:eastAsia="Arial" w:hAnsi="Arial" w:cs="Arial"/>
        <w:color w:val="0070C0"/>
        <w:sz w:val="18"/>
      </w:rPr>
      <w:t xml:space="preserve"> </w:t>
    </w:r>
  </w:p>
  <w:p w14:paraId="7C4F3B3D" w14:textId="77777777" w:rsidR="000B3C5C" w:rsidRDefault="00ED192D">
    <w:pPr>
      <w:spacing w:after="0" w:line="259" w:lineRule="auto"/>
      <w:ind w:left="0" w:firstLine="0"/>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66D57" w14:textId="77777777" w:rsidR="000B3C5C" w:rsidRDefault="000B3C5C">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08809"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466F85E7" w14:textId="77777777" w:rsidR="000B3C5C" w:rsidRDefault="00ED192D">
    <w:pPr>
      <w:tabs>
        <w:tab w:val="center" w:pos="5256"/>
      </w:tabs>
      <w:spacing w:after="44" w:line="259" w:lineRule="auto"/>
      <w:ind w:left="0" w:firstLine="0"/>
    </w:pPr>
    <w:r>
      <w:rPr>
        <w:rFonts w:ascii="Arial" w:eastAsia="Arial" w:hAnsi="Arial" w:cs="Arial"/>
        <w:sz w:val="18"/>
      </w:rPr>
      <w:t xml:space="preserve">ACT15377 – isatuximab </w:t>
    </w:r>
    <w:r>
      <w:rPr>
        <w:rFonts w:ascii="Arial" w:eastAsia="Arial" w:hAnsi="Arial" w:cs="Arial"/>
        <w:sz w:val="18"/>
      </w:rPr>
      <w:tab/>
      <w:t>Version number: 1</w:t>
    </w:r>
    <w:r>
      <w:rPr>
        <w:rFonts w:ascii="Arial" w:eastAsia="Arial" w:hAnsi="Arial" w:cs="Arial"/>
        <w:color w:val="0070C0"/>
        <w:sz w:val="18"/>
      </w:rPr>
      <w:t xml:space="preserve"> </w:t>
    </w:r>
  </w:p>
  <w:p w14:paraId="3F70D772" w14:textId="77777777" w:rsidR="000B3C5C" w:rsidRDefault="00ED192D">
    <w:pPr>
      <w:spacing w:after="0" w:line="259" w:lineRule="auto"/>
      <w:ind w:left="0" w:firstLine="0"/>
    </w:pP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2F20F"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04FD1B92" w14:textId="77777777" w:rsidR="000B3C5C" w:rsidRDefault="00ED192D">
    <w:pPr>
      <w:tabs>
        <w:tab w:val="center" w:pos="5256"/>
      </w:tabs>
      <w:spacing w:after="44" w:line="259" w:lineRule="auto"/>
      <w:ind w:left="0" w:firstLine="0"/>
    </w:pPr>
    <w:r>
      <w:rPr>
        <w:rFonts w:ascii="Arial" w:eastAsia="Arial" w:hAnsi="Arial" w:cs="Arial"/>
        <w:sz w:val="18"/>
      </w:rPr>
      <w:t xml:space="preserve">ACT15377 – isatuximab </w:t>
    </w:r>
    <w:r>
      <w:rPr>
        <w:rFonts w:ascii="Arial" w:eastAsia="Arial" w:hAnsi="Arial" w:cs="Arial"/>
        <w:sz w:val="18"/>
      </w:rPr>
      <w:tab/>
      <w:t>Version number: 1</w:t>
    </w:r>
    <w:r>
      <w:rPr>
        <w:rFonts w:ascii="Arial" w:eastAsia="Arial" w:hAnsi="Arial" w:cs="Arial"/>
        <w:color w:val="0070C0"/>
        <w:sz w:val="18"/>
      </w:rPr>
      <w:t xml:space="preserve"> </w:t>
    </w:r>
  </w:p>
  <w:p w14:paraId="7D1755B9" w14:textId="77777777" w:rsidR="000B3C5C" w:rsidRDefault="00ED192D">
    <w:pPr>
      <w:spacing w:after="0" w:line="259" w:lineRule="auto"/>
      <w:ind w:left="0" w:firstLine="0"/>
    </w:pP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21FAF"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71864B05" w14:textId="77777777" w:rsidR="000B3C5C" w:rsidRDefault="00ED192D">
    <w:pPr>
      <w:tabs>
        <w:tab w:val="center" w:pos="5256"/>
      </w:tabs>
      <w:spacing w:after="44" w:line="259" w:lineRule="auto"/>
      <w:ind w:left="0" w:firstLine="0"/>
    </w:pPr>
    <w:r>
      <w:rPr>
        <w:rFonts w:ascii="Arial" w:eastAsia="Arial" w:hAnsi="Arial" w:cs="Arial"/>
        <w:sz w:val="18"/>
      </w:rPr>
      <w:t xml:space="preserve">ACT15377 – isatuximab </w:t>
    </w:r>
    <w:r>
      <w:rPr>
        <w:rFonts w:ascii="Arial" w:eastAsia="Arial" w:hAnsi="Arial" w:cs="Arial"/>
        <w:sz w:val="18"/>
      </w:rPr>
      <w:tab/>
      <w:t>Version number: 1</w:t>
    </w:r>
    <w:r>
      <w:rPr>
        <w:rFonts w:ascii="Arial" w:eastAsia="Arial" w:hAnsi="Arial" w:cs="Arial"/>
        <w:color w:val="0070C0"/>
        <w:sz w:val="18"/>
      </w:rPr>
      <w:t xml:space="preserve"> </w:t>
    </w:r>
  </w:p>
  <w:p w14:paraId="47F905D6" w14:textId="77777777" w:rsidR="000B3C5C" w:rsidRDefault="00ED192D">
    <w:pPr>
      <w:spacing w:after="0" w:line="259" w:lineRule="auto"/>
      <w:ind w:left="0" w:firstLine="0"/>
    </w:pPr>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7811F"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3C514DCA" w14:textId="77777777" w:rsidR="000B3C5C" w:rsidRDefault="00ED192D">
    <w:pPr>
      <w:tabs>
        <w:tab w:val="center" w:pos="5256"/>
      </w:tabs>
      <w:spacing w:after="44" w:line="259" w:lineRule="auto"/>
      <w:ind w:left="0" w:firstLine="0"/>
    </w:pPr>
    <w:r>
      <w:rPr>
        <w:rFonts w:ascii="Arial" w:eastAsia="Arial" w:hAnsi="Arial" w:cs="Arial"/>
        <w:sz w:val="18"/>
      </w:rPr>
      <w:t xml:space="preserve">ACT15377 – isatuximab </w:t>
    </w:r>
    <w:r>
      <w:rPr>
        <w:rFonts w:ascii="Arial" w:eastAsia="Arial" w:hAnsi="Arial" w:cs="Arial"/>
        <w:sz w:val="18"/>
      </w:rPr>
      <w:tab/>
      <w:t>Version number: 1</w:t>
    </w:r>
    <w:r>
      <w:rPr>
        <w:rFonts w:ascii="Arial" w:eastAsia="Arial" w:hAnsi="Arial" w:cs="Arial"/>
        <w:color w:val="0070C0"/>
        <w:sz w:val="18"/>
      </w:rPr>
      <w:t xml:space="preserve"> </w:t>
    </w:r>
  </w:p>
  <w:p w14:paraId="16221BD2" w14:textId="77777777" w:rsidR="000B3C5C" w:rsidRDefault="00ED192D">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66B57" w14:textId="77777777" w:rsidR="000B3C5C" w:rsidRDefault="00ED192D">
    <w:pPr>
      <w:tabs>
        <w:tab w:val="center" w:pos="5044"/>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6A10C30B" w14:textId="77777777" w:rsidR="000B3C5C" w:rsidRDefault="00ED192D">
    <w:pPr>
      <w:tabs>
        <w:tab w:val="center" w:pos="5259"/>
      </w:tabs>
      <w:spacing w:after="0" w:line="259" w:lineRule="auto"/>
      <w:ind w:left="0" w:firstLine="0"/>
    </w:pPr>
    <w:r>
      <w:rPr>
        <w:rFonts w:ascii="Arial" w:eastAsia="Arial" w:hAnsi="Arial" w:cs="Arial"/>
        <w:sz w:val="18"/>
      </w:rPr>
      <w:t xml:space="preserve">ACT15377- isatuximab </w:t>
    </w:r>
    <w:r>
      <w:rPr>
        <w:rFonts w:ascii="Arial" w:eastAsia="Arial" w:hAnsi="Arial" w:cs="Arial"/>
        <w:sz w:val="18"/>
      </w:rPr>
      <w:tab/>
      <w:t>Version number: 1</w:t>
    </w:r>
    <w:r>
      <w:rPr>
        <w:rFonts w:ascii="Arial" w:eastAsia="Arial" w:hAnsi="Arial" w:cs="Arial"/>
        <w:color w:val="0070C0"/>
        <w:sz w:val="18"/>
      </w:rPr>
      <w:t xml:space="preserve"> </w:t>
    </w:r>
  </w:p>
  <w:p w14:paraId="2017600E" w14:textId="77777777" w:rsidR="000B3C5C" w:rsidRDefault="00ED192D">
    <w:pPr>
      <w:spacing w:after="0" w:line="259" w:lineRule="auto"/>
      <w:ind w:left="2" w:firstLine="0"/>
    </w:pPr>
    <w:r>
      <w:rPr>
        <w:rFonts w:ascii="Arial" w:eastAsia="Arial" w:hAnsi="Arial" w:cs="Arial"/>
        <w:sz w:val="18"/>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68161"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290E4673" w14:textId="77777777" w:rsidR="000B3C5C" w:rsidRDefault="00ED192D">
    <w:pPr>
      <w:tabs>
        <w:tab w:val="center" w:pos="5256"/>
      </w:tabs>
      <w:spacing w:after="44" w:line="259" w:lineRule="auto"/>
      <w:ind w:left="0" w:firstLine="0"/>
    </w:pPr>
    <w:r>
      <w:rPr>
        <w:rFonts w:ascii="Arial" w:eastAsia="Arial" w:hAnsi="Arial" w:cs="Arial"/>
        <w:sz w:val="18"/>
      </w:rPr>
      <w:t xml:space="preserve">ACT15377 – isatuximab </w:t>
    </w:r>
    <w:r>
      <w:rPr>
        <w:rFonts w:ascii="Arial" w:eastAsia="Arial" w:hAnsi="Arial" w:cs="Arial"/>
        <w:sz w:val="18"/>
      </w:rPr>
      <w:tab/>
      <w:t>Version number: 1</w:t>
    </w:r>
    <w:r>
      <w:rPr>
        <w:rFonts w:ascii="Arial" w:eastAsia="Arial" w:hAnsi="Arial" w:cs="Arial"/>
        <w:color w:val="0070C0"/>
        <w:sz w:val="18"/>
      </w:rPr>
      <w:t xml:space="preserve"> </w:t>
    </w:r>
  </w:p>
  <w:p w14:paraId="23B165F2" w14:textId="77777777" w:rsidR="000B3C5C" w:rsidRDefault="00ED192D">
    <w:pPr>
      <w:spacing w:after="0" w:line="259" w:lineRule="auto"/>
      <w:ind w:left="0" w:firstLine="0"/>
    </w:pPr>
    <w: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DD8B4" w14:textId="77777777" w:rsidR="000B3C5C" w:rsidRDefault="000B3C5C">
    <w:pPr>
      <w:spacing w:after="160" w:line="259" w:lineRule="auto"/>
      <w:ind w:left="0"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3F16D" w14:textId="77777777" w:rsidR="000B3C5C" w:rsidRDefault="000B3C5C">
    <w:pPr>
      <w:spacing w:after="160" w:line="259" w:lineRule="auto"/>
      <w:ind w:left="0" w:firstLine="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8D7E0" w14:textId="77777777" w:rsidR="000B3C5C" w:rsidRDefault="000B3C5C">
    <w:pPr>
      <w:spacing w:after="160" w:line="259" w:lineRule="auto"/>
      <w:ind w:lef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C2340" w14:textId="77777777" w:rsidR="000B3C5C" w:rsidRDefault="000B3C5C">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55A25" w14:textId="77777777" w:rsidR="000B3C5C" w:rsidRDefault="000B3C5C">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C2B52"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06A6D1B1" w14:textId="77777777" w:rsidR="000B3C5C" w:rsidRDefault="00ED192D">
    <w:pPr>
      <w:tabs>
        <w:tab w:val="center" w:pos="5257"/>
      </w:tabs>
      <w:spacing w:after="0" w:line="259" w:lineRule="auto"/>
      <w:ind w:left="0" w:firstLine="0"/>
    </w:pPr>
    <w:r>
      <w:rPr>
        <w:rFonts w:ascii="Arial" w:eastAsia="Arial" w:hAnsi="Arial" w:cs="Arial"/>
        <w:sz w:val="18"/>
      </w:rPr>
      <w:t xml:space="preserve">ACT15377- isatuximab </w:t>
    </w:r>
    <w:r>
      <w:rPr>
        <w:rFonts w:ascii="Arial" w:eastAsia="Arial" w:hAnsi="Arial" w:cs="Arial"/>
        <w:sz w:val="18"/>
      </w:rPr>
      <w:tab/>
    </w:r>
    <w:r>
      <w:rPr>
        <w:rFonts w:ascii="Arial" w:eastAsia="Arial" w:hAnsi="Arial" w:cs="Arial"/>
        <w:sz w:val="18"/>
      </w:rPr>
      <w:t>Version number: 1</w:t>
    </w:r>
    <w:r>
      <w:rPr>
        <w:rFonts w:ascii="Arial" w:eastAsia="Arial" w:hAnsi="Arial" w:cs="Arial"/>
        <w:color w:val="0070C0"/>
        <w:sz w:val="18"/>
      </w:rPr>
      <w:t xml:space="preserve"> </w:t>
    </w:r>
  </w:p>
  <w:p w14:paraId="48C7322A" w14:textId="77777777" w:rsidR="000B3C5C" w:rsidRDefault="00ED192D">
    <w:pPr>
      <w:spacing w:after="0" w:line="259" w:lineRule="auto"/>
      <w:ind w:left="0" w:firstLine="0"/>
    </w:pPr>
    <w:r>
      <w:rPr>
        <w:rFonts w:ascii="Arial" w:eastAsia="Arial" w:hAnsi="Arial" w:cs="Arial"/>
        <w:sz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AC980"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17B1144F" w14:textId="77777777" w:rsidR="000B3C5C" w:rsidRDefault="00ED192D">
    <w:pPr>
      <w:tabs>
        <w:tab w:val="center" w:pos="5257"/>
      </w:tabs>
      <w:spacing w:after="0" w:line="259" w:lineRule="auto"/>
      <w:ind w:left="0" w:firstLine="0"/>
    </w:pPr>
    <w:r>
      <w:rPr>
        <w:rFonts w:ascii="Arial" w:eastAsia="Arial" w:hAnsi="Arial" w:cs="Arial"/>
        <w:sz w:val="18"/>
      </w:rPr>
      <w:t xml:space="preserve">ACT15377- isatuximab </w:t>
    </w:r>
    <w:r>
      <w:rPr>
        <w:rFonts w:ascii="Arial" w:eastAsia="Arial" w:hAnsi="Arial" w:cs="Arial"/>
        <w:sz w:val="18"/>
      </w:rPr>
      <w:tab/>
      <w:t>Version number: 1</w:t>
    </w:r>
    <w:r>
      <w:rPr>
        <w:rFonts w:ascii="Arial" w:eastAsia="Arial" w:hAnsi="Arial" w:cs="Arial"/>
        <w:color w:val="0070C0"/>
        <w:sz w:val="18"/>
      </w:rPr>
      <w:t xml:space="preserve"> </w:t>
    </w:r>
  </w:p>
  <w:p w14:paraId="7F64E83F" w14:textId="77777777" w:rsidR="000B3C5C" w:rsidRDefault="00ED192D">
    <w:pPr>
      <w:spacing w:after="0" w:line="259" w:lineRule="auto"/>
      <w:ind w:left="0" w:firstLine="0"/>
    </w:pPr>
    <w:r>
      <w:rPr>
        <w:rFonts w:ascii="Arial" w:eastAsia="Arial" w:hAnsi="Arial" w:cs="Arial"/>
        <w:sz w:val="1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3C85E" w14:textId="77777777" w:rsidR="000B3C5C" w:rsidRDefault="00ED192D">
    <w:pPr>
      <w:tabs>
        <w:tab w:val="center" w:pos="5042"/>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7E3AAE16" w14:textId="77777777" w:rsidR="000B3C5C" w:rsidRDefault="00ED192D">
    <w:pPr>
      <w:tabs>
        <w:tab w:val="center" w:pos="5257"/>
      </w:tabs>
      <w:spacing w:after="0" w:line="259" w:lineRule="auto"/>
      <w:ind w:left="0" w:firstLine="0"/>
    </w:pPr>
    <w:r>
      <w:rPr>
        <w:rFonts w:ascii="Arial" w:eastAsia="Arial" w:hAnsi="Arial" w:cs="Arial"/>
        <w:sz w:val="18"/>
      </w:rPr>
      <w:t xml:space="preserve">ACT15377- isatuximab </w:t>
    </w:r>
    <w:r>
      <w:rPr>
        <w:rFonts w:ascii="Arial" w:eastAsia="Arial" w:hAnsi="Arial" w:cs="Arial"/>
        <w:sz w:val="18"/>
      </w:rPr>
      <w:tab/>
      <w:t>Version number: 1</w:t>
    </w:r>
    <w:r>
      <w:rPr>
        <w:rFonts w:ascii="Arial" w:eastAsia="Arial" w:hAnsi="Arial" w:cs="Arial"/>
        <w:color w:val="0070C0"/>
        <w:sz w:val="18"/>
      </w:rPr>
      <w:t xml:space="preserve"> </w:t>
    </w:r>
  </w:p>
  <w:p w14:paraId="2C35906F" w14:textId="77777777" w:rsidR="000B3C5C" w:rsidRDefault="00ED192D">
    <w:pPr>
      <w:spacing w:after="0" w:line="259" w:lineRule="auto"/>
      <w:ind w:left="0" w:firstLine="0"/>
    </w:pPr>
    <w:r>
      <w:rPr>
        <w:rFonts w:ascii="Arial" w:eastAsia="Arial" w:hAnsi="Arial" w:cs="Arial"/>
        <w:sz w:val="1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4CBE2" w14:textId="77777777" w:rsidR="000B3C5C" w:rsidRDefault="00ED192D">
    <w:pPr>
      <w:tabs>
        <w:tab w:val="center" w:pos="7437"/>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180E5BAB" w14:textId="77777777" w:rsidR="000B3C5C" w:rsidRDefault="00ED192D">
    <w:pPr>
      <w:tabs>
        <w:tab w:val="center" w:pos="7652"/>
      </w:tabs>
      <w:spacing w:after="0" w:line="259" w:lineRule="auto"/>
      <w:ind w:left="0" w:firstLine="0"/>
    </w:pPr>
    <w:r>
      <w:rPr>
        <w:rFonts w:ascii="Arial" w:eastAsia="Arial" w:hAnsi="Arial" w:cs="Arial"/>
        <w:sz w:val="18"/>
      </w:rPr>
      <w:t xml:space="preserve">ACT15377- isatuximab </w:t>
    </w:r>
    <w:r>
      <w:rPr>
        <w:rFonts w:ascii="Arial" w:eastAsia="Arial" w:hAnsi="Arial" w:cs="Arial"/>
        <w:sz w:val="18"/>
      </w:rPr>
      <w:tab/>
      <w:t>Version number:</w:t>
    </w:r>
    <w:r>
      <w:rPr>
        <w:rFonts w:ascii="Arial" w:eastAsia="Arial" w:hAnsi="Arial" w:cs="Arial"/>
        <w:color w:val="0070C0"/>
        <w:sz w:val="18"/>
      </w:rPr>
      <w:t xml:space="preserve"> </w:t>
    </w:r>
    <w:r>
      <w:rPr>
        <w:rFonts w:ascii="Arial" w:eastAsia="Arial" w:hAnsi="Arial" w:cs="Arial"/>
        <w:sz w:val="18"/>
      </w:rPr>
      <w:t>1</w:t>
    </w:r>
    <w:r>
      <w:rPr>
        <w:rFonts w:ascii="Arial" w:eastAsia="Arial" w:hAnsi="Arial" w:cs="Arial"/>
        <w:color w:val="0070C0"/>
        <w:sz w:val="18"/>
      </w:rPr>
      <w:t xml:space="preserve"> </w:t>
    </w:r>
  </w:p>
  <w:p w14:paraId="79DF7C4B" w14:textId="77777777" w:rsidR="000B3C5C" w:rsidRDefault="00ED192D">
    <w:pPr>
      <w:spacing w:after="0" w:line="259" w:lineRule="auto"/>
      <w:ind w:left="0" w:firstLine="0"/>
    </w:pPr>
    <w:r>
      <w:rPr>
        <w:rFonts w:ascii="Arial" w:eastAsia="Arial" w:hAnsi="Arial" w:cs="Arial"/>
        <w:sz w:val="1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2CC93" w14:textId="77777777" w:rsidR="000B3C5C" w:rsidRDefault="00ED192D">
    <w:pPr>
      <w:tabs>
        <w:tab w:val="center" w:pos="7437"/>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17EF0603" w14:textId="77777777" w:rsidR="000B3C5C" w:rsidRDefault="00ED192D">
    <w:pPr>
      <w:tabs>
        <w:tab w:val="center" w:pos="7652"/>
      </w:tabs>
      <w:spacing w:after="0" w:line="259" w:lineRule="auto"/>
      <w:ind w:left="0" w:firstLine="0"/>
    </w:pPr>
    <w:r>
      <w:rPr>
        <w:rFonts w:ascii="Arial" w:eastAsia="Arial" w:hAnsi="Arial" w:cs="Arial"/>
        <w:sz w:val="18"/>
      </w:rPr>
      <w:t xml:space="preserve">ACT15377- isatuximab </w:t>
    </w:r>
    <w:r>
      <w:rPr>
        <w:rFonts w:ascii="Arial" w:eastAsia="Arial" w:hAnsi="Arial" w:cs="Arial"/>
        <w:sz w:val="18"/>
      </w:rPr>
      <w:tab/>
      <w:t>Version number:</w:t>
    </w:r>
    <w:r>
      <w:rPr>
        <w:rFonts w:ascii="Arial" w:eastAsia="Arial" w:hAnsi="Arial" w:cs="Arial"/>
        <w:color w:val="0070C0"/>
        <w:sz w:val="18"/>
      </w:rPr>
      <w:t xml:space="preserve"> </w:t>
    </w:r>
    <w:r>
      <w:rPr>
        <w:rFonts w:ascii="Arial" w:eastAsia="Arial" w:hAnsi="Arial" w:cs="Arial"/>
        <w:sz w:val="18"/>
      </w:rPr>
      <w:t>1</w:t>
    </w:r>
    <w:r>
      <w:rPr>
        <w:rFonts w:ascii="Arial" w:eastAsia="Arial" w:hAnsi="Arial" w:cs="Arial"/>
        <w:color w:val="0070C0"/>
        <w:sz w:val="18"/>
      </w:rPr>
      <w:t xml:space="preserve"> </w:t>
    </w:r>
  </w:p>
  <w:p w14:paraId="47C65610" w14:textId="77777777" w:rsidR="000B3C5C" w:rsidRDefault="00ED192D">
    <w:pPr>
      <w:spacing w:after="0" w:line="259" w:lineRule="auto"/>
      <w:ind w:left="0" w:firstLine="0"/>
    </w:pPr>
    <w:r>
      <w:rPr>
        <w:rFonts w:ascii="Arial" w:eastAsia="Arial" w:hAnsi="Arial" w:cs="Arial"/>
        <w:sz w:val="1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DFD70" w14:textId="77777777" w:rsidR="000B3C5C" w:rsidRDefault="00ED192D">
    <w:pPr>
      <w:tabs>
        <w:tab w:val="center" w:pos="7437"/>
      </w:tabs>
      <w:spacing w:after="7" w:line="259" w:lineRule="auto"/>
      <w:ind w:left="0" w:firstLine="0"/>
    </w:pPr>
    <w:r>
      <w:rPr>
        <w:rFonts w:ascii="Arial" w:eastAsia="Arial" w:hAnsi="Arial" w:cs="Arial"/>
        <w:sz w:val="18"/>
      </w:rPr>
      <w:t xml:space="preserve">Amended Clinical Trial Protocol 05 </w:t>
    </w:r>
    <w:r>
      <w:rPr>
        <w:rFonts w:ascii="Arial" w:eastAsia="Arial" w:hAnsi="Arial" w:cs="Arial"/>
        <w:sz w:val="18"/>
      </w:rPr>
      <w:tab/>
      <w:t xml:space="preserve">23-Nov-2020 </w:t>
    </w:r>
  </w:p>
  <w:p w14:paraId="3E50A886" w14:textId="77777777" w:rsidR="000B3C5C" w:rsidRDefault="00ED192D">
    <w:pPr>
      <w:tabs>
        <w:tab w:val="center" w:pos="7652"/>
      </w:tabs>
      <w:spacing w:after="0" w:line="259" w:lineRule="auto"/>
      <w:ind w:left="0" w:firstLine="0"/>
    </w:pPr>
    <w:r>
      <w:rPr>
        <w:rFonts w:ascii="Arial" w:eastAsia="Arial" w:hAnsi="Arial" w:cs="Arial"/>
        <w:sz w:val="18"/>
      </w:rPr>
      <w:t xml:space="preserve">ACT15377- isatuximab </w:t>
    </w:r>
    <w:r>
      <w:rPr>
        <w:rFonts w:ascii="Arial" w:eastAsia="Arial" w:hAnsi="Arial" w:cs="Arial"/>
        <w:sz w:val="18"/>
      </w:rPr>
      <w:tab/>
      <w:t>Version number:</w:t>
    </w:r>
    <w:r>
      <w:rPr>
        <w:rFonts w:ascii="Arial" w:eastAsia="Arial" w:hAnsi="Arial" w:cs="Arial"/>
        <w:color w:val="0070C0"/>
        <w:sz w:val="18"/>
      </w:rPr>
      <w:t xml:space="preserve"> </w:t>
    </w:r>
    <w:r>
      <w:rPr>
        <w:rFonts w:ascii="Arial" w:eastAsia="Arial" w:hAnsi="Arial" w:cs="Arial"/>
        <w:sz w:val="18"/>
      </w:rPr>
      <w:t>1</w:t>
    </w:r>
    <w:r>
      <w:rPr>
        <w:rFonts w:ascii="Arial" w:eastAsia="Arial" w:hAnsi="Arial" w:cs="Arial"/>
        <w:color w:val="0070C0"/>
        <w:sz w:val="18"/>
      </w:rPr>
      <w:t xml:space="preserve"> </w:t>
    </w:r>
  </w:p>
  <w:p w14:paraId="375DF9AB" w14:textId="77777777" w:rsidR="000B3C5C" w:rsidRDefault="00ED192D">
    <w:pPr>
      <w:spacing w:after="0" w:line="259" w:lineRule="auto"/>
      <w:ind w:left="0" w:firstLine="0"/>
    </w:pPr>
    <w:r>
      <w:rPr>
        <w:rFonts w:ascii="Arial" w:eastAsia="Arial" w:hAnsi="Arial" w:cs="Arial"/>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C4300"/>
    <w:multiLevelType w:val="hybridMultilevel"/>
    <w:tmpl w:val="49BCFE7E"/>
    <w:lvl w:ilvl="0" w:tplc="B3D0A3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92E9B2">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10FCAE">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18EA4A">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AADBA8">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66369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089C2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DAB72A">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FE3DE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60690E"/>
    <w:multiLevelType w:val="hybridMultilevel"/>
    <w:tmpl w:val="FAEE39A0"/>
    <w:lvl w:ilvl="0" w:tplc="F96C59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1E8BC2">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542D5C">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5A13D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30328C">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56F8B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7AD3E6">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9CB2D8">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7889A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85A8A"/>
    <w:multiLevelType w:val="hybridMultilevel"/>
    <w:tmpl w:val="5B3EF266"/>
    <w:lvl w:ilvl="0" w:tplc="F640B5D2">
      <w:start w:val="1"/>
      <w:numFmt w:val="bullet"/>
      <w:lvlText w:val="-"/>
      <w:lvlJc w:val="left"/>
      <w:pPr>
        <w:ind w:left="1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068600">
      <w:start w:val="1"/>
      <w:numFmt w:val="bullet"/>
      <w:lvlText w:val="o"/>
      <w:lvlJc w:val="left"/>
      <w:pPr>
        <w:ind w:left="1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AA18A">
      <w:start w:val="1"/>
      <w:numFmt w:val="bullet"/>
      <w:lvlText w:val="▪"/>
      <w:lvlJc w:val="left"/>
      <w:pPr>
        <w:ind w:left="2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DCEF5A">
      <w:start w:val="1"/>
      <w:numFmt w:val="bullet"/>
      <w:lvlText w:val="•"/>
      <w:lvlJc w:val="left"/>
      <w:pPr>
        <w:ind w:left="3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400548">
      <w:start w:val="1"/>
      <w:numFmt w:val="bullet"/>
      <w:lvlText w:val="o"/>
      <w:lvlJc w:val="left"/>
      <w:pPr>
        <w:ind w:left="4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ACA8FE">
      <w:start w:val="1"/>
      <w:numFmt w:val="bullet"/>
      <w:lvlText w:val="▪"/>
      <w:lvlJc w:val="left"/>
      <w:pPr>
        <w:ind w:left="4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DCC7D0">
      <w:start w:val="1"/>
      <w:numFmt w:val="bullet"/>
      <w:lvlText w:val="•"/>
      <w:lvlJc w:val="left"/>
      <w:pPr>
        <w:ind w:left="5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0624FC">
      <w:start w:val="1"/>
      <w:numFmt w:val="bullet"/>
      <w:lvlText w:val="o"/>
      <w:lvlJc w:val="left"/>
      <w:pPr>
        <w:ind w:left="6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EEA074">
      <w:start w:val="1"/>
      <w:numFmt w:val="bullet"/>
      <w:lvlText w:val="▪"/>
      <w:lvlJc w:val="left"/>
      <w:pPr>
        <w:ind w:left="7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9975B3"/>
    <w:multiLevelType w:val="hybridMultilevel"/>
    <w:tmpl w:val="61BA8578"/>
    <w:lvl w:ilvl="0" w:tplc="BAF266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96FF6C">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1EA41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5EF53A">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3AC05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96D76A">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7C22F4">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B48794">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406462">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D70642"/>
    <w:multiLevelType w:val="hybridMultilevel"/>
    <w:tmpl w:val="7C147FE2"/>
    <w:lvl w:ilvl="0" w:tplc="83AE0E90">
      <w:start w:val="1"/>
      <w:numFmt w:val="bullet"/>
      <w:lvlText w:val="•"/>
      <w:lvlJc w:val="left"/>
      <w:pPr>
        <w:ind w:left="720"/>
      </w:pPr>
      <w:rPr>
        <w:rFonts w:ascii="Arial" w:eastAsia="Arial" w:hAnsi="Arial" w:cs="Arial"/>
        <w:b w:val="0"/>
        <w:i w:val="0"/>
        <w:strike/>
        <w:dstrike w:val="0"/>
        <w:color w:val="000000"/>
        <w:sz w:val="24"/>
        <w:szCs w:val="24"/>
        <w:u w:val="none" w:color="000000"/>
        <w:bdr w:val="none" w:sz="0" w:space="0" w:color="auto"/>
        <w:shd w:val="clear" w:color="auto" w:fill="auto"/>
        <w:vertAlign w:val="baseline"/>
      </w:rPr>
    </w:lvl>
    <w:lvl w:ilvl="1" w:tplc="314A5588">
      <w:start w:val="1"/>
      <w:numFmt w:val="bullet"/>
      <w:lvlText w:val="o"/>
      <w:lvlJc w:val="left"/>
      <w:pPr>
        <w:ind w:left="1442"/>
      </w:pPr>
      <w:rPr>
        <w:rFonts w:ascii="Segoe UI Symbol" w:eastAsia="Segoe UI Symbol" w:hAnsi="Segoe UI Symbol" w:cs="Segoe UI Symbol"/>
        <w:b w:val="0"/>
        <w:i w:val="0"/>
        <w:strike/>
        <w:dstrike w:val="0"/>
        <w:color w:val="000000"/>
        <w:sz w:val="24"/>
        <w:szCs w:val="24"/>
        <w:u w:val="none" w:color="000000"/>
        <w:bdr w:val="none" w:sz="0" w:space="0" w:color="auto"/>
        <w:shd w:val="clear" w:color="auto" w:fill="auto"/>
        <w:vertAlign w:val="baseline"/>
      </w:rPr>
    </w:lvl>
    <w:lvl w:ilvl="2" w:tplc="B38EEE06">
      <w:start w:val="1"/>
      <w:numFmt w:val="bullet"/>
      <w:lvlText w:val="▪"/>
      <w:lvlJc w:val="left"/>
      <w:pPr>
        <w:ind w:left="2162"/>
      </w:pPr>
      <w:rPr>
        <w:rFonts w:ascii="Segoe UI Symbol" w:eastAsia="Segoe UI Symbol" w:hAnsi="Segoe UI Symbol" w:cs="Segoe UI Symbol"/>
        <w:b w:val="0"/>
        <w:i w:val="0"/>
        <w:strike/>
        <w:dstrike w:val="0"/>
        <w:color w:val="000000"/>
        <w:sz w:val="24"/>
        <w:szCs w:val="24"/>
        <w:u w:val="none" w:color="000000"/>
        <w:bdr w:val="none" w:sz="0" w:space="0" w:color="auto"/>
        <w:shd w:val="clear" w:color="auto" w:fill="auto"/>
        <w:vertAlign w:val="baseline"/>
      </w:rPr>
    </w:lvl>
    <w:lvl w:ilvl="3" w:tplc="259EA73E">
      <w:start w:val="1"/>
      <w:numFmt w:val="bullet"/>
      <w:lvlText w:val="•"/>
      <w:lvlJc w:val="left"/>
      <w:pPr>
        <w:ind w:left="2882"/>
      </w:pPr>
      <w:rPr>
        <w:rFonts w:ascii="Arial" w:eastAsia="Arial" w:hAnsi="Arial" w:cs="Arial"/>
        <w:b w:val="0"/>
        <w:i w:val="0"/>
        <w:strike/>
        <w:dstrike w:val="0"/>
        <w:color w:val="000000"/>
        <w:sz w:val="24"/>
        <w:szCs w:val="24"/>
        <w:u w:val="none" w:color="000000"/>
        <w:bdr w:val="none" w:sz="0" w:space="0" w:color="auto"/>
        <w:shd w:val="clear" w:color="auto" w:fill="auto"/>
        <w:vertAlign w:val="baseline"/>
      </w:rPr>
    </w:lvl>
    <w:lvl w:ilvl="4" w:tplc="61CA2232">
      <w:start w:val="1"/>
      <w:numFmt w:val="bullet"/>
      <w:lvlText w:val="o"/>
      <w:lvlJc w:val="left"/>
      <w:pPr>
        <w:ind w:left="3602"/>
      </w:pPr>
      <w:rPr>
        <w:rFonts w:ascii="Segoe UI Symbol" w:eastAsia="Segoe UI Symbol" w:hAnsi="Segoe UI Symbol" w:cs="Segoe UI Symbol"/>
        <w:b w:val="0"/>
        <w:i w:val="0"/>
        <w:strike/>
        <w:dstrike w:val="0"/>
        <w:color w:val="000000"/>
        <w:sz w:val="24"/>
        <w:szCs w:val="24"/>
        <w:u w:val="none" w:color="000000"/>
        <w:bdr w:val="none" w:sz="0" w:space="0" w:color="auto"/>
        <w:shd w:val="clear" w:color="auto" w:fill="auto"/>
        <w:vertAlign w:val="baseline"/>
      </w:rPr>
    </w:lvl>
    <w:lvl w:ilvl="5" w:tplc="374014EE">
      <w:start w:val="1"/>
      <w:numFmt w:val="bullet"/>
      <w:lvlText w:val="▪"/>
      <w:lvlJc w:val="left"/>
      <w:pPr>
        <w:ind w:left="4322"/>
      </w:pPr>
      <w:rPr>
        <w:rFonts w:ascii="Segoe UI Symbol" w:eastAsia="Segoe UI Symbol" w:hAnsi="Segoe UI Symbol" w:cs="Segoe UI Symbol"/>
        <w:b w:val="0"/>
        <w:i w:val="0"/>
        <w:strike/>
        <w:dstrike w:val="0"/>
        <w:color w:val="000000"/>
        <w:sz w:val="24"/>
        <w:szCs w:val="24"/>
        <w:u w:val="none" w:color="000000"/>
        <w:bdr w:val="none" w:sz="0" w:space="0" w:color="auto"/>
        <w:shd w:val="clear" w:color="auto" w:fill="auto"/>
        <w:vertAlign w:val="baseline"/>
      </w:rPr>
    </w:lvl>
    <w:lvl w:ilvl="6" w:tplc="59C8BA30">
      <w:start w:val="1"/>
      <w:numFmt w:val="bullet"/>
      <w:lvlText w:val="•"/>
      <w:lvlJc w:val="left"/>
      <w:pPr>
        <w:ind w:left="5042"/>
      </w:pPr>
      <w:rPr>
        <w:rFonts w:ascii="Arial" w:eastAsia="Arial" w:hAnsi="Arial" w:cs="Arial"/>
        <w:b w:val="0"/>
        <w:i w:val="0"/>
        <w:strike/>
        <w:dstrike w:val="0"/>
        <w:color w:val="000000"/>
        <w:sz w:val="24"/>
        <w:szCs w:val="24"/>
        <w:u w:val="none" w:color="000000"/>
        <w:bdr w:val="none" w:sz="0" w:space="0" w:color="auto"/>
        <w:shd w:val="clear" w:color="auto" w:fill="auto"/>
        <w:vertAlign w:val="baseline"/>
      </w:rPr>
    </w:lvl>
    <w:lvl w:ilvl="7" w:tplc="48CE8F0C">
      <w:start w:val="1"/>
      <w:numFmt w:val="bullet"/>
      <w:lvlText w:val="o"/>
      <w:lvlJc w:val="left"/>
      <w:pPr>
        <w:ind w:left="5762"/>
      </w:pPr>
      <w:rPr>
        <w:rFonts w:ascii="Segoe UI Symbol" w:eastAsia="Segoe UI Symbol" w:hAnsi="Segoe UI Symbol" w:cs="Segoe UI Symbol"/>
        <w:b w:val="0"/>
        <w:i w:val="0"/>
        <w:strike/>
        <w:dstrike w:val="0"/>
        <w:color w:val="000000"/>
        <w:sz w:val="24"/>
        <w:szCs w:val="24"/>
        <w:u w:val="none" w:color="000000"/>
        <w:bdr w:val="none" w:sz="0" w:space="0" w:color="auto"/>
        <w:shd w:val="clear" w:color="auto" w:fill="auto"/>
        <w:vertAlign w:val="baseline"/>
      </w:rPr>
    </w:lvl>
    <w:lvl w:ilvl="8" w:tplc="2A92690C">
      <w:start w:val="1"/>
      <w:numFmt w:val="bullet"/>
      <w:lvlText w:val="▪"/>
      <w:lvlJc w:val="left"/>
      <w:pPr>
        <w:ind w:left="6482"/>
      </w:pPr>
      <w:rPr>
        <w:rFonts w:ascii="Segoe UI Symbol" w:eastAsia="Segoe UI Symbol" w:hAnsi="Segoe UI Symbol" w:cs="Segoe UI Symbol"/>
        <w:b w:val="0"/>
        <w:i w:val="0"/>
        <w:strike/>
        <w:dstrike w:val="0"/>
        <w:color w:val="000000"/>
        <w:sz w:val="24"/>
        <w:szCs w:val="24"/>
        <w:u w:val="none" w:color="000000"/>
        <w:bdr w:val="none" w:sz="0" w:space="0" w:color="auto"/>
        <w:shd w:val="clear" w:color="auto" w:fill="auto"/>
        <w:vertAlign w:val="baseline"/>
      </w:rPr>
    </w:lvl>
  </w:abstractNum>
  <w:abstractNum w:abstractNumId="5" w15:restartNumberingAfterBreak="0">
    <w:nsid w:val="0B3635AE"/>
    <w:multiLevelType w:val="hybridMultilevel"/>
    <w:tmpl w:val="30F6AC98"/>
    <w:lvl w:ilvl="0" w:tplc="EB3E55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3EA3E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5E9818">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6ED90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E68FAE">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063D1E">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30033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D8AC44">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0C745A">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B376FD3"/>
    <w:multiLevelType w:val="hybridMultilevel"/>
    <w:tmpl w:val="8736AD80"/>
    <w:lvl w:ilvl="0" w:tplc="AE186AEE">
      <w:start w:val="1"/>
      <w:numFmt w:val="upperLetter"/>
      <w:lvlText w:val="%1)"/>
      <w:lvlJc w:val="left"/>
      <w:pPr>
        <w:ind w:left="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BC952A">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E83726">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40C5C6">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CA224A">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1658EC">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34C282">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64094A">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B43D28">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302D63"/>
    <w:multiLevelType w:val="hybridMultilevel"/>
    <w:tmpl w:val="C8363264"/>
    <w:lvl w:ilvl="0" w:tplc="922631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405F0A">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90C91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5A25D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0AD076">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181738">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F8A1A8">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D2C0EC">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B64C1E">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D9F5142"/>
    <w:multiLevelType w:val="hybridMultilevel"/>
    <w:tmpl w:val="43D23596"/>
    <w:lvl w:ilvl="0" w:tplc="402A1B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1AE2EA">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8C6B7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AE539E">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EACCB0">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C8EB88">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9AB76C">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CC3026">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E40690">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016EE0"/>
    <w:multiLevelType w:val="hybridMultilevel"/>
    <w:tmpl w:val="A426DD0A"/>
    <w:lvl w:ilvl="0" w:tplc="4A782F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74DD1E">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94703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84FC48">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86AC00">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666C46">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CEB4B8">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527D3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582A3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F0D1947"/>
    <w:multiLevelType w:val="multilevel"/>
    <w:tmpl w:val="F9A86612"/>
    <w:lvl w:ilvl="0">
      <w:start w:val="8"/>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3"/>
      <w:numFmt w:val="decimal"/>
      <w:lvlText w:val="%1.%2"/>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decimal"/>
      <w:lvlRestart w:val="0"/>
      <w:lvlText w:val="%1.%2.%3"/>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11" w15:restartNumberingAfterBreak="0">
    <w:nsid w:val="0F240A33"/>
    <w:multiLevelType w:val="hybridMultilevel"/>
    <w:tmpl w:val="D680AE8C"/>
    <w:lvl w:ilvl="0" w:tplc="D2605B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D64D70">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56938E">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B646C8">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F612B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C85DA2">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78C5C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383D0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14C71E">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F875A53"/>
    <w:multiLevelType w:val="hybridMultilevel"/>
    <w:tmpl w:val="C63EEE76"/>
    <w:lvl w:ilvl="0" w:tplc="E1422438">
      <w:start w:val="1"/>
      <w:numFmt w:val="lowerRoman"/>
      <w:lvlText w:val="(%1)"/>
      <w:lvlJc w:val="left"/>
      <w:pPr>
        <w:ind w:left="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E78A36E0">
      <w:start w:val="1"/>
      <w:numFmt w:val="lowerLetter"/>
      <w:lvlText w:val="%2"/>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9BC2E170">
      <w:start w:val="1"/>
      <w:numFmt w:val="lowerRoman"/>
      <w:lvlText w:val="%3"/>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2DC67D4E">
      <w:start w:val="1"/>
      <w:numFmt w:val="decimal"/>
      <w:lvlText w:val="%4"/>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B70AB062">
      <w:start w:val="1"/>
      <w:numFmt w:val="lowerLetter"/>
      <w:lvlText w:val="%5"/>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1E0051BA">
      <w:start w:val="1"/>
      <w:numFmt w:val="lowerRoman"/>
      <w:lvlText w:val="%6"/>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A2F4F952">
      <w:start w:val="1"/>
      <w:numFmt w:val="decimal"/>
      <w:lvlText w:val="%7"/>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8924BBB2">
      <w:start w:val="1"/>
      <w:numFmt w:val="lowerLetter"/>
      <w:lvlText w:val="%8"/>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1A080F06">
      <w:start w:val="1"/>
      <w:numFmt w:val="lowerRoman"/>
      <w:lvlText w:val="%9"/>
      <w:lvlJc w:val="left"/>
      <w:pPr>
        <w:ind w:left="61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1BE68FA"/>
    <w:multiLevelType w:val="multilevel"/>
    <w:tmpl w:val="24B82250"/>
    <w:lvl w:ilvl="0">
      <w:start w:val="8"/>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5"/>
      <w:numFmt w:val="decimal"/>
      <w:lvlText w:val="%1.%2"/>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decimal"/>
      <w:lvlRestart w:val="0"/>
      <w:lvlText w:val="%1.%2.%3"/>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14" w15:restartNumberingAfterBreak="0">
    <w:nsid w:val="13B402C7"/>
    <w:multiLevelType w:val="hybridMultilevel"/>
    <w:tmpl w:val="8C82DE1A"/>
    <w:lvl w:ilvl="0" w:tplc="04487E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94CA6A">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18277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3C401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769F5A">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423F3A">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601468">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AE7336">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1C4CDE">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4E833A6"/>
    <w:multiLevelType w:val="hybridMultilevel"/>
    <w:tmpl w:val="688669DA"/>
    <w:lvl w:ilvl="0" w:tplc="6358C0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B2A992">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BA88E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82FC68">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C08996">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D66FE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CE5E08">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0A16EC">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08E452">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5187989"/>
    <w:multiLevelType w:val="hybridMultilevel"/>
    <w:tmpl w:val="9460D242"/>
    <w:lvl w:ilvl="0" w:tplc="A68023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9C0CF6">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C411E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2C1FD4">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ACEB4A">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24D45C">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C25D22">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045C18">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8E43FC">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5B90B4B"/>
    <w:multiLevelType w:val="multilevel"/>
    <w:tmpl w:val="C97886C2"/>
    <w:lvl w:ilvl="0">
      <w:start w:val="9"/>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4"/>
      <w:numFmt w:val="decimal"/>
      <w:lvlText w:val="%1.%2"/>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decimal"/>
      <w:lvlRestart w:val="0"/>
      <w:lvlText w:val="%1.%2.%3"/>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18" w15:restartNumberingAfterBreak="0">
    <w:nsid w:val="164B7D35"/>
    <w:multiLevelType w:val="hybridMultilevel"/>
    <w:tmpl w:val="7E5C1424"/>
    <w:lvl w:ilvl="0" w:tplc="F7D085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C6139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52350C">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7E476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4AE9C8">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A08D08">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147A72">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FC2B3A">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0623F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6A27178"/>
    <w:multiLevelType w:val="hybridMultilevel"/>
    <w:tmpl w:val="96CCA7E4"/>
    <w:lvl w:ilvl="0" w:tplc="4C12D5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2654D0">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1895B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9EB7BE">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2E19BC">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3AFE9C">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62A17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C8DF06">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3835B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B0B2221"/>
    <w:multiLevelType w:val="multilevel"/>
    <w:tmpl w:val="245E9A1C"/>
    <w:lvl w:ilvl="0">
      <w:start w:val="10"/>
      <w:numFmt w:val="decimal"/>
      <w:lvlText w:val="%1"/>
      <w:lvlJc w:val="left"/>
      <w:pPr>
        <w:ind w:left="852"/>
      </w:pPr>
      <w:rPr>
        <w:rFonts w:ascii="Arial" w:eastAsia="Arial" w:hAnsi="Arial" w:cs="Arial"/>
        <w:b/>
        <w:bCs/>
        <w:i w:val="0"/>
        <w:strike w:val="0"/>
        <w:dstrike w:val="0"/>
        <w:color w:val="0000FF"/>
        <w:sz w:val="20"/>
        <w:szCs w:val="20"/>
        <w:u w:val="none" w:color="000000"/>
        <w:bdr w:val="none" w:sz="0" w:space="0" w:color="auto"/>
        <w:shd w:val="clear" w:color="auto" w:fill="auto"/>
        <w:vertAlign w:val="baseline"/>
      </w:rPr>
    </w:lvl>
    <w:lvl w:ilvl="1">
      <w:start w:val="1"/>
      <w:numFmt w:val="decimal"/>
      <w:lvlText w:val="%1.%2"/>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decimal"/>
      <w:lvlText w:val="%1.%2.%3"/>
      <w:lvlJc w:val="left"/>
      <w:pPr>
        <w:ind w:left="229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21" w15:restartNumberingAfterBreak="0">
    <w:nsid w:val="1C0B1AC0"/>
    <w:multiLevelType w:val="hybridMultilevel"/>
    <w:tmpl w:val="BFB4D608"/>
    <w:lvl w:ilvl="0" w:tplc="809EB93A">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0AE874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1242B3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6640E8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3C0A4B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5BA929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B48C63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02ADE6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430000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CA471D5"/>
    <w:multiLevelType w:val="hybridMultilevel"/>
    <w:tmpl w:val="A3465614"/>
    <w:lvl w:ilvl="0" w:tplc="8DB00636">
      <w:start w:val="1"/>
      <w:numFmt w:val="decimal"/>
      <w:lvlText w:val="%1."/>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569C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5670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7CCD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A248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4007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C841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38D5F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CA32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D933908"/>
    <w:multiLevelType w:val="hybridMultilevel"/>
    <w:tmpl w:val="5F164972"/>
    <w:lvl w:ilvl="0" w:tplc="ED743F7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DE33EA">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C25FBE">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22F380">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B4D2B2">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E84266">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5A4DD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EEA39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EA6B1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E0B4FAD"/>
    <w:multiLevelType w:val="hybridMultilevel"/>
    <w:tmpl w:val="D5941208"/>
    <w:lvl w:ilvl="0" w:tplc="39EC81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D8E36A">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C2BC9A">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0A13B8">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0AC46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7AC95E">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428D1C">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327C66">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E63CE2">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1E734958"/>
    <w:multiLevelType w:val="hybridMultilevel"/>
    <w:tmpl w:val="0CC09764"/>
    <w:lvl w:ilvl="0" w:tplc="73BC8C7A">
      <w:start w:val="9"/>
      <w:numFmt w:val="lowerLetter"/>
      <w:lvlText w:val="%1"/>
      <w:lvlJc w:val="left"/>
      <w:pPr>
        <w:ind w:left="245"/>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tplc="887A2048">
      <w:start w:val="1"/>
      <w:numFmt w:val="lowerLetter"/>
      <w:lvlText w:val="%2"/>
      <w:lvlJc w:val="left"/>
      <w:pPr>
        <w:ind w:left="10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tplc="C24EB6C8">
      <w:start w:val="1"/>
      <w:numFmt w:val="lowerRoman"/>
      <w:lvlText w:val="%3"/>
      <w:lvlJc w:val="left"/>
      <w:pPr>
        <w:ind w:left="18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tplc="B8C27F2C">
      <w:start w:val="1"/>
      <w:numFmt w:val="decimal"/>
      <w:lvlText w:val="%4"/>
      <w:lvlJc w:val="left"/>
      <w:pPr>
        <w:ind w:left="25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tplc="26D64038">
      <w:start w:val="1"/>
      <w:numFmt w:val="lowerLetter"/>
      <w:lvlText w:val="%5"/>
      <w:lvlJc w:val="left"/>
      <w:pPr>
        <w:ind w:left="32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tplc="2250AF7E">
      <w:start w:val="1"/>
      <w:numFmt w:val="lowerRoman"/>
      <w:lvlText w:val="%6"/>
      <w:lvlJc w:val="left"/>
      <w:pPr>
        <w:ind w:left="39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tplc="0D6E87A0">
      <w:start w:val="1"/>
      <w:numFmt w:val="decimal"/>
      <w:lvlText w:val="%7"/>
      <w:lvlJc w:val="left"/>
      <w:pPr>
        <w:ind w:left="4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tplc="948C4A78">
      <w:start w:val="1"/>
      <w:numFmt w:val="lowerLetter"/>
      <w:lvlText w:val="%8"/>
      <w:lvlJc w:val="left"/>
      <w:pPr>
        <w:ind w:left="54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tplc="4DFC2EB4">
      <w:start w:val="1"/>
      <w:numFmt w:val="lowerRoman"/>
      <w:lvlText w:val="%9"/>
      <w:lvlJc w:val="left"/>
      <w:pPr>
        <w:ind w:left="61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1EA97BD5"/>
    <w:multiLevelType w:val="hybridMultilevel"/>
    <w:tmpl w:val="DF404604"/>
    <w:lvl w:ilvl="0" w:tplc="610C93C8">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4ED1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DA43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C0BC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92EB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4687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EEC3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72C0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F0A1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F6C1EDD"/>
    <w:multiLevelType w:val="hybridMultilevel"/>
    <w:tmpl w:val="791A45D2"/>
    <w:lvl w:ilvl="0" w:tplc="1B1AF3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52A166">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761D1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90948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9E693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346C4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DC0B8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CE120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FA4C9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2D04CF3"/>
    <w:multiLevelType w:val="hybridMultilevel"/>
    <w:tmpl w:val="AB2E83D0"/>
    <w:lvl w:ilvl="0" w:tplc="572A37EE">
      <w:start w:val="1"/>
      <w:numFmt w:val="bullet"/>
      <w:lvlText w:val="-"/>
      <w:lvlJc w:val="left"/>
      <w:pPr>
        <w:ind w:left="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0401A12">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012DB76">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48A2CAC">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574DB16">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7F2784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7EE4918">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AAC0FC6">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364E0DA">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24EE7103"/>
    <w:multiLevelType w:val="hybridMultilevel"/>
    <w:tmpl w:val="C5A86B04"/>
    <w:lvl w:ilvl="0" w:tplc="EF90F7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6C98A6">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C6AEEA">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3AC6CE">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52B700">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5E0824">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7C3252">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1A47F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F47E9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57C35B0"/>
    <w:multiLevelType w:val="hybridMultilevel"/>
    <w:tmpl w:val="DD12ADB6"/>
    <w:lvl w:ilvl="0" w:tplc="A71A1274">
      <w:start w:val="1"/>
      <w:numFmt w:val="lowerLetter"/>
      <w:lvlText w:val="%1"/>
      <w:lvlJc w:val="left"/>
      <w:pPr>
        <w:ind w:left="245"/>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tplc="6ED43D68">
      <w:start w:val="1"/>
      <w:numFmt w:val="lowerLetter"/>
      <w:lvlText w:val="%2"/>
      <w:lvlJc w:val="left"/>
      <w:pPr>
        <w:ind w:left="10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tplc="3EE0ABC2">
      <w:start w:val="1"/>
      <w:numFmt w:val="lowerRoman"/>
      <w:lvlText w:val="%3"/>
      <w:lvlJc w:val="left"/>
      <w:pPr>
        <w:ind w:left="18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tplc="CE647108">
      <w:start w:val="1"/>
      <w:numFmt w:val="decimal"/>
      <w:lvlText w:val="%4"/>
      <w:lvlJc w:val="left"/>
      <w:pPr>
        <w:ind w:left="25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tplc="A8BE16A8">
      <w:start w:val="1"/>
      <w:numFmt w:val="lowerLetter"/>
      <w:lvlText w:val="%5"/>
      <w:lvlJc w:val="left"/>
      <w:pPr>
        <w:ind w:left="32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tplc="68D2B726">
      <w:start w:val="1"/>
      <w:numFmt w:val="lowerRoman"/>
      <w:lvlText w:val="%6"/>
      <w:lvlJc w:val="left"/>
      <w:pPr>
        <w:ind w:left="39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tplc="9E7C8740">
      <w:start w:val="1"/>
      <w:numFmt w:val="decimal"/>
      <w:lvlText w:val="%7"/>
      <w:lvlJc w:val="left"/>
      <w:pPr>
        <w:ind w:left="4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tplc="23F61E48">
      <w:start w:val="1"/>
      <w:numFmt w:val="lowerLetter"/>
      <w:lvlText w:val="%8"/>
      <w:lvlJc w:val="left"/>
      <w:pPr>
        <w:ind w:left="54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tplc="36688CF2">
      <w:start w:val="1"/>
      <w:numFmt w:val="lowerRoman"/>
      <w:lvlText w:val="%9"/>
      <w:lvlJc w:val="left"/>
      <w:pPr>
        <w:ind w:left="61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271F1432"/>
    <w:multiLevelType w:val="hybridMultilevel"/>
    <w:tmpl w:val="D5720B80"/>
    <w:lvl w:ilvl="0" w:tplc="6BFC27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1C1072">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C4F49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0C470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2A44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926B8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9E01B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EACF7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C6064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7396201"/>
    <w:multiLevelType w:val="hybridMultilevel"/>
    <w:tmpl w:val="1B2A7D58"/>
    <w:lvl w:ilvl="0" w:tplc="09FE9F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E6FFD2">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B61780">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2061A0">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345C1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C4679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1C62A2">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22371C">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BC2CA2">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29E60F74"/>
    <w:multiLevelType w:val="hybridMultilevel"/>
    <w:tmpl w:val="F0546A24"/>
    <w:lvl w:ilvl="0" w:tplc="61A8C4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0A12A6">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F8AFC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C2ABE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102C26">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C01A9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529516">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2A26E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0A86C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2D1F408A"/>
    <w:multiLevelType w:val="hybridMultilevel"/>
    <w:tmpl w:val="477E2D80"/>
    <w:lvl w:ilvl="0" w:tplc="FA46E88A">
      <w:start w:val="1"/>
      <w:numFmt w:val="decimal"/>
      <w:lvlText w:val="%1."/>
      <w:lvlJc w:val="left"/>
      <w:pPr>
        <w:ind w:left="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2E7436">
      <w:start w:val="1"/>
      <w:numFmt w:val="lowerLetter"/>
      <w:lvlText w:val="%2"/>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A0575A">
      <w:start w:val="1"/>
      <w:numFmt w:val="lowerRoman"/>
      <w:lvlText w:val="%3"/>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008E10">
      <w:start w:val="1"/>
      <w:numFmt w:val="decimal"/>
      <w:lvlText w:val="%4"/>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EE5832">
      <w:start w:val="1"/>
      <w:numFmt w:val="lowerLetter"/>
      <w:lvlText w:val="%5"/>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5E9576">
      <w:start w:val="1"/>
      <w:numFmt w:val="lowerRoman"/>
      <w:lvlText w:val="%6"/>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2228D6">
      <w:start w:val="1"/>
      <w:numFmt w:val="decimal"/>
      <w:lvlText w:val="%7"/>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A8A248">
      <w:start w:val="1"/>
      <w:numFmt w:val="lowerLetter"/>
      <w:lvlText w:val="%8"/>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320CBA">
      <w:start w:val="1"/>
      <w:numFmt w:val="lowerRoman"/>
      <w:lvlText w:val="%9"/>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DB52B7F"/>
    <w:multiLevelType w:val="hybridMultilevel"/>
    <w:tmpl w:val="A8787DEA"/>
    <w:lvl w:ilvl="0" w:tplc="F1AE5C4E">
      <w:start w:val="1"/>
      <w:numFmt w:val="bullet"/>
      <w:lvlText w:val="•"/>
      <w:lvlJc w:val="left"/>
      <w:pPr>
        <w:ind w:left="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CE0E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3A07E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CACBA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42D7B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2242B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C095E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4CFDE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2C9E6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E202AE3"/>
    <w:multiLevelType w:val="multilevel"/>
    <w:tmpl w:val="28C0993A"/>
    <w:lvl w:ilvl="0">
      <w:start w:val="9"/>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
      <w:numFmt w:val="decimal"/>
      <w:lvlRestart w:val="0"/>
      <w:lvlText w:val="%1.%2"/>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37" w15:restartNumberingAfterBreak="0">
    <w:nsid w:val="2E287C2B"/>
    <w:multiLevelType w:val="hybridMultilevel"/>
    <w:tmpl w:val="B2EA7290"/>
    <w:lvl w:ilvl="0" w:tplc="8FF657DE">
      <w:start w:val="1"/>
      <w:numFmt w:val="bullet"/>
      <w:lvlText w:val="•"/>
      <w:lvlJc w:val="left"/>
      <w:pPr>
        <w:ind w:left="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C85F9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CEE21C">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4836D6">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50AED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AA858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247448">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E0CDEC">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7C61AA">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305F7A51"/>
    <w:multiLevelType w:val="hybridMultilevel"/>
    <w:tmpl w:val="B120AF92"/>
    <w:lvl w:ilvl="0" w:tplc="0D3C0F18">
      <w:start w:val="1"/>
      <w:numFmt w:val="upperLetter"/>
      <w:lvlText w:val="%1)"/>
      <w:lvlJc w:val="left"/>
      <w:pPr>
        <w:ind w:left="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E22B0C">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96ADD4">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DCB28E">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A61FE4">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B23CD4">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18EF0C">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0ACC28">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465C22">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325C21F6"/>
    <w:multiLevelType w:val="hybridMultilevel"/>
    <w:tmpl w:val="FF62080C"/>
    <w:lvl w:ilvl="0" w:tplc="113EC2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B04AD0">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F0587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A67AD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78740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16AB7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4CA1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AC0AE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8AE57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32663D86"/>
    <w:multiLevelType w:val="multilevel"/>
    <w:tmpl w:val="18FCDBFA"/>
    <w:lvl w:ilvl="0">
      <w:start w:val="8"/>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
      <w:numFmt w:val="decimal"/>
      <w:lvlRestart w:val="0"/>
      <w:lvlText w:val="%1.%2"/>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41" w15:restartNumberingAfterBreak="0">
    <w:nsid w:val="32F517CB"/>
    <w:multiLevelType w:val="hybridMultilevel"/>
    <w:tmpl w:val="E1BC8098"/>
    <w:lvl w:ilvl="0" w:tplc="E0001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185B1A">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821E44">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561188">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A02D66">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08C966">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2E1BEC">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7ECEA0">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5A01D8">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33115B5A"/>
    <w:multiLevelType w:val="hybridMultilevel"/>
    <w:tmpl w:val="861C5AA6"/>
    <w:lvl w:ilvl="0" w:tplc="FB28DB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B4CC7C">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90197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F0EF46">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909032">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E63CDA">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CAEB2C">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CE6F68">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E636A8">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3354670D"/>
    <w:multiLevelType w:val="hybridMultilevel"/>
    <w:tmpl w:val="53DEF2D0"/>
    <w:lvl w:ilvl="0" w:tplc="D2EC48AE">
      <w:start w:val="1"/>
      <w:numFmt w:val="lowerLetter"/>
      <w:lvlText w:val="%1"/>
      <w:lvlJc w:val="left"/>
      <w:pPr>
        <w:ind w:left="245"/>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tplc="921A586E">
      <w:start w:val="1"/>
      <w:numFmt w:val="lowerLetter"/>
      <w:lvlText w:val="%2"/>
      <w:lvlJc w:val="left"/>
      <w:pPr>
        <w:ind w:left="10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tplc="D7626EDA">
      <w:start w:val="1"/>
      <w:numFmt w:val="lowerRoman"/>
      <w:lvlText w:val="%3"/>
      <w:lvlJc w:val="left"/>
      <w:pPr>
        <w:ind w:left="18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tplc="FE803E24">
      <w:start w:val="1"/>
      <w:numFmt w:val="decimal"/>
      <w:lvlText w:val="%4"/>
      <w:lvlJc w:val="left"/>
      <w:pPr>
        <w:ind w:left="25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tplc="5AAAB058">
      <w:start w:val="1"/>
      <w:numFmt w:val="lowerLetter"/>
      <w:lvlText w:val="%5"/>
      <w:lvlJc w:val="left"/>
      <w:pPr>
        <w:ind w:left="32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tplc="B3F2CFCE">
      <w:start w:val="1"/>
      <w:numFmt w:val="lowerRoman"/>
      <w:lvlText w:val="%6"/>
      <w:lvlJc w:val="left"/>
      <w:pPr>
        <w:ind w:left="39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tplc="AA2E4588">
      <w:start w:val="1"/>
      <w:numFmt w:val="decimal"/>
      <w:lvlText w:val="%7"/>
      <w:lvlJc w:val="left"/>
      <w:pPr>
        <w:ind w:left="4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tplc="D7C2E4BC">
      <w:start w:val="1"/>
      <w:numFmt w:val="lowerLetter"/>
      <w:lvlText w:val="%8"/>
      <w:lvlJc w:val="left"/>
      <w:pPr>
        <w:ind w:left="54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tplc="A0DA5C7A">
      <w:start w:val="1"/>
      <w:numFmt w:val="lowerRoman"/>
      <w:lvlText w:val="%9"/>
      <w:lvlJc w:val="left"/>
      <w:pPr>
        <w:ind w:left="61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44" w15:restartNumberingAfterBreak="0">
    <w:nsid w:val="34E4422A"/>
    <w:multiLevelType w:val="hybridMultilevel"/>
    <w:tmpl w:val="F028BD46"/>
    <w:lvl w:ilvl="0" w:tplc="B79C75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6E46D4">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FC40A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A6BED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7A63D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DED8B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7EA8A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F4C23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80601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36510919"/>
    <w:multiLevelType w:val="hybridMultilevel"/>
    <w:tmpl w:val="8646BD78"/>
    <w:lvl w:ilvl="0" w:tplc="21563D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10D9B0">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2A528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263FF0">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D4DF1C">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D4DC16">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06378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181C9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76FE2E">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37E51ACB"/>
    <w:multiLevelType w:val="hybridMultilevel"/>
    <w:tmpl w:val="3D08B9C4"/>
    <w:lvl w:ilvl="0" w:tplc="0E0432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70DB86">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98431E">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7676F8">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4224E0">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AA3824">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0259E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2CA65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FEC79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39ED66FF"/>
    <w:multiLevelType w:val="hybridMultilevel"/>
    <w:tmpl w:val="1C5E8902"/>
    <w:lvl w:ilvl="0" w:tplc="B81A4FC6">
      <w:start w:val="1"/>
      <w:numFmt w:val="lowerLetter"/>
      <w:lvlText w:val="%1"/>
      <w:lvlJc w:val="left"/>
      <w:pPr>
        <w:ind w:left="245"/>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tplc="CF4AD0BA">
      <w:start w:val="1"/>
      <w:numFmt w:val="lowerLetter"/>
      <w:lvlText w:val="%2"/>
      <w:lvlJc w:val="left"/>
      <w:pPr>
        <w:ind w:left="10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tplc="095C4AF2">
      <w:start w:val="1"/>
      <w:numFmt w:val="lowerRoman"/>
      <w:lvlText w:val="%3"/>
      <w:lvlJc w:val="left"/>
      <w:pPr>
        <w:ind w:left="18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tplc="96F00310">
      <w:start w:val="1"/>
      <w:numFmt w:val="decimal"/>
      <w:lvlText w:val="%4"/>
      <w:lvlJc w:val="left"/>
      <w:pPr>
        <w:ind w:left="25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tplc="FA60F6D0">
      <w:start w:val="1"/>
      <w:numFmt w:val="lowerLetter"/>
      <w:lvlText w:val="%5"/>
      <w:lvlJc w:val="left"/>
      <w:pPr>
        <w:ind w:left="32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tplc="2278D61C">
      <w:start w:val="1"/>
      <w:numFmt w:val="lowerRoman"/>
      <w:lvlText w:val="%6"/>
      <w:lvlJc w:val="left"/>
      <w:pPr>
        <w:ind w:left="39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tplc="88300D48">
      <w:start w:val="1"/>
      <w:numFmt w:val="decimal"/>
      <w:lvlText w:val="%7"/>
      <w:lvlJc w:val="left"/>
      <w:pPr>
        <w:ind w:left="4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tplc="DBBEB4BA">
      <w:start w:val="1"/>
      <w:numFmt w:val="lowerLetter"/>
      <w:lvlText w:val="%8"/>
      <w:lvlJc w:val="left"/>
      <w:pPr>
        <w:ind w:left="54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tplc="DB98DED0">
      <w:start w:val="1"/>
      <w:numFmt w:val="lowerRoman"/>
      <w:lvlText w:val="%9"/>
      <w:lvlJc w:val="left"/>
      <w:pPr>
        <w:ind w:left="61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48" w15:restartNumberingAfterBreak="0">
    <w:nsid w:val="3ACF44AA"/>
    <w:multiLevelType w:val="hybridMultilevel"/>
    <w:tmpl w:val="C972D7EA"/>
    <w:lvl w:ilvl="0" w:tplc="AD3EB5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68070A">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2E7EC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162AB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800D0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1C318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28F09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E8617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42215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3DB04D87"/>
    <w:multiLevelType w:val="hybridMultilevel"/>
    <w:tmpl w:val="073AA352"/>
    <w:lvl w:ilvl="0" w:tplc="16CCF3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58CB1E">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FE77E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92DF12">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223616">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565322">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FEB524">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CAB53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28210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3DD72A9F"/>
    <w:multiLevelType w:val="multilevel"/>
    <w:tmpl w:val="B0BE0820"/>
    <w:lvl w:ilvl="0">
      <w:start w:val="10"/>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6"/>
      <w:numFmt w:val="decimal"/>
      <w:lvlRestart w:val="0"/>
      <w:lvlText w:val="%1.%2"/>
      <w:lvlJc w:val="left"/>
      <w:pPr>
        <w:ind w:left="139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3E75472E"/>
    <w:multiLevelType w:val="hybridMultilevel"/>
    <w:tmpl w:val="00621674"/>
    <w:lvl w:ilvl="0" w:tplc="D79E4F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6CA584">
      <w:start w:val="1"/>
      <w:numFmt w:val="bullet"/>
      <w:lvlText w:val="o"/>
      <w:lvlJc w:val="left"/>
      <w:pPr>
        <w:ind w:left="18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3C1890">
      <w:start w:val="1"/>
      <w:numFmt w:val="bullet"/>
      <w:lvlText w:val="▪"/>
      <w:lvlJc w:val="left"/>
      <w:pPr>
        <w:ind w:left="25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EA4C12">
      <w:start w:val="1"/>
      <w:numFmt w:val="bullet"/>
      <w:lvlText w:val="•"/>
      <w:lvlJc w:val="left"/>
      <w:pPr>
        <w:ind w:left="32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F00010">
      <w:start w:val="1"/>
      <w:numFmt w:val="bullet"/>
      <w:lvlText w:val="o"/>
      <w:lvlJc w:val="left"/>
      <w:pPr>
        <w:ind w:left="39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8C1F3E">
      <w:start w:val="1"/>
      <w:numFmt w:val="bullet"/>
      <w:lvlText w:val="▪"/>
      <w:lvlJc w:val="left"/>
      <w:pPr>
        <w:ind w:left="46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86408A">
      <w:start w:val="1"/>
      <w:numFmt w:val="bullet"/>
      <w:lvlText w:val="•"/>
      <w:lvlJc w:val="left"/>
      <w:pPr>
        <w:ind w:left="54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9A8258">
      <w:start w:val="1"/>
      <w:numFmt w:val="bullet"/>
      <w:lvlText w:val="o"/>
      <w:lvlJc w:val="left"/>
      <w:pPr>
        <w:ind w:left="61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5C34FC">
      <w:start w:val="1"/>
      <w:numFmt w:val="bullet"/>
      <w:lvlText w:val="▪"/>
      <w:lvlJc w:val="left"/>
      <w:pPr>
        <w:ind w:left="68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3ED65365"/>
    <w:multiLevelType w:val="hybridMultilevel"/>
    <w:tmpl w:val="2CFE5CA4"/>
    <w:lvl w:ilvl="0" w:tplc="971236C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064424">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D89B74">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F07C36">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1A5A7A">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20DCA8">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BE439A">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1E5950">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3A9B68">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3EF619E1"/>
    <w:multiLevelType w:val="hybridMultilevel"/>
    <w:tmpl w:val="05CA7E0E"/>
    <w:lvl w:ilvl="0" w:tplc="83BEB440">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2E5C7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B8B03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04282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28DA2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12822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BC26F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BAF3E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0A2D3C">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41550DBC"/>
    <w:multiLevelType w:val="hybridMultilevel"/>
    <w:tmpl w:val="245682F0"/>
    <w:lvl w:ilvl="0" w:tplc="C316D90E">
      <w:start w:val="1"/>
      <w:numFmt w:val="bullet"/>
      <w:lvlText w:val="-"/>
      <w:lvlJc w:val="left"/>
      <w:pPr>
        <w:ind w:left="3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46DF62">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D2C535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91239A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9A1088">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E2E8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62C0C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0EAC0">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7E27A0">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466E31D5"/>
    <w:multiLevelType w:val="multilevel"/>
    <w:tmpl w:val="D8F4C81C"/>
    <w:lvl w:ilvl="0">
      <w:start w:val="8"/>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4"/>
      <w:numFmt w:val="decimal"/>
      <w:lvlRestart w:val="0"/>
      <w:lvlText w:val="%1.%2"/>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56" w15:restartNumberingAfterBreak="0">
    <w:nsid w:val="46ED478F"/>
    <w:multiLevelType w:val="hybridMultilevel"/>
    <w:tmpl w:val="18061A14"/>
    <w:lvl w:ilvl="0" w:tplc="E094431C">
      <w:start w:val="5"/>
      <w:numFmt w:val="lowerLetter"/>
      <w:lvlText w:val="%1"/>
      <w:lvlJc w:val="left"/>
      <w:pPr>
        <w:ind w:left="245"/>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tplc="FBA0B32E">
      <w:start w:val="1"/>
      <w:numFmt w:val="lowerLetter"/>
      <w:lvlText w:val="%2"/>
      <w:lvlJc w:val="left"/>
      <w:pPr>
        <w:ind w:left="10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tplc="A1303724">
      <w:start w:val="1"/>
      <w:numFmt w:val="lowerRoman"/>
      <w:lvlText w:val="%3"/>
      <w:lvlJc w:val="left"/>
      <w:pPr>
        <w:ind w:left="18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tplc="ECA2A018">
      <w:start w:val="1"/>
      <w:numFmt w:val="decimal"/>
      <w:lvlText w:val="%4"/>
      <w:lvlJc w:val="left"/>
      <w:pPr>
        <w:ind w:left="25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tplc="493A8816">
      <w:start w:val="1"/>
      <w:numFmt w:val="lowerLetter"/>
      <w:lvlText w:val="%5"/>
      <w:lvlJc w:val="left"/>
      <w:pPr>
        <w:ind w:left="32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tplc="4B4C0470">
      <w:start w:val="1"/>
      <w:numFmt w:val="lowerRoman"/>
      <w:lvlText w:val="%6"/>
      <w:lvlJc w:val="left"/>
      <w:pPr>
        <w:ind w:left="39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tplc="7646DF4A">
      <w:start w:val="1"/>
      <w:numFmt w:val="decimal"/>
      <w:lvlText w:val="%7"/>
      <w:lvlJc w:val="left"/>
      <w:pPr>
        <w:ind w:left="4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tplc="A20C0E58">
      <w:start w:val="1"/>
      <w:numFmt w:val="lowerLetter"/>
      <w:lvlText w:val="%8"/>
      <w:lvlJc w:val="left"/>
      <w:pPr>
        <w:ind w:left="54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tplc="C99E2CA4">
      <w:start w:val="1"/>
      <w:numFmt w:val="lowerRoman"/>
      <w:lvlText w:val="%9"/>
      <w:lvlJc w:val="left"/>
      <w:pPr>
        <w:ind w:left="61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57" w15:restartNumberingAfterBreak="0">
    <w:nsid w:val="475F3854"/>
    <w:multiLevelType w:val="hybridMultilevel"/>
    <w:tmpl w:val="6A34CCFA"/>
    <w:lvl w:ilvl="0" w:tplc="0A92C946">
      <w:start w:val="1"/>
      <w:numFmt w:val="bullet"/>
      <w:lvlText w:val="•"/>
      <w:lvlJc w:val="left"/>
      <w:pPr>
        <w:ind w:left="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38F9C2">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0E58EA">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D690D0">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EE0F3C">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7C63DC">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B28366">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EA6C08">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9823B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47653C00"/>
    <w:multiLevelType w:val="hybridMultilevel"/>
    <w:tmpl w:val="35C2A7EA"/>
    <w:lvl w:ilvl="0" w:tplc="4C3630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34A1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6C5D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8EED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AC69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FAC4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221B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3C33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1634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494F1C58"/>
    <w:multiLevelType w:val="hybridMultilevel"/>
    <w:tmpl w:val="337ECAB6"/>
    <w:lvl w:ilvl="0" w:tplc="5D0E3A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1A10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DC80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9EDA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20B5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E459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7EA6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88D4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00D0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4AC95250"/>
    <w:multiLevelType w:val="hybridMultilevel"/>
    <w:tmpl w:val="242ABE4C"/>
    <w:lvl w:ilvl="0" w:tplc="06DA15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E8EE30">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96325A">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5ED53E">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24C170">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0AEAC4">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5AFC0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78013C">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9C515C">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4B105F68"/>
    <w:multiLevelType w:val="hybridMultilevel"/>
    <w:tmpl w:val="EB3AA560"/>
    <w:lvl w:ilvl="0" w:tplc="F064B54E">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76D0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FECA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CA8E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4C1C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7CE8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01D1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1A56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56CA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4E4F5FD0"/>
    <w:multiLevelType w:val="multilevel"/>
    <w:tmpl w:val="F0EA06E2"/>
    <w:lvl w:ilvl="0">
      <w:start w:val="8"/>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decimal"/>
      <w:lvlRestart w:val="0"/>
      <w:lvlText w:val="%1.%2.%3"/>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63" w15:restartNumberingAfterBreak="0">
    <w:nsid w:val="4EF60715"/>
    <w:multiLevelType w:val="hybridMultilevel"/>
    <w:tmpl w:val="BDEEF956"/>
    <w:lvl w:ilvl="0" w:tplc="003A32D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602E82">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B4ECDE">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201418">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04708C">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5000F4">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7CDAA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F2ECEA">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BCEBFE">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51515D8A"/>
    <w:multiLevelType w:val="hybridMultilevel"/>
    <w:tmpl w:val="6E647C2C"/>
    <w:lvl w:ilvl="0" w:tplc="2A8248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F69BC0">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58CE7C">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5C6A64">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D8033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906636">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208A3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7C407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F27EFC">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51951A27"/>
    <w:multiLevelType w:val="hybridMultilevel"/>
    <w:tmpl w:val="FFB20BF2"/>
    <w:lvl w:ilvl="0" w:tplc="949476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1C84DE">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E80E40">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1C6DF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C01E9E">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208C86">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8CD122">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00ED5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7A5C62">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529E48B6"/>
    <w:multiLevelType w:val="hybridMultilevel"/>
    <w:tmpl w:val="7DF24426"/>
    <w:lvl w:ilvl="0" w:tplc="C780F9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D834D4">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461C8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2A239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B8409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82672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BC842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0434C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AE312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547F5421"/>
    <w:multiLevelType w:val="hybridMultilevel"/>
    <w:tmpl w:val="8764778C"/>
    <w:lvl w:ilvl="0" w:tplc="C9CAF926">
      <w:start w:val="1"/>
      <w:numFmt w:val="bullet"/>
      <w:lvlText w:val="•"/>
      <w:lvlJc w:val="left"/>
      <w:pPr>
        <w:ind w:left="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F6AAD6">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6AC4100">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0A80C">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DEF298">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3A46DE">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3C90D2">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74913A">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666CE8">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54A92496"/>
    <w:multiLevelType w:val="hybridMultilevel"/>
    <w:tmpl w:val="B324EB24"/>
    <w:lvl w:ilvl="0" w:tplc="6270FE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80AF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0650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16D3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4680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6076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247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D699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083F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575C1DB5"/>
    <w:multiLevelType w:val="multilevel"/>
    <w:tmpl w:val="9CDE77C0"/>
    <w:lvl w:ilvl="0">
      <w:start w:val="8"/>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6"/>
      <w:numFmt w:val="decimal"/>
      <w:lvlRestart w:val="0"/>
      <w:lvlText w:val="%1.%2"/>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70" w15:restartNumberingAfterBreak="0">
    <w:nsid w:val="597B163A"/>
    <w:multiLevelType w:val="hybridMultilevel"/>
    <w:tmpl w:val="E18E9B48"/>
    <w:lvl w:ilvl="0" w:tplc="9B384E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B8E846">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14AFC8">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BAF4E6">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ECE95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0A4A4E">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D26826">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9E56A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92B4B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5C630914"/>
    <w:multiLevelType w:val="hybridMultilevel"/>
    <w:tmpl w:val="CDBA1876"/>
    <w:lvl w:ilvl="0" w:tplc="B150E2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01D1E">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6AD420">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640300">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B2A60A">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14CDB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BC5E26">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961E8A">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4AE442">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61F07D12"/>
    <w:multiLevelType w:val="hybridMultilevel"/>
    <w:tmpl w:val="FE92E28E"/>
    <w:lvl w:ilvl="0" w:tplc="E19E0A3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1A4338">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C6F51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72260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7C5BA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F0932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488DF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A6AF0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BE184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63561A70"/>
    <w:multiLevelType w:val="hybridMultilevel"/>
    <w:tmpl w:val="E196D976"/>
    <w:lvl w:ilvl="0" w:tplc="0BE222C8">
      <w:start w:val="1"/>
      <w:numFmt w:val="lowerLetter"/>
      <w:lvlText w:val="%1"/>
      <w:lvlJc w:val="left"/>
      <w:pPr>
        <w:ind w:left="245"/>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tplc="D1C4FBF4">
      <w:start w:val="1"/>
      <w:numFmt w:val="lowerLetter"/>
      <w:lvlText w:val="%2"/>
      <w:lvlJc w:val="left"/>
      <w:pPr>
        <w:ind w:left="10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tplc="5B6482E0">
      <w:start w:val="1"/>
      <w:numFmt w:val="lowerRoman"/>
      <w:lvlText w:val="%3"/>
      <w:lvlJc w:val="left"/>
      <w:pPr>
        <w:ind w:left="18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tplc="41F4C39A">
      <w:start w:val="1"/>
      <w:numFmt w:val="decimal"/>
      <w:lvlText w:val="%4"/>
      <w:lvlJc w:val="left"/>
      <w:pPr>
        <w:ind w:left="25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tplc="7C7E77BC">
      <w:start w:val="1"/>
      <w:numFmt w:val="lowerLetter"/>
      <w:lvlText w:val="%5"/>
      <w:lvlJc w:val="left"/>
      <w:pPr>
        <w:ind w:left="32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tplc="EFF4F3A4">
      <w:start w:val="1"/>
      <w:numFmt w:val="lowerRoman"/>
      <w:lvlText w:val="%6"/>
      <w:lvlJc w:val="left"/>
      <w:pPr>
        <w:ind w:left="39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tplc="A05C874E">
      <w:start w:val="1"/>
      <w:numFmt w:val="decimal"/>
      <w:lvlText w:val="%7"/>
      <w:lvlJc w:val="left"/>
      <w:pPr>
        <w:ind w:left="4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tplc="3E0CC35A">
      <w:start w:val="1"/>
      <w:numFmt w:val="lowerLetter"/>
      <w:lvlText w:val="%8"/>
      <w:lvlJc w:val="left"/>
      <w:pPr>
        <w:ind w:left="54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tplc="C764EAB4">
      <w:start w:val="1"/>
      <w:numFmt w:val="lowerRoman"/>
      <w:lvlText w:val="%9"/>
      <w:lvlJc w:val="left"/>
      <w:pPr>
        <w:ind w:left="61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74" w15:restartNumberingAfterBreak="0">
    <w:nsid w:val="63BF4FAA"/>
    <w:multiLevelType w:val="hybridMultilevel"/>
    <w:tmpl w:val="E49CD9F0"/>
    <w:lvl w:ilvl="0" w:tplc="594AD91C">
      <w:start w:val="1"/>
      <w:numFmt w:val="lowerLetter"/>
      <w:lvlText w:val="%1"/>
      <w:lvlJc w:val="left"/>
      <w:pPr>
        <w:ind w:left="245"/>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tplc="ABAEA252">
      <w:start w:val="1"/>
      <w:numFmt w:val="lowerLetter"/>
      <w:lvlText w:val="%2"/>
      <w:lvlJc w:val="left"/>
      <w:pPr>
        <w:ind w:left="10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tplc="C6986A12">
      <w:start w:val="1"/>
      <w:numFmt w:val="lowerRoman"/>
      <w:lvlText w:val="%3"/>
      <w:lvlJc w:val="left"/>
      <w:pPr>
        <w:ind w:left="18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tplc="AEBCFAD2">
      <w:start w:val="1"/>
      <w:numFmt w:val="decimal"/>
      <w:lvlText w:val="%4"/>
      <w:lvlJc w:val="left"/>
      <w:pPr>
        <w:ind w:left="25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tplc="CCFEC626">
      <w:start w:val="1"/>
      <w:numFmt w:val="lowerLetter"/>
      <w:lvlText w:val="%5"/>
      <w:lvlJc w:val="left"/>
      <w:pPr>
        <w:ind w:left="32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tplc="2B0235F2">
      <w:start w:val="1"/>
      <w:numFmt w:val="lowerRoman"/>
      <w:lvlText w:val="%6"/>
      <w:lvlJc w:val="left"/>
      <w:pPr>
        <w:ind w:left="39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tplc="F5F208E0">
      <w:start w:val="1"/>
      <w:numFmt w:val="decimal"/>
      <w:lvlText w:val="%7"/>
      <w:lvlJc w:val="left"/>
      <w:pPr>
        <w:ind w:left="4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tplc="F1C0E8B0">
      <w:start w:val="1"/>
      <w:numFmt w:val="lowerLetter"/>
      <w:lvlText w:val="%8"/>
      <w:lvlJc w:val="left"/>
      <w:pPr>
        <w:ind w:left="54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tplc="318E89F0">
      <w:start w:val="1"/>
      <w:numFmt w:val="lowerRoman"/>
      <w:lvlText w:val="%9"/>
      <w:lvlJc w:val="left"/>
      <w:pPr>
        <w:ind w:left="61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75" w15:restartNumberingAfterBreak="0">
    <w:nsid w:val="672F3F14"/>
    <w:multiLevelType w:val="hybridMultilevel"/>
    <w:tmpl w:val="3926F11A"/>
    <w:lvl w:ilvl="0" w:tplc="1632CCB4">
      <w:start w:val="1"/>
      <w:numFmt w:val="lowerLetter"/>
      <w:lvlText w:val="%1"/>
      <w:lvlJc w:val="left"/>
      <w:pPr>
        <w:ind w:left="245"/>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tplc="C24EBA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720E54">
      <w:start w:val="1"/>
      <w:numFmt w:val="bullet"/>
      <w:lvlText w:val="▪"/>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AC96AE">
      <w:start w:val="1"/>
      <w:numFmt w:val="bullet"/>
      <w:lvlText w:val="•"/>
      <w:lvlJc w:val="left"/>
      <w:pPr>
        <w:ind w:left="2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8856F2">
      <w:start w:val="1"/>
      <w:numFmt w:val="bullet"/>
      <w:lvlText w:val="o"/>
      <w:lvlJc w:val="left"/>
      <w:pPr>
        <w:ind w:left="28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2CF14C">
      <w:start w:val="1"/>
      <w:numFmt w:val="bullet"/>
      <w:lvlText w:val="▪"/>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E2FE18">
      <w:start w:val="1"/>
      <w:numFmt w:val="bullet"/>
      <w:lvlText w:val="•"/>
      <w:lvlJc w:val="left"/>
      <w:pPr>
        <w:ind w:left="43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D8D83E">
      <w:start w:val="1"/>
      <w:numFmt w:val="bullet"/>
      <w:lvlText w:val="o"/>
      <w:lvlJc w:val="left"/>
      <w:pPr>
        <w:ind w:left="50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64BC">
      <w:start w:val="1"/>
      <w:numFmt w:val="bullet"/>
      <w:lvlText w:val="▪"/>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673B0B7C"/>
    <w:multiLevelType w:val="hybridMultilevel"/>
    <w:tmpl w:val="A1BC4A9E"/>
    <w:lvl w:ilvl="0" w:tplc="FCD62E9E">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66F92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E6882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C0797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9EED18">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E8825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F6524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DAA6E4">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36EC7A">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6B170DAD"/>
    <w:multiLevelType w:val="hybridMultilevel"/>
    <w:tmpl w:val="8B247830"/>
    <w:lvl w:ilvl="0" w:tplc="6F5CA4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6E134A">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8EF3F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E8040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A6632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5047E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42599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927B9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42DF2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6B1D0F38"/>
    <w:multiLevelType w:val="hybridMultilevel"/>
    <w:tmpl w:val="39B2CBD0"/>
    <w:lvl w:ilvl="0" w:tplc="864CB0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F67878">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A0A5B4">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E41ABA">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CCAD02">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6C20D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A2ACC4">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44A8C8">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807B00">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6BAB3ABE"/>
    <w:multiLevelType w:val="multilevel"/>
    <w:tmpl w:val="A2DEAFE4"/>
    <w:lvl w:ilvl="0">
      <w:start w:val="7"/>
      <w:numFmt w:val="decimal"/>
      <w:lvlText w:val="%1"/>
      <w:lvlJc w:val="left"/>
      <w:pPr>
        <w:ind w:left="852"/>
      </w:pPr>
      <w:rPr>
        <w:rFonts w:ascii="Arial" w:eastAsia="Arial" w:hAnsi="Arial" w:cs="Arial"/>
        <w:b/>
        <w:bCs/>
        <w:i w:val="0"/>
        <w:strike w:val="0"/>
        <w:dstrike w:val="0"/>
        <w:color w:val="0000FF"/>
        <w:sz w:val="20"/>
        <w:szCs w:val="20"/>
        <w:u w:val="none" w:color="000000"/>
        <w:bdr w:val="none" w:sz="0" w:space="0" w:color="auto"/>
        <w:shd w:val="clear" w:color="auto" w:fill="auto"/>
        <w:vertAlign w:val="baseline"/>
      </w:rPr>
    </w:lvl>
    <w:lvl w:ilvl="1">
      <w:start w:val="1"/>
      <w:numFmt w:val="decimal"/>
      <w:lvlText w:val="%1.%2"/>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80" w15:restartNumberingAfterBreak="0">
    <w:nsid w:val="6C8F7E99"/>
    <w:multiLevelType w:val="hybridMultilevel"/>
    <w:tmpl w:val="2F1CA408"/>
    <w:lvl w:ilvl="0" w:tplc="61F0A990">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A6751A">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72631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084E6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DC11A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8C748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081C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68CF2">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0AA5D6">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6C984182"/>
    <w:multiLevelType w:val="hybridMultilevel"/>
    <w:tmpl w:val="A5FC4932"/>
    <w:lvl w:ilvl="0" w:tplc="7CC41262">
      <w:start w:val="1"/>
      <w:numFmt w:val="upperLetter"/>
      <w:lvlText w:val="%1)"/>
      <w:lvlJc w:val="left"/>
      <w:pPr>
        <w:ind w:left="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1414BC">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6216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925E8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42AA5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3230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621CA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B22FE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E4A90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4571136"/>
    <w:multiLevelType w:val="hybridMultilevel"/>
    <w:tmpl w:val="F77CFFF2"/>
    <w:lvl w:ilvl="0" w:tplc="74D21E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1A4BDC">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9C6EE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62F512">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04C030">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FCDC42">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4278C8">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383C16">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F811E2">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54A6F45"/>
    <w:multiLevelType w:val="hybridMultilevel"/>
    <w:tmpl w:val="15803FA4"/>
    <w:lvl w:ilvl="0" w:tplc="09E4AD5A">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701B86">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4099F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BA619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70506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0806F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12AF7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02B07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F83DD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75D95ED7"/>
    <w:multiLevelType w:val="hybridMultilevel"/>
    <w:tmpl w:val="44945B08"/>
    <w:lvl w:ilvl="0" w:tplc="A7AAAA2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3EF942">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B0428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AEE1C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909EF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8AB0F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B8CE9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26E67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34118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77217407"/>
    <w:multiLevelType w:val="hybridMultilevel"/>
    <w:tmpl w:val="131A4700"/>
    <w:lvl w:ilvl="0" w:tplc="5288B6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2AD426">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E8B16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3EF50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8A346A">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F68A6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62D786">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C05C28">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FC0F6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96B4F9A"/>
    <w:multiLevelType w:val="hybridMultilevel"/>
    <w:tmpl w:val="F3B4DAC8"/>
    <w:lvl w:ilvl="0" w:tplc="D040A0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44347A">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66816A">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76DDC4">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E6D238">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2252FE">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501D68">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1CA3CA">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BA5086">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79BC050A"/>
    <w:multiLevelType w:val="hybridMultilevel"/>
    <w:tmpl w:val="FF02AFDA"/>
    <w:lvl w:ilvl="0" w:tplc="C56EB664">
      <w:start w:val="1"/>
      <w:numFmt w:val="bullet"/>
      <w:lvlText w:val="•"/>
      <w:lvlJc w:val="left"/>
      <w:pPr>
        <w:ind w:left="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E07E7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7E244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92050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E41ED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6EFAD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CC081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E20E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E02E6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7C6B5C0F"/>
    <w:multiLevelType w:val="multilevel"/>
    <w:tmpl w:val="D138087E"/>
    <w:lvl w:ilvl="0">
      <w:start w:val="8"/>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8"/>
      <w:numFmt w:val="decimal"/>
      <w:lvlText w:val="%1.%2"/>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
      <w:numFmt w:val="decimal"/>
      <w:lvlRestart w:val="0"/>
      <w:lvlText w:val="%1.%2.%3"/>
      <w:lvlJc w:val="left"/>
      <w:pPr>
        <w:ind w:left="1572"/>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89" w15:restartNumberingAfterBreak="0">
    <w:nsid w:val="7CCA1683"/>
    <w:multiLevelType w:val="hybridMultilevel"/>
    <w:tmpl w:val="CD7A540E"/>
    <w:lvl w:ilvl="0" w:tplc="34749C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9489EE">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E2F3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EC80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82188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BA71A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82352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82CB2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FEE30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7D4A4CCC"/>
    <w:multiLevelType w:val="hybridMultilevel"/>
    <w:tmpl w:val="EDEAE43E"/>
    <w:lvl w:ilvl="0" w:tplc="A6CEE000">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920500">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16CD4C">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A61968">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CC7872">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264408">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C42120">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0AB208">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9048EA">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7DB14593"/>
    <w:multiLevelType w:val="hybridMultilevel"/>
    <w:tmpl w:val="9E8AB744"/>
    <w:lvl w:ilvl="0" w:tplc="492C99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784B2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1CA9B8">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4E2432">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90C9DE">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B89FF4">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A47FFE">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ACC93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943A58">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7E2D510D"/>
    <w:multiLevelType w:val="hybridMultilevel"/>
    <w:tmpl w:val="54C69D34"/>
    <w:lvl w:ilvl="0" w:tplc="40D463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4CB196">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52301A">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68FB92">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FC3FAA">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EEFE54">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F269C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5436F6">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36FBCC">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90925979">
    <w:abstractNumId w:val="79"/>
  </w:num>
  <w:num w:numId="2" w16cid:durableId="794835112">
    <w:abstractNumId w:val="36"/>
  </w:num>
  <w:num w:numId="3" w16cid:durableId="1281105726">
    <w:abstractNumId w:val="55"/>
  </w:num>
  <w:num w:numId="4" w16cid:durableId="203980436">
    <w:abstractNumId w:val="88"/>
  </w:num>
  <w:num w:numId="5" w16cid:durableId="138235784">
    <w:abstractNumId w:val="62"/>
  </w:num>
  <w:num w:numId="6" w16cid:durableId="1996255106">
    <w:abstractNumId w:val="40"/>
  </w:num>
  <w:num w:numId="7" w16cid:durableId="945424116">
    <w:abstractNumId w:val="10"/>
  </w:num>
  <w:num w:numId="8" w16cid:durableId="1244411888">
    <w:abstractNumId w:val="13"/>
  </w:num>
  <w:num w:numId="9" w16cid:durableId="1372421885">
    <w:abstractNumId w:val="69"/>
  </w:num>
  <w:num w:numId="10" w16cid:durableId="459035707">
    <w:abstractNumId w:val="17"/>
  </w:num>
  <w:num w:numId="11" w16cid:durableId="1700740543">
    <w:abstractNumId w:val="20"/>
  </w:num>
  <w:num w:numId="12" w16cid:durableId="227738239">
    <w:abstractNumId w:val="67"/>
  </w:num>
  <w:num w:numId="13" w16cid:durableId="553582628">
    <w:abstractNumId w:val="3"/>
  </w:num>
  <w:num w:numId="14" w16cid:durableId="1778479523">
    <w:abstractNumId w:val="48"/>
  </w:num>
  <w:num w:numId="15" w16cid:durableId="1601058647">
    <w:abstractNumId w:val="83"/>
  </w:num>
  <w:num w:numId="16" w16cid:durableId="482240139">
    <w:abstractNumId w:val="56"/>
  </w:num>
  <w:num w:numId="17" w16cid:durableId="321933925">
    <w:abstractNumId w:val="25"/>
  </w:num>
  <w:num w:numId="18" w16cid:durableId="512837756">
    <w:abstractNumId w:val="38"/>
  </w:num>
  <w:num w:numId="19" w16cid:durableId="2047875939">
    <w:abstractNumId w:val="6"/>
  </w:num>
  <w:num w:numId="20" w16cid:durableId="2131701517">
    <w:abstractNumId w:val="49"/>
  </w:num>
  <w:num w:numId="21" w16cid:durableId="993994093">
    <w:abstractNumId w:val="77"/>
  </w:num>
  <w:num w:numId="22" w16cid:durableId="1730036253">
    <w:abstractNumId w:val="31"/>
  </w:num>
  <w:num w:numId="23" w16cid:durableId="859319541">
    <w:abstractNumId w:val="46"/>
  </w:num>
  <w:num w:numId="24" w16cid:durableId="1320890578">
    <w:abstractNumId w:val="80"/>
  </w:num>
  <w:num w:numId="25" w16cid:durableId="1669362141">
    <w:abstractNumId w:val="76"/>
  </w:num>
  <w:num w:numId="26" w16cid:durableId="959651113">
    <w:abstractNumId w:val="57"/>
  </w:num>
  <w:num w:numId="27" w16cid:durableId="1081295952">
    <w:abstractNumId w:val="37"/>
  </w:num>
  <w:num w:numId="28" w16cid:durableId="319698898">
    <w:abstractNumId w:val="32"/>
  </w:num>
  <w:num w:numId="29" w16cid:durableId="382411899">
    <w:abstractNumId w:val="52"/>
  </w:num>
  <w:num w:numId="30" w16cid:durableId="1161194653">
    <w:abstractNumId w:val="2"/>
  </w:num>
  <w:num w:numId="31" w16cid:durableId="1541554302">
    <w:abstractNumId w:val="44"/>
  </w:num>
  <w:num w:numId="32" w16cid:durableId="1649364359">
    <w:abstractNumId w:val="16"/>
  </w:num>
  <w:num w:numId="33" w16cid:durableId="1299527812">
    <w:abstractNumId w:val="60"/>
  </w:num>
  <w:num w:numId="34" w16cid:durableId="1574853043">
    <w:abstractNumId w:val="66"/>
  </w:num>
  <w:num w:numId="35" w16cid:durableId="356080557">
    <w:abstractNumId w:val="71"/>
  </w:num>
  <w:num w:numId="36" w16cid:durableId="164515533">
    <w:abstractNumId w:val="65"/>
  </w:num>
  <w:num w:numId="37" w16cid:durableId="738213287">
    <w:abstractNumId w:val="1"/>
  </w:num>
  <w:num w:numId="38" w16cid:durableId="1449545940">
    <w:abstractNumId w:val="63"/>
  </w:num>
  <w:num w:numId="39" w16cid:durableId="2087996042">
    <w:abstractNumId w:val="72"/>
  </w:num>
  <w:num w:numId="40" w16cid:durableId="2044163467">
    <w:abstractNumId w:val="27"/>
  </w:num>
  <w:num w:numId="41" w16cid:durableId="1994328347">
    <w:abstractNumId w:val="24"/>
  </w:num>
  <w:num w:numId="42" w16cid:durableId="1371149970">
    <w:abstractNumId w:val="78"/>
  </w:num>
  <w:num w:numId="43" w16cid:durableId="1014113285">
    <w:abstractNumId w:val="70"/>
  </w:num>
  <w:num w:numId="44" w16cid:durableId="1009605739">
    <w:abstractNumId w:val="34"/>
  </w:num>
  <w:num w:numId="45" w16cid:durableId="1818951850">
    <w:abstractNumId w:val="41"/>
  </w:num>
  <w:num w:numId="46" w16cid:durableId="341785095">
    <w:abstractNumId w:val="92"/>
  </w:num>
  <w:num w:numId="47" w16cid:durableId="835649972">
    <w:abstractNumId w:val="86"/>
  </w:num>
  <w:num w:numId="48" w16cid:durableId="1208100712">
    <w:abstractNumId w:val="85"/>
  </w:num>
  <w:num w:numId="49" w16cid:durableId="1984701228">
    <w:abstractNumId w:val="89"/>
  </w:num>
  <w:num w:numId="50" w16cid:durableId="573196995">
    <w:abstractNumId w:val="42"/>
  </w:num>
  <w:num w:numId="51" w16cid:durableId="67968869">
    <w:abstractNumId w:val="7"/>
  </w:num>
  <w:num w:numId="52" w16cid:durableId="1745491816">
    <w:abstractNumId w:val="5"/>
  </w:num>
  <w:num w:numId="53" w16cid:durableId="1469787713">
    <w:abstractNumId w:val="18"/>
  </w:num>
  <w:num w:numId="54" w16cid:durableId="1665281332">
    <w:abstractNumId w:val="91"/>
  </w:num>
  <w:num w:numId="55" w16cid:durableId="269701118">
    <w:abstractNumId w:val="90"/>
  </w:num>
  <w:num w:numId="56" w16cid:durableId="773130205">
    <w:abstractNumId w:val="19"/>
  </w:num>
  <w:num w:numId="57" w16cid:durableId="1936817387">
    <w:abstractNumId w:val="8"/>
  </w:num>
  <w:num w:numId="58" w16cid:durableId="208415697">
    <w:abstractNumId w:val="23"/>
  </w:num>
  <w:num w:numId="59" w16cid:durableId="648636428">
    <w:abstractNumId w:val="21"/>
  </w:num>
  <w:num w:numId="60" w16cid:durableId="1197768015">
    <w:abstractNumId w:val="9"/>
  </w:num>
  <w:num w:numId="61" w16cid:durableId="1941906587">
    <w:abstractNumId w:val="68"/>
  </w:num>
  <w:num w:numId="62" w16cid:durableId="1606767537">
    <w:abstractNumId w:val="45"/>
  </w:num>
  <w:num w:numId="63" w16cid:durableId="744380380">
    <w:abstractNumId w:val="58"/>
  </w:num>
  <w:num w:numId="64" w16cid:durableId="1439368427">
    <w:abstractNumId w:val="59"/>
  </w:num>
  <w:num w:numId="65" w16cid:durableId="1354723643">
    <w:abstractNumId w:val="14"/>
  </w:num>
  <w:num w:numId="66" w16cid:durableId="1735620531">
    <w:abstractNumId w:val="82"/>
  </w:num>
  <w:num w:numId="67" w16cid:durableId="1299267297">
    <w:abstractNumId w:val="53"/>
  </w:num>
  <w:num w:numId="68" w16cid:durableId="280696821">
    <w:abstractNumId w:val="26"/>
  </w:num>
  <w:num w:numId="69" w16cid:durableId="1713728043">
    <w:abstractNumId w:val="61"/>
  </w:num>
  <w:num w:numId="70" w16cid:durableId="50468925">
    <w:abstractNumId w:val="75"/>
  </w:num>
  <w:num w:numId="71" w16cid:durableId="702635266">
    <w:abstractNumId w:val="33"/>
  </w:num>
  <w:num w:numId="72" w16cid:durableId="2089033343">
    <w:abstractNumId w:val="11"/>
  </w:num>
  <w:num w:numId="73" w16cid:durableId="1971855900">
    <w:abstractNumId w:val="4"/>
  </w:num>
  <w:num w:numId="74" w16cid:durableId="747534623">
    <w:abstractNumId w:val="50"/>
  </w:num>
  <w:num w:numId="75" w16cid:durableId="945424679">
    <w:abstractNumId w:val="39"/>
  </w:num>
  <w:num w:numId="76" w16cid:durableId="653294249">
    <w:abstractNumId w:val="29"/>
  </w:num>
  <w:num w:numId="77" w16cid:durableId="650408794">
    <w:abstractNumId w:val="0"/>
  </w:num>
  <w:num w:numId="78" w16cid:durableId="1997106835">
    <w:abstractNumId w:val="81"/>
  </w:num>
  <w:num w:numId="79" w16cid:durableId="930165550">
    <w:abstractNumId w:val="47"/>
  </w:num>
  <w:num w:numId="80" w16cid:durableId="1495301216">
    <w:abstractNumId w:val="73"/>
  </w:num>
  <w:num w:numId="81" w16cid:durableId="2009745848">
    <w:abstractNumId w:val="43"/>
  </w:num>
  <w:num w:numId="82" w16cid:durableId="628052449">
    <w:abstractNumId w:val="15"/>
  </w:num>
  <w:num w:numId="83" w16cid:durableId="811361035">
    <w:abstractNumId w:val="74"/>
  </w:num>
  <w:num w:numId="84" w16cid:durableId="56058044">
    <w:abstractNumId w:val="30"/>
  </w:num>
  <w:num w:numId="85" w16cid:durableId="1467043967">
    <w:abstractNumId w:val="51"/>
  </w:num>
  <w:num w:numId="86" w16cid:durableId="1828857213">
    <w:abstractNumId w:val="84"/>
  </w:num>
  <w:num w:numId="87" w16cid:durableId="1458916380">
    <w:abstractNumId w:val="22"/>
  </w:num>
  <w:num w:numId="88" w16cid:durableId="1443109097">
    <w:abstractNumId w:val="54"/>
  </w:num>
  <w:num w:numId="89" w16cid:durableId="1242449750">
    <w:abstractNumId w:val="28"/>
  </w:num>
  <w:num w:numId="90" w16cid:durableId="1002585269">
    <w:abstractNumId w:val="64"/>
  </w:num>
  <w:num w:numId="91" w16cid:durableId="763036665">
    <w:abstractNumId w:val="12"/>
  </w:num>
  <w:num w:numId="92" w16cid:durableId="915282460">
    <w:abstractNumId w:val="35"/>
  </w:num>
  <w:num w:numId="93" w16cid:durableId="2008898270">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C5C"/>
    <w:rsid w:val="000B3C5C"/>
    <w:rsid w:val="0060282E"/>
    <w:rsid w:val="00ED192D"/>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0C4CEECD"/>
  <w15:docId w15:val="{3AE46D01-F548-2F4D-8DA6-CA273425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DK"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1" w:line="248" w:lineRule="auto"/>
      <w:ind w:left="12" w:hanging="10"/>
    </w:pPr>
    <w:rPr>
      <w:rFonts w:ascii="Times New Roman" w:eastAsia="Times New Roman" w:hAnsi="Times New Roman" w:cs="Times New Roman"/>
      <w:color w:val="000000"/>
      <w:lang w:val="en-US" w:eastAsia="en-US" w:bidi="en-US"/>
    </w:rPr>
  </w:style>
  <w:style w:type="paragraph" w:styleId="Heading1">
    <w:name w:val="heading 1"/>
    <w:next w:val="Normal"/>
    <w:link w:val="Heading1Char"/>
    <w:uiPriority w:val="9"/>
    <w:qFormat/>
    <w:pPr>
      <w:keepNext/>
      <w:keepLines/>
      <w:spacing w:after="172" w:line="265" w:lineRule="auto"/>
      <w:ind w:left="12"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31" w:line="249" w:lineRule="auto"/>
      <w:ind w:left="1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49" w:line="249" w:lineRule="auto"/>
      <w:ind w:left="13" w:hanging="10"/>
      <w:outlineLvl w:val="2"/>
    </w:pPr>
    <w:rPr>
      <w:rFonts w:ascii="Arial" w:eastAsia="Arial" w:hAnsi="Arial" w:cs="Arial"/>
      <w:b/>
      <w:color w:val="000000"/>
      <w:sz w:val="22"/>
    </w:rPr>
  </w:style>
  <w:style w:type="paragraph" w:styleId="Heading4">
    <w:name w:val="heading 4"/>
    <w:next w:val="Normal"/>
    <w:link w:val="Heading4Char"/>
    <w:uiPriority w:val="9"/>
    <w:unhideWhenUsed/>
    <w:qFormat/>
    <w:pPr>
      <w:keepNext/>
      <w:keepLines/>
      <w:spacing w:after="249" w:line="249" w:lineRule="auto"/>
      <w:ind w:left="13" w:hanging="10"/>
      <w:outlineLvl w:val="3"/>
    </w:pPr>
    <w:rPr>
      <w:rFonts w:ascii="Arial" w:eastAsia="Arial" w:hAnsi="Arial" w:cs="Arial"/>
      <w:b/>
      <w:color w:val="000000"/>
      <w:sz w:val="22"/>
    </w:rPr>
  </w:style>
  <w:style w:type="paragraph" w:styleId="Heading5">
    <w:name w:val="heading 5"/>
    <w:next w:val="Normal"/>
    <w:link w:val="Heading5Char"/>
    <w:uiPriority w:val="9"/>
    <w:unhideWhenUsed/>
    <w:qFormat/>
    <w:pPr>
      <w:keepNext/>
      <w:keepLines/>
      <w:spacing w:after="236" w:line="259" w:lineRule="auto"/>
      <w:ind w:left="10" w:hanging="10"/>
      <w:outlineLvl w:val="4"/>
    </w:pPr>
    <w:rPr>
      <w:rFonts w:ascii="Arial" w:eastAsia="Arial" w:hAnsi="Arial" w:cs="Arial"/>
      <w:b/>
      <w:i/>
      <w:color w:val="000000"/>
      <w:sz w:val="22"/>
    </w:rPr>
  </w:style>
  <w:style w:type="paragraph" w:styleId="Heading6">
    <w:name w:val="heading 6"/>
    <w:next w:val="Normal"/>
    <w:link w:val="Heading6Char"/>
    <w:uiPriority w:val="9"/>
    <w:unhideWhenUsed/>
    <w:qFormat/>
    <w:pPr>
      <w:keepNext/>
      <w:keepLines/>
      <w:spacing w:after="236" w:line="259" w:lineRule="auto"/>
      <w:ind w:left="10" w:hanging="10"/>
      <w:outlineLvl w:val="5"/>
    </w:pPr>
    <w:rPr>
      <w:rFonts w:ascii="Arial" w:eastAsia="Arial" w:hAnsi="Arial" w:cs="Arial"/>
      <w:b/>
      <w: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5Char">
    <w:name w:val="Heading 5 Char"/>
    <w:link w:val="Heading5"/>
    <w:rPr>
      <w:rFonts w:ascii="Arial" w:eastAsia="Arial" w:hAnsi="Arial" w:cs="Arial"/>
      <w:b/>
      <w:i/>
      <w:color w:val="000000"/>
      <w:sz w:val="22"/>
    </w:rPr>
  </w:style>
  <w:style w:type="character" w:customStyle="1" w:styleId="Heading6Char">
    <w:name w:val="Heading 6 Char"/>
    <w:link w:val="Heading6"/>
    <w:rPr>
      <w:rFonts w:ascii="Arial" w:eastAsia="Arial" w:hAnsi="Arial" w:cs="Arial"/>
      <w:b/>
      <w:i/>
      <w:color w:val="000000"/>
      <w:sz w:val="2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Arial" w:eastAsia="Arial" w:hAnsi="Arial" w:cs="Arial"/>
      <w:b/>
      <w:color w:val="000000"/>
      <w:sz w:val="22"/>
    </w:rPr>
  </w:style>
  <w:style w:type="character" w:customStyle="1" w:styleId="Heading4Char">
    <w:name w:val="Heading 4 Char"/>
    <w:link w:val="Heading4"/>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image" Target="media/image5.jpg"/><Relationship Id="rId63" Type="http://schemas.openxmlformats.org/officeDocument/2006/relationships/footer" Target="footer21.xml"/><Relationship Id="rId68" Type="http://schemas.openxmlformats.org/officeDocument/2006/relationships/header" Target="header24.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eader" Target="header10.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1.xml"/><Relationship Id="rId37" Type="http://schemas.openxmlformats.org/officeDocument/2006/relationships/footer" Target="footer13.xml"/><Relationship Id="rId40" Type="http://schemas.openxmlformats.org/officeDocument/2006/relationships/footer" Target="footer15.xml"/><Relationship Id="rId45" Type="http://schemas.openxmlformats.org/officeDocument/2006/relationships/header" Target="header18.xml"/><Relationship Id="rId58" Type="http://schemas.openxmlformats.org/officeDocument/2006/relationships/header" Target="header19.xml"/><Relationship Id="rId66" Type="http://schemas.openxmlformats.org/officeDocument/2006/relationships/footer" Target="footer22.xml"/><Relationship Id="rId74" Type="http://schemas.openxmlformats.org/officeDocument/2006/relationships/customXml" Target="../customXml/item3.xml"/><Relationship Id="rId5" Type="http://schemas.openxmlformats.org/officeDocument/2006/relationships/footnotes" Target="footnotes.xml"/><Relationship Id="rId61" Type="http://schemas.openxmlformats.org/officeDocument/2006/relationships/footer" Target="footer20.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3.jpg"/><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oter" Target="footer16.xml"/><Relationship Id="rId48" Type="http://schemas.openxmlformats.org/officeDocument/2006/relationships/image" Target="media/image6.jpg"/><Relationship Id="rId56" Type="http://schemas.openxmlformats.org/officeDocument/2006/relationships/image" Target="media/image8.jpg"/><Relationship Id="rId64" Type="http://schemas.openxmlformats.org/officeDocument/2006/relationships/header" Target="header22.xml"/><Relationship Id="rId69" Type="http://schemas.openxmlformats.org/officeDocument/2006/relationships/footer" Target="footer24.xml"/><Relationship Id="rId8" Type="http://schemas.openxmlformats.org/officeDocument/2006/relationships/header" Target="header1.xml"/><Relationship Id="rId72"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footer" Target="footer14.xml"/><Relationship Id="rId46" Type="http://schemas.openxmlformats.org/officeDocument/2006/relationships/footer" Target="footer18.xml"/><Relationship Id="rId59" Type="http://schemas.openxmlformats.org/officeDocument/2006/relationships/header" Target="header20.xml"/><Relationship Id="rId67" Type="http://schemas.openxmlformats.org/officeDocument/2006/relationships/footer" Target="footer23.xml"/><Relationship Id="rId20" Type="http://schemas.openxmlformats.org/officeDocument/2006/relationships/image" Target="media/image2.jpg"/><Relationship Id="rId41" Type="http://schemas.openxmlformats.org/officeDocument/2006/relationships/header" Target="header16.xml"/><Relationship Id="rId54" Type="http://schemas.openxmlformats.org/officeDocument/2006/relationships/image" Target="media/image50.jpg"/><Relationship Id="rId62" Type="http://schemas.openxmlformats.org/officeDocument/2006/relationships/header" Target="header21.xm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image" Target="media/image4.jpg"/><Relationship Id="rId36" Type="http://schemas.openxmlformats.org/officeDocument/2006/relationships/header" Target="header14.xml"/><Relationship Id="rId57" Type="http://schemas.openxmlformats.org/officeDocument/2006/relationships/image" Target="media/image9.jpg"/><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footer" Target="footer17.xml"/><Relationship Id="rId60" Type="http://schemas.openxmlformats.org/officeDocument/2006/relationships/footer" Target="footer19.xml"/><Relationship Id="rId65" Type="http://schemas.openxmlformats.org/officeDocument/2006/relationships/header" Target="header23.xml"/><Relationship Id="rId73"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5.xml"/><Relationship Id="rId34" Type="http://schemas.openxmlformats.org/officeDocument/2006/relationships/footer" Target="footer12.xml"/><Relationship Id="rId55"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D794EB48E7144959FE534A5ED3D9A" ma:contentTypeVersion="13" ma:contentTypeDescription="Create a new document." ma:contentTypeScope="" ma:versionID="332ebed6bf1f21540ac8ed4139e2af2e">
  <xsd:schema xmlns:xsd="http://www.w3.org/2001/XMLSchema" xmlns:xs="http://www.w3.org/2001/XMLSchema" xmlns:p="http://schemas.microsoft.com/office/2006/metadata/properties" xmlns:ns2="98eacbea-7562-4a40-a7f2-e999cdc0cec5" xmlns:ns3="75bf9804-c18d-470a-a27f-eeaf4abcd247" targetNamespace="http://schemas.microsoft.com/office/2006/metadata/properties" ma:root="true" ma:fieldsID="9643d50ff51ef4e8f7efba950a0a6c6b" ns2:_="" ns3:_="">
    <xsd:import namespace="98eacbea-7562-4a40-a7f2-e999cdc0cec5"/>
    <xsd:import namespace="75bf9804-c18d-470a-a27f-eeaf4abcd24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eacbea-7562-4a40-a7f2-e999cdc0c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6b7e412-6c7f-44cd-93fc-1283bc8f8f7e"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5bf9804-c18d-470a-a27f-eeaf4abcd24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2440c8f-637a-4f66-b4f6-bf5ca76e88b3}" ma:internalName="TaxCatchAll" ma:showField="CatchAllData" ma:web="75bf9804-c18d-470a-a27f-eeaf4abcd2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8eacbea-7562-4a40-a7f2-e999cdc0cec5">
      <Terms xmlns="http://schemas.microsoft.com/office/infopath/2007/PartnerControls"/>
    </lcf76f155ced4ddcb4097134ff3c332f>
    <TaxCatchAll xmlns="75bf9804-c18d-470a-a27f-eeaf4abcd247" xsi:nil="true"/>
  </documentManagement>
</p:properties>
</file>

<file path=customXml/itemProps1.xml><?xml version="1.0" encoding="utf-8"?>
<ds:datastoreItem xmlns:ds="http://schemas.openxmlformats.org/officeDocument/2006/customXml" ds:itemID="{201916CF-9798-44FE-9E0C-98DAF9036FCE}"/>
</file>

<file path=customXml/itemProps2.xml><?xml version="1.0" encoding="utf-8"?>
<ds:datastoreItem xmlns:ds="http://schemas.openxmlformats.org/officeDocument/2006/customXml" ds:itemID="{886B34A1-4100-418C-9945-02F01875E52E}"/>
</file>

<file path=customXml/itemProps3.xml><?xml version="1.0" encoding="utf-8"?>
<ds:datastoreItem xmlns:ds="http://schemas.openxmlformats.org/officeDocument/2006/customXml" ds:itemID="{868E52A6-1475-4032-99E7-614A2E049903}"/>
</file>

<file path=docProps/app.xml><?xml version="1.0" encoding="utf-8"?>
<Properties xmlns="http://schemas.openxmlformats.org/officeDocument/2006/extended-properties" xmlns:vt="http://schemas.openxmlformats.org/officeDocument/2006/docPropsVTypes">
  <Template>Normal.dotm</Template>
  <TotalTime>0</TotalTime>
  <Pages>18</Pages>
  <Words>51629</Words>
  <Characters>294289</Characters>
  <Application>Microsoft Office Word</Application>
  <DocSecurity>0</DocSecurity>
  <Lines>2452</Lines>
  <Paragraphs>690</Paragraphs>
  <ScaleCrop>false</ScaleCrop>
  <Company/>
  <LinksUpToDate>false</LinksUpToDate>
  <CharactersWithSpaces>345228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Iberson-Hurst</dc:creator>
  <cp:keywords/>
  <cp:lastModifiedBy>Dave Iberson-Hurst</cp:lastModifiedBy>
  <cp:revision>2</cp:revision>
  <dcterms:created xsi:type="dcterms:W3CDTF">2024-10-17T05:02:00Z</dcterms:created>
  <dcterms:modified xsi:type="dcterms:W3CDTF">2024-10-17T05:02:00Z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0x010100D47D794EB48E7144959FE534A5ED3D9A</vt:lpwstr>
  </property>
</Properties>
</file>