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xhll3l3a801c" w:id="0"/>
    <w:bookmarkEnd w:id="0"/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etf6646to6ti" w:id="1"/>
      <w:bookmarkEnd w:id="1"/>
      <w:r w:rsidDel="00000000" w:rsidR="00000000" w:rsidRPr="00000000">
        <w:rPr>
          <w:rtl w:val="0"/>
        </w:rPr>
        <w:t xml:space="preserve">Research Status</w:t>
      </w:r>
    </w:p>
    <w:bookmarkStart w:colFirst="0" w:colLast="0" w:name="bookmark=id.wca57evhlfxl" w:id="2"/>
    <w:bookmarkEnd w:id="2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Project Question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graph-based neural architectures improve next-step disruption prediction in directed synthetic supply-chain networks relative to a feature-only baseline?</w:t>
      </w:r>
    </w:p>
    <w:bookmarkStart w:colFirst="0" w:colLast="0" w:name="bookmark=id.i6sl4xfs6lrt" w:id="3"/>
    <w:bookmarkEnd w:id="3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Current Setup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 family: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tiered_scale_free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Edge semantics: directed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 graph sizes studied: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Seeds currently aggregated: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1, 2, 3</w:t>
      </w:r>
      <w:r w:rsidDel="00000000" w:rsidR="00000000" w:rsidRPr="00000000">
        <w:rPr>
          <w:rtl w:val="0"/>
        </w:rPr>
      </w:r>
    </w:p>
    <w:bookmarkStart w:colFirst="0" w:colLast="0" w:name="bookmark=id.na87ymy28xmz" w:id="4"/>
    <w:bookmarkEnd w:id="4"/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Data Generation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Graphs are generated as directed tiered scale-free supply-chain networks.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 states evolve through: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exogenous shock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endogenous propagation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probabilistic recovery</w:t>
      </w:r>
    </w:p>
    <w:bookmarkStart w:colFirst="0" w:colLast="0" w:name="bookmark=id.mlnlsx3jtj3k" w:id="5"/>
    <w:bookmarkEnd w:id="5"/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Input Features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current operating/disrupted state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exposure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disruption pressure from upstream neighbors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time_to_recovery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disruption duration proxy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betweenness centrality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added in memory for Graphormer only</w:t>
      </w:r>
    </w:p>
    <w:bookmarkStart w:colFirst="0" w:colLast="0" w:name="bookmark=id.p9bhwz749tg7" w:id="6"/>
    <w:bookmarkEnd w:id="6"/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Models Compared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Baseline: feature-only node classifier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GCN: adjacency-based local message passing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 Transformer: masked local self-attention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Graphormer: global attention with structural bias</w:t>
      </w:r>
    </w:p>
    <w:bookmarkStart w:colFirst="0" w:colLast="0" w:name="bookmark=id.5fft9rpg2b2t" w:id="7"/>
    <w:bookmarkEnd w:id="7"/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Current Main Results</w:t>
      </w:r>
    </w:p>
    <w:bookmarkStart w:colFirst="0" w:colLast="0" w:name="bookmark=id.1387c8t8icha" w:id="8"/>
    <w:bookmarkEnd w:id="8"/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N20 tiered_scale_free, seeds = 1, 2, 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Baseline: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0.8639 +/- 0.0356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GCN: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0.7936 +/- 0.0471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 Transformer: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0.8636 +/- 0.0356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Graphormer: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0.8422 +/- 0.0468</w:t>
      </w:r>
      <w:r w:rsidDel="00000000" w:rsidR="00000000" w:rsidRPr="00000000">
        <w:rPr>
          <w:rtl w:val="0"/>
        </w:rPr>
      </w:r>
    </w:p>
    <w:bookmarkStart w:colFirst="0" w:colLast="0" w:name="bookmark=id.b5cb7ez8p1i" w:id="9"/>
    <w:bookmarkEnd w:id="9"/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N40 tiered_scale_free, seeds = 1, 2, 3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Baseline: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0.8456 +/- 0.0196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GCN: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0.7810 +/- 0.0182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 Transformer: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0.8457 +/- 0.0235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Graphormer: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0.8392 +/- 0.0161</w:t>
      </w:r>
      <w:r w:rsidDel="00000000" w:rsidR="00000000" w:rsidRPr="00000000">
        <w:rPr>
          <w:rtl w:val="0"/>
        </w:rPr>
      </w:r>
    </w:p>
    <w:bookmarkStart w:colFirst="0" w:colLast="0" w:name="bookmark=id.s4f1qgpbxism" w:id="10"/>
    <w:bookmarkEnd w:id="10"/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Main Interpretation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GCN is consistently weaker than the baseline and transformer variants.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masked Graph Transformer is essentially tied with the baseline.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Graphormer is competitive but does not currently outperform the baseline.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evidence suggests important relational information is already encoded in node-level features, especially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exposure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bookmark=id.dy5qrax0x88" w:id="11"/>
    <w:bookmarkEnd w:id="11"/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Current Conclusion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present simulator and feature design, graph transformer architectures do not yet show a decisive advantage over a strong feature-only baseline. The main insight is not that graph models fail in general, but that their incremental value is limited when relational effects are already heavily encoded through feature engineering.</w:t>
      </w:r>
    </w:p>
    <w:bookmarkStart w:colFirst="0" w:colLast="0" w:name="bookmark=id.h88nl1lh55vt" w:id="12"/>
    <w:bookmarkEnd w:id="12"/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Figures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Figure 1. Accuracy vs graph size.</w:t>
      </w:r>
    </w:p>
    <w:p w:rsidR="00000000" w:rsidDel="00000000" w:rsidP="00000000" w:rsidRDefault="00000000" w:rsidRPr="00000000" w14:paraId="0000002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3333749"/>
            <wp:effectExtent b="0" l="0" r="0" t="0"/>
            <wp:docPr descr="Accuracy vs Graph Size" id="1" name="image2.png"/>
            <a:graphic>
              <a:graphicData uri="http://schemas.openxmlformats.org/drawingml/2006/picture">
                <pic:pic>
                  <pic:nvPicPr>
                    <pic:cNvPr descr="Accuracy vs Graph Size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Accuracy vs Graph Size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Figure 2. Per-model comparison by graph size.</w:t>
      </w:r>
    </w:p>
    <w:p w:rsidR="00000000" w:rsidDel="00000000" w:rsidP="00000000" w:rsidRDefault="00000000" w:rsidRPr="00000000" w14:paraId="0000003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3333749"/>
            <wp:effectExtent b="0" l="0" r="0" t="0"/>
            <wp:docPr descr="Per-Model Comparison" id="3" name="image1.png"/>
            <a:graphic>
              <a:graphicData uri="http://schemas.openxmlformats.org/drawingml/2006/picture">
                <pic:pic>
                  <pic:nvPicPr>
                    <pic:cNvPr descr="Per-Model Comparison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Per-Model Comparison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Figure 3. Training curves 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N20_tiered_scale_free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1939636"/>
            <wp:effectExtent b="0" l="0" r="0" t="0"/>
            <wp:docPr descr="Training Curves N20" id="2" name="image3.png"/>
            <a:graphic>
              <a:graphicData uri="http://schemas.openxmlformats.org/drawingml/2006/picture">
                <pic:pic>
                  <pic:nvPicPr>
                    <pic:cNvPr descr="Training Curves N20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39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Training Curves N20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Figure 4. Training curves 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N40_tiered_scale_free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1939636"/>
            <wp:effectExtent b="0" l="0" r="0" t="0"/>
            <wp:docPr descr="Training Curves N40" id="4" name="image4.png"/>
            <a:graphic>
              <a:graphicData uri="http://schemas.openxmlformats.org/drawingml/2006/picture">
                <pic:pic>
                  <pic:nvPicPr>
                    <pic:cNvPr descr="Training Curves N40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39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Training Curves N40</w:t>
      </w:r>
    </w:p>
    <w:bookmarkStart w:colFirst="0" w:colLast="0" w:name="bookmark=id.pc74vg7pejvs" w:id="13"/>
    <w:bookmarkEnd w:id="13"/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Key Files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PAPER_PREP.md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EXPERIMENT_LOG.md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DRAFT_PAPER.md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runs/results_summary.csv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runs/figures/results_by_model_size.csv</w:t>
      </w:r>
      <w:r w:rsidDel="00000000" w:rsidR="00000000" w:rsidRPr="00000000">
        <w:rPr>
          <w:rtl w:val="0"/>
        </w:rPr>
      </w:r>
    </w:p>
    <w:bookmarkStart w:colFirst="0" w:colLast="0" w:name="bookmark=id.h88oahymptlh" w:id="14"/>
    <w:bookmarkEnd w:id="14"/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more graph sizes and seeds if needed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ablation experiments 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settings where graph structure is less pre-encoded in node features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Decide whether to continue this line or pivot to a stronger graph-dependent setup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AXVmxlQyLKVtEYHiIj4Hk+jXNg==">CgMxLjAyD2lkLnhobGwzbDNhODAxYzIOaC5ldGY2NjQ2dG82dGkyD2lkLndjYTU3ZXZobGZ4bDIPaWQuaTZzbDR4ZnM2bHJ0Mg9pZC5uYTg3eW15Mjh4bXoyD2lkLm1sbmxzeDNqdGozazIPaWQucDliaHd6NzQ5dGc3Mg9pZC41ZmZ0OXJwZzJiMnQyD2lkLjEzODdjOHQ4aWNoYTIOaWQuYjVjYjdlejhwMWkyD2lkLnM0ZjFxZ3BieGlzbTIOaWQuZHk1cXJheDB4ODgyD2lkLmg4OG5sMWxoNTV2dDIPaWQucGM3NHZnN3BlanZzMg9pZC5oODhvYWh5bXB0bGg4AHIhMUtuYnp6aVo3YXhEM3VKTTFzR0pHN1FHNjBaalNabG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