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28"/>
        </w:rPr>
        <w:t>UNIVERSIDAD NACIONAL DE INGENIERÍA</w:t>
        <w:br/>
        <w:t>FACULTAD DE INGENIERÍA Y CIENCIAS DE LA COMPUTACIÓN</w:t>
        <w:br/>
        <w:t>ESCUELA DE POSTGRADO / INGENIERÍA EN INTELIGENCIA ARTIFICIAL</w:t>
        <w:br/>
        <w:br/>
        <w:br/>
        <w:br/>
        <w:br/>
      </w:r>
    </w:p>
    <w:p>
      <w:pPr>
        <w:jc w:val="center"/>
      </w:pPr>
      <w:r>
        <w:rPr>
          <w:b/>
          <w:color w:val="2F5597"/>
          <w:sz w:val="32"/>
        </w:rPr>
        <w:t>TRABAJO DE INVESTIGACIÓN Y DESARROLLO:</w:t>
        <w:br/>
        <w:t>DISEÑO E IMPLEMENTACIÓN DE UN ASISTENTE DOCUMENTAL INTELIGENTE (RAG LOCAL) CON PRIVACIDAD GARANTIZADA</w:t>
        <w:br/>
        <w:br/>
        <w:br/>
        <w:br/>
        <w:br/>
      </w:r>
    </w:p>
    <w:p>
      <w:pPr>
        <w:jc w:val="center"/>
      </w:pPr>
      <w:r>
        <w:rPr>
          <w:sz w:val="22"/>
        </w:rPr>
        <w:t>Asignatura: Proyectos Avanzados de Ingeniería en Inteligencia Artificial</w:t>
        <w:br/>
        <w:br/>
        <w:t>Estudiante: [Ingresar Tu Nombre Completo]</w:t>
        <w:br/>
        <w:t>Profesor Evaluador: [Ingresar Nombre del Profesor]</w:t>
        <w:br/>
        <w:t>Fecha de Entrega: Junio 2026</w:t>
        <w:br/>
      </w:r>
    </w:p>
    <w:p>
      <w:r>
        <w:br w:type="page"/>
      </w:r>
    </w:p>
    <w:p>
      <w:pPr>
        <w:pStyle w:val="Heading1"/>
        <w:keepNext/>
        <w:spacing w:before="360" w:after="160"/>
      </w:pPr>
      <w:r>
        <w:rPr>
          <w:rFonts w:ascii="Arial" w:hAnsi="Arial"/>
          <w:b/>
          <w:color w:val="1F4E79"/>
          <w:sz w:val="32"/>
        </w:rPr>
        <w:t>1. INTRODUCCIÓN</w:t>
      </w:r>
    </w:p>
    <w:p>
      <w:pPr>
        <w:spacing w:after="160" w:line="276" w:lineRule="auto"/>
        <w:jc w:val="both"/>
      </w:pPr>
      <w:r>
        <w:t>En la actualidad, los Modelos de Lenguaje de Gran Escala (LLMs) han revolucionado la forma en que los humanos interactúan con la información estructurada. No obstante, en ámbitos corporativos, académicos y de investigación, la dependencia de APIs comerciales en la nube presenta serias desventajas. Entre ellas destacan los riesgos asociados a la privacidad de datos sensibles, la dependencia financiera de esquemas de pago por consumo y la propensión de los modelos comerciales a generar alucinaciones (información plausible pero falsa). Este trabajo describe el diseño y la implementación de un sistema de Generación Aumentada por Recuperación (RAG, por sus siglas en inglés) que se ejecuta al 100% de manera local en hardware de consumo estándar.</w:t>
      </w:r>
    </w:p>
    <w:p>
      <w:pPr>
        <w:spacing w:after="160" w:line="276" w:lineRule="auto"/>
        <w:jc w:val="both"/>
      </w:pPr>
      <w:r>
        <w:t>El objetivo principal es construir una arquitectura de software robusta y modular capaz de extraer, segmentar, indexar y consultar información contenida en documentos privados en formato PDF. Al prescindir de conexiones externas, se asegura la confidencialidad de la información, permitiendo consultar manuales técnicos, reglamentos internos y documentación propia bajo los más altos estándares de protección de datos.</w:t>
      </w:r>
    </w:p>
    <w:p>
      <w:pPr>
        <w:pStyle w:val="Heading1"/>
        <w:keepNext/>
        <w:spacing w:before="360" w:after="160"/>
      </w:pPr>
      <w:r>
        <w:rPr>
          <w:rFonts w:ascii="Arial" w:hAnsi="Arial"/>
          <w:b/>
          <w:color w:val="1F4E79"/>
          <w:sz w:val="32"/>
        </w:rPr>
        <w:t>2. DESARROLLO Y EXPLICACIÓN TÉCNICA</w:t>
      </w:r>
    </w:p>
    <w:p>
      <w:pPr>
        <w:spacing w:after="160" w:line="276" w:lineRule="auto"/>
        <w:jc w:val="both"/>
      </w:pPr>
      <w:r>
        <w:t>El desarrollo del proyecto se estructuró de forma modular a lo largo de un cronograma de ingeniería de software, abordando cada componente de la arquitectura RAG local como un módulo independiente. A continuación, se detalla la base conceptual, lógica y de código empleada.</w:t>
      </w:r>
    </w:p>
    <w:p>
      <w:pPr>
        <w:pStyle w:val="Heading2"/>
        <w:keepNext/>
        <w:spacing w:before="360" w:after="160"/>
      </w:pPr>
      <w:r>
        <w:rPr>
          <w:rFonts w:ascii="Arial" w:hAnsi="Arial"/>
          <w:b/>
          <w:color w:val="41719C"/>
          <w:sz w:val="26"/>
        </w:rPr>
        <w:t>2.1 Configuración de Infraestructura Local y Dependencias</w:t>
      </w:r>
    </w:p>
    <w:p>
      <w:pPr>
        <w:spacing w:after="160" w:line="276" w:lineRule="auto"/>
        <w:jc w:val="both"/>
      </w:pPr>
      <w:r>
        <w:t>La base del sistema requiere de un entorno virtual aislado (venv) que asegura la consistencia de las versiones de Python y evita interferencias con librerías globales del sistema. El módulo de inferencia está soportado por el servidor Ollama en su versión 0.30.8, el cual permite la ejecución y servicio local del modelo Llama 3.2 (3B), un LLM ligero optimizado para tareas de razonamiento con baja huella de memoria (2.0 GB de tamaño).</w:t>
      </w:r>
    </w:p>
    <w:p>
      <w:pPr>
        <w:pStyle w:val="Heading2"/>
        <w:keepNext/>
        <w:spacing w:before="360" w:after="160"/>
      </w:pPr>
      <w:r>
        <w:rPr>
          <w:rFonts w:ascii="Arial" w:hAnsi="Arial"/>
          <w:b/>
          <w:color w:val="41719C"/>
          <w:sz w:val="26"/>
        </w:rPr>
        <w:t>2.2 Ingesta Estructurada de Documentos (PDF Loader)</w:t>
      </w:r>
    </w:p>
    <w:p>
      <w:pPr>
        <w:spacing w:after="160" w:line="276" w:lineRule="auto"/>
        <w:jc w:val="both"/>
      </w:pPr>
      <w:r>
        <w:t>La ingesta de datos representa la primera fase del flujo de trabajo. Para este propósito, se utilizó la clase PyPDFLoader de la librería LangChain. Este cargador procesa los documentos binarios PDF página por página y extrae el texto plano manteniendo un diccionario de metadatos asociado. La retención del número de página original de donde proviene cada fragmento es crítica para las fases de auditoría y auditoría posterior por parte del usuario final.</w:t>
      </w:r>
    </w:p>
    <w:p>
      <w:pPr>
        <w:pStyle w:val="Heading2"/>
        <w:keepNext/>
        <w:spacing w:before="360" w:after="160"/>
      </w:pPr>
      <w:r>
        <w:rPr>
          <w:rFonts w:ascii="Arial" w:hAnsi="Arial"/>
          <w:b/>
          <w:color w:val="41719C"/>
          <w:sz w:val="26"/>
        </w:rPr>
        <w:t>2.3 Estrategias Avanzadas de Fragmentación (Chunking)</w:t>
      </w:r>
    </w:p>
    <w:p>
      <w:pPr>
        <w:spacing w:after="160" w:line="276" w:lineRule="auto"/>
        <w:jc w:val="both"/>
      </w:pPr>
      <w:r>
        <w:t>Un reto clave al implementar RAG es la restricción de la ventana de contexto del LLM. Si se inyecta un documento entero al modelo, este fallará por desbordamiento de tokens o por pérdida de atención (efecto 'Lost in the Middle'). Para solucionar esto, se implementó el procesador RecursiveCharacterTextSplitter. Este algoritmo divide recursivamente el texto usando una lista de caracteres jerárquicos (párrafos \n\n, líneas \n, palabras con espacio, y caracteres individuales) para garantizar que las ideas semánticas no queden truncadas.</w:t>
      </w:r>
    </w:p>
    <w:p>
      <w:pPr>
        <w:spacing w:after="160" w:line="276" w:lineRule="auto"/>
        <w:jc w:val="both"/>
      </w:pPr>
      <w:r>
        <w:t>Se configuró por defecto un tamaño de fragmento (chunk_size) de 1000 caracteres con una zona de solapamiento técnico (chunk_overlap) de 200 caracteres. El solapamiento del 20% es necesario para mantener la continuidad contextual de los párrafos que se encuentran en los bordes de la división.</w:t>
      </w:r>
    </w:p>
    <w:p>
      <w:pPr>
        <w:pStyle w:val="Heading2"/>
        <w:keepNext/>
        <w:spacing w:before="360" w:after="160"/>
      </w:pPr>
      <w:r>
        <w:rPr>
          <w:rFonts w:ascii="Arial" w:hAnsi="Arial"/>
          <w:b/>
          <w:color w:val="41719C"/>
          <w:sz w:val="26"/>
        </w:rPr>
        <w:t>2.4 Espacios Latentes y Embeddings Semánticos</w:t>
      </w:r>
    </w:p>
    <w:p>
      <w:pPr>
        <w:spacing w:after="160" w:line="276" w:lineRule="auto"/>
        <w:jc w:val="both"/>
      </w:pPr>
      <w:r>
        <w:t>Para realizar búsquedas por significado en lugar de coincidencias literales de palabras clave, se transforman los fragmentos de texto en vectores multidimensionales densos (embeddings). Se implementó el modelo de código abierto all-MiniLM-L6-v2 de HuggingFace, gestionado a través de la librería sentence-transformers en local. Este modelo proyecta cada fragmento de texto a una coordenada matemática de 384 dimensiones, donde la distancia geométrica (como la similitud de coseno) entre dos vectores representa la cercanía semántica entre sus significados.</w:t>
      </w:r>
    </w:p>
    <w:p>
      <w:pPr>
        <w:pStyle w:val="Heading2"/>
        <w:keepNext/>
        <w:spacing w:before="360" w:after="160"/>
      </w:pPr>
      <w:r>
        <w:rPr>
          <w:rFonts w:ascii="Arial" w:hAnsi="Arial"/>
          <w:b/>
          <w:color w:val="41719C"/>
          <w:sz w:val="26"/>
        </w:rPr>
        <w:t>2.5 Indexación y Persistencia con ChromaDB</w:t>
      </w:r>
    </w:p>
    <w:p>
      <w:pPr>
        <w:spacing w:after="160" w:line="276" w:lineRule="auto"/>
        <w:jc w:val="both"/>
      </w:pPr>
      <w:r>
        <w:t>Una vez generados los vectores de embeddings, se requiere un motor de almacenamiento de alta velocidad para su posterior recuperación. Se integró ChromaDB, una base de datos vectorial nativa para inteligencia artificial. ChromaDB se configuró en modo persistente en disco sólido (SSD) en la carpeta chroma_db. Esto evita la degradación del rendimiento por latencia y elimina la necesidad de volver a procesar y vectorizar los PDF cada vez que la aplicación es iniciada por el usuario.</w:t>
      </w:r>
    </w:p>
    <w:p>
      <w:pPr>
        <w:pStyle w:val="Heading2"/>
        <w:keepNext/>
        <w:spacing w:before="360" w:after="160"/>
      </w:pPr>
      <w:r>
        <w:rPr>
          <w:rFonts w:ascii="Arial" w:hAnsi="Arial"/>
          <w:b/>
          <w:color w:val="41719C"/>
          <w:sz w:val="26"/>
        </w:rPr>
        <w:t>2.6 Orquestación de la Cadena RAG con LangChain</w:t>
      </w:r>
    </w:p>
    <w:p>
      <w:pPr>
        <w:spacing w:after="160" w:line="276" w:lineRule="auto"/>
        <w:jc w:val="both"/>
      </w:pPr>
      <w:r>
        <w:t>La integración lógica del pipeline se realiza mediante LangChain Expression Language (LCEL). El flujo lógico es el siguiente: 1. El usuario realiza una pregunta a través del chat.</w:t>
        <w:br/>
        <w:t>2. La pregunta se vectoriza con all-MiniLM-L6-v2.</w:t>
        <w:br/>
        <w:t>3. ChromaDB realiza una búsqueda de similitud y recupera los 'k' fragmentos más cercanos (por defecto k=4).</w:t>
        <w:br/>
        <w:t>4. Los fragmentos se formatean con sus números de página y se inyectan como contexto estructurado en la plantilla del prompt.</w:t>
        <w:br/>
        <w:t>5. El prompt estructurado se envía al modelo local Llama 3.2 a través del conector ChatOllama.</w:t>
        <w:br/>
        <w:t>6. El modelo responde y la respuesta se muestra al usuario junto con las fuentes.</w:t>
      </w:r>
    </w:p>
    <w:p>
      <w:pPr>
        <w:pStyle w:val="Heading2"/>
        <w:keepNext/>
        <w:spacing w:before="360" w:after="160"/>
      </w:pPr>
      <w:r>
        <w:rPr>
          <w:rFonts w:ascii="Arial" w:hAnsi="Arial"/>
          <w:b/>
          <w:color w:val="41719C"/>
          <w:sz w:val="26"/>
        </w:rPr>
        <w:t>2.7 Ingeniería de Prompts para la Mitigación de Alucinaciones</w:t>
      </w:r>
    </w:p>
    <w:p>
      <w:pPr>
        <w:spacing w:after="160" w:line="276" w:lineRule="auto"/>
        <w:jc w:val="both"/>
      </w:pPr>
      <w:r>
        <w:t>Uno de los principales riesgos en los sistemas de IA generativa es la alucinación de respuestas. Para mitigar esto al 100%, se diseñó una plantilla estricta (ChatPromptTemplate) con directrices claras en el prompt del sistema. El prompt le prohíbe al LLM deducir o utilizar conocimientos previos externos a los fragmentos provistos en el contexto. Si la respuesta a la pregunta del usuario no está explícitamente contenida en la información indexada, el modelo debe responder textualmente: 'Lo siento, pero la información solicitada no se encuentra en los documentos indexados.' Esto asegura una total fidelidad al documento corporativo o académico cargado.</w:t>
      </w:r>
    </w:p>
    <w:p>
      <w:pPr>
        <w:pStyle w:val="Heading2"/>
        <w:keepNext/>
        <w:spacing w:before="360" w:after="160"/>
      </w:pPr>
      <w:r>
        <w:rPr>
          <w:rFonts w:ascii="Arial" w:hAnsi="Arial"/>
          <w:b/>
          <w:color w:val="41719C"/>
          <w:sz w:val="26"/>
        </w:rPr>
        <w:t>2.8 Interfaz Gráfica y Gestión de Estado (Streamlit)</w:t>
      </w:r>
    </w:p>
    <w:p>
      <w:pPr>
        <w:spacing w:after="160" w:line="276" w:lineRule="auto"/>
        <w:jc w:val="both"/>
      </w:pPr>
      <w:r>
        <w:t>Para proveer usabilidad a usuarios no técnicos, se construyó una interfaz interactiva en Streamlit con diseño premium basado en gradientes y componentes visuales en modo oscuro. La interfaz cuenta con gestión del historial de chat en el estado de la sesión (session_state), permitiendo simular una conversación continua. Adicionalmente, incluye un panel lateral de ajustes en caliente (tamaño de chunk, overlap, temperatura de creatividad y k de recuperación) y un visor desplegable que muestra los fragmentos literales de texto recuperados del PDF para contrastar la veracidad del RAG.</w:t>
      </w:r>
    </w:p>
    <w:p>
      <w:pPr>
        <w:pStyle w:val="Heading1"/>
        <w:keepNext/>
        <w:spacing w:before="360" w:after="160"/>
      </w:pPr>
      <w:r>
        <w:rPr>
          <w:rFonts w:ascii="Arial" w:hAnsi="Arial"/>
          <w:b/>
          <w:color w:val="1F4E79"/>
          <w:sz w:val="32"/>
        </w:rPr>
        <w:t>3. CONCLUSIONES</w:t>
      </w:r>
    </w:p>
    <w:p>
      <w:pPr>
        <w:spacing w:after="160" w:line="276" w:lineRule="auto"/>
        <w:jc w:val="both"/>
      </w:pPr>
      <w:r>
        <w:t>El desarrollo de este asistente RAG local valida que es perfectamente viable construir herramientas avanzadas de procesamiento de información con altos estándares de calidad sin depender de servicios pagos en la nube. El uso de modelos ligeros optimizados (Llama 3.2 de 3B) y bases de datos vectoriales locales en disco sólido garantiza tiempos de respuesta extremadamente rápidos (inferiores a los 10 segundos), ofreciendo un rendimiento equiparable a soluciones comerciales en hardware portátil convencional.</w:t>
      </w:r>
    </w:p>
    <w:p>
      <w:pPr>
        <w:spacing w:after="160" w:line="276" w:lineRule="auto"/>
        <w:jc w:val="both"/>
      </w:pPr>
      <w:r>
        <w:t>La arquitectura modular propuesta facilita la mantenibilidad del código y permite escalar el sistema en el futuro, pudiendo incorporar técnicas de re-ranking de fragmentos (cross-encoders) o la ingesta multiformato (cargando archivos Word, hojas de cálculo o bases de datos relacionales SQL).</w:t>
      </w:r>
    </w:p>
    <w:p>
      <w:pPr>
        <w:pStyle w:val="Heading1"/>
        <w:keepNext/>
        <w:spacing w:before="360" w:after="160"/>
      </w:pPr>
      <w:r>
        <w:rPr>
          <w:rFonts w:ascii="Arial" w:hAnsi="Arial"/>
          <w:b/>
          <w:color w:val="1F4E79"/>
          <w:sz w:val="32"/>
        </w:rPr>
        <w:t>4. REFERENCIAS BIBLIOGRÁFICAS (APA SÉPTIMA EDICIÓN)</w:t>
      </w:r>
    </w:p>
    <w:p>
      <w:pPr>
        <w:spacing w:after="120" w:line="276" w:lineRule="auto"/>
        <w:ind w:left="720"/>
        <w:jc w:val="both"/>
      </w:pPr>
      <w:r>
        <w:t>Chroma. (2023). Chroma: The AI-native open-source embedding database (Versión 0.5) [Software de computación]. https://github.com/chroma-core/chroma</w:t>
      </w:r>
    </w:p>
    <w:p>
      <w:pPr>
        <w:spacing w:after="120" w:line="276" w:lineRule="auto"/>
        <w:ind w:left="720"/>
        <w:jc w:val="both"/>
      </w:pPr>
      <w:r>
        <w:t>LangChain. (2023). LangChain: Building applications with LLMs through composability (Versión 0.2) [Software de computación]. https://github.com/langchain-ai/langchain</w:t>
      </w:r>
    </w:p>
    <w:p>
      <w:pPr>
        <w:spacing w:after="120" w:line="276" w:lineRule="auto"/>
        <w:ind w:left="720"/>
        <w:jc w:val="both"/>
      </w:pPr>
      <w:r>
        <w:t>Lewis, P., Perez, E., Piktus, A., Petroni, F., Lewis, P., Riedel, S., &amp; Kiela, D. (2020). Retrieval-augmented generation for knowledge-intensive NLP tasks. Advances in Neural Information Processing Systems, 33, 9459–9474. https://arxiv.org/abs/1908.10084</w:t>
      </w:r>
    </w:p>
    <w:p>
      <w:pPr>
        <w:spacing w:after="120" w:line="276" w:lineRule="auto"/>
        <w:ind w:left="720"/>
        <w:jc w:val="both"/>
      </w:pPr>
      <w:r>
        <w:t>Meta AI. (2024). Llama 3.2: Open-source lightweight large language model [Modelo de lenguaje de gran escala]. Meta. https://llama.meta.com</w:t>
      </w:r>
    </w:p>
    <w:p>
      <w:pPr>
        <w:spacing w:after="120" w:line="276" w:lineRule="auto"/>
        <w:ind w:left="720"/>
        <w:jc w:val="both"/>
      </w:pPr>
      <w:r>
        <w:t>Ollama. (2024). Ollama: Run Llama 3, Mistral, and other large language models locally (Versión 0.3) [Software de computación]. https://ollama.com</w:t>
      </w:r>
    </w:p>
    <w:p>
      <w:pPr>
        <w:spacing w:after="120" w:line="276" w:lineRule="auto"/>
        <w:ind w:left="720"/>
        <w:jc w:val="both"/>
      </w:pPr>
      <w:r>
        <w:t>Reimers, N., &amp; Gurevych, I. (2019). Sentence-BERT: Sentence embeddings using Siamese BERT-networks. En Proceedings of the 2019 Conference on Empirical Methods in Natural Language Processing. Association for Computational Linguistics. https://doi.org/10.18653/v1/D19-1410</w:t>
      </w:r>
    </w:p>
    <w:p>
      <w:pPr>
        <w:spacing w:after="120" w:line="276" w:lineRule="auto"/>
        <w:ind w:left="720"/>
        <w:jc w:val="both"/>
      </w:pPr>
      <w:r>
        <w:t>Streamlit Inc. (2020). Streamlit: The fastest way to build and share data apps (Versión 1.35) [Software de computación]. https://streamlit.io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