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E5E9C" w14:textId="77777777" w:rsidR="004C29E9" w:rsidRPr="00DA325E" w:rsidRDefault="004C29E9" w:rsidP="009E4981">
      <w:pPr>
        <w:pStyle w:val="Title"/>
        <w:jc w:val="both"/>
      </w:pPr>
      <w:r w:rsidRPr="00DA325E">
        <w:t>Non-Exhaust Emissions and Dispersion</w:t>
      </w:r>
    </w:p>
    <w:p w14:paraId="03309052" w14:textId="18C1D457" w:rsidR="004C29E9" w:rsidRPr="00DA325E" w:rsidRDefault="004C29E9" w:rsidP="004C29E9">
      <w:pPr>
        <w:rPr>
          <w:color w:val="0000FF"/>
        </w:rPr>
      </w:pPr>
      <w:r w:rsidRPr="00DA325E">
        <w:t>Recent studies from the UK and Europe equally documented the main sources of non-exhaust emissions such as tyre wear, brake wear, and road surface wear</w:t>
      </w:r>
      <w:r>
        <w:t xml:space="preserve"> </w:t>
      </w:r>
      <w:r>
        <w:fldChar w:fldCharType="begin" w:fldLock="1"/>
      </w:r>
      <w:r w:rsidR="00204F96">
        <w:instrText>ADDIN CSL_CITATION {"citationItems":[{"id":"ITEM-1","itemData":{"author":[{"dropping-particle":"","family":"EMEP/EEA","given":"","non-dropping-particle":"","parse-names":false,"suffix":""}],"id":"ITEM-1","issued":{"date-parts":[["2019"]]},"title":"EMEP/EEA Air Pollutant Emission Inventory Guidebook 2019","type":"report"},"uris":["http://www.mendeley.com/documents/?uuid=0bb72285-78df-4a33-9afe-f58ed09ed1bd"]},{"id":"ITEM-2","itemData":{"author":[{"dropping-particle":"","family":"Air Quality Expert Group","given":"","non-dropping-particle":"","parse-names":false,"suffix":""}],"id":"ITEM-2","issued":{"date-parts":[["2019"]]},"number-of-pages":"93","title":"Non-Exhaust Emissions from Road Traffic","type":"report"},"uris":["http://www.mendeley.com/documents/?uuid=706e93f7-d2cb-40e9-8058-e4b674a64501"]}],"mendeley":{"formattedCitation":"(Air Quality Expert Group, 2019; EMEP/EEA, 2019)","plainTextFormattedCitation":"(Air Quality Expert Group, 2019; EMEP/EEA, 2019)","previouslyFormattedCitation":"(Air Quality Expert Group, 2019; EMEP/EEA, 2019)"},"properties":{"noteIndex":0},"schema":"https://github.com/citation-style-language/schema/raw/master/csl-citation.json"}</w:instrText>
      </w:r>
      <w:r>
        <w:fldChar w:fldCharType="separate"/>
      </w:r>
      <w:r w:rsidR="00CF264F" w:rsidRPr="00CF264F">
        <w:rPr>
          <w:noProof/>
        </w:rPr>
        <w:t>(Air Quality Expert Group, 2019; EMEP/EEA, 2019)</w:t>
      </w:r>
      <w:r>
        <w:fldChar w:fldCharType="end"/>
      </w:r>
      <w:r w:rsidRPr="00DA325E">
        <w:t>. A few papers included resuspension as a fourth contributor, but this study articulates resuspension in the dispersion section below.</w:t>
      </w:r>
      <w:r w:rsidRPr="00DA325E">
        <w:rPr>
          <w:color w:val="0000FF"/>
        </w:rPr>
        <w:t xml:space="preserve"> </w:t>
      </w:r>
      <w:r>
        <w:fldChar w:fldCharType="begin"/>
      </w:r>
      <w:r>
        <w:rPr>
          <w:color w:val="0000FF"/>
        </w:rPr>
        <w:instrText xml:space="preserve"> REF _Ref87876219 \h </w:instrText>
      </w:r>
      <w:r>
        <w:fldChar w:fldCharType="separate"/>
      </w:r>
      <w:r w:rsidR="00A866D8">
        <w:t xml:space="preserve">Figure </w:t>
      </w:r>
      <w:r w:rsidR="00A866D8">
        <w:rPr>
          <w:noProof/>
        </w:rPr>
        <w:t>1</w:t>
      </w:r>
      <w:r>
        <w:fldChar w:fldCharType="end"/>
      </w:r>
      <w:r>
        <w:t xml:space="preserve"> </w:t>
      </w:r>
      <w:r w:rsidRPr="00DA325E">
        <w:t>illustrates the non-exhaust emissions, dispersion, and dilution.</w:t>
      </w:r>
    </w:p>
    <w:p w14:paraId="791D40D3" w14:textId="77777777" w:rsidR="004C29E9" w:rsidRDefault="004C29E9" w:rsidP="004C29E9">
      <w:pPr>
        <w:keepNext/>
        <w:spacing w:after="0"/>
      </w:pPr>
      <w:r>
        <w:rPr>
          <w:noProof/>
        </w:rPr>
        <w:drawing>
          <wp:inline distT="0" distB="0" distL="0" distR="0" wp14:anchorId="21ADFDB8" wp14:editId="2AEB30D2">
            <wp:extent cx="5715000" cy="2425700"/>
            <wp:effectExtent l="0" t="0" r="0" b="0"/>
            <wp:docPr id="12" name="그림 1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5715000" cy="2425700"/>
                    </a:xfrm>
                    <a:prstGeom prst="rect">
                      <a:avLst/>
                    </a:prstGeom>
                  </pic:spPr>
                </pic:pic>
              </a:graphicData>
            </a:graphic>
          </wp:inline>
        </w:drawing>
      </w:r>
    </w:p>
    <w:p w14:paraId="724CD0D8" w14:textId="3DE37527" w:rsidR="004C29E9" w:rsidRPr="00DA325E" w:rsidRDefault="004C29E9" w:rsidP="004C29E9">
      <w:pPr>
        <w:pStyle w:val="CapFigure"/>
      </w:pPr>
      <w:bookmarkStart w:id="0" w:name="_Ref87876219"/>
      <w:r>
        <w:t xml:space="preserve">Figure </w:t>
      </w:r>
      <w:r>
        <w:fldChar w:fldCharType="begin"/>
      </w:r>
      <w:r>
        <w:instrText xml:space="preserve"> SEQ Figure \* ARABIC </w:instrText>
      </w:r>
      <w:r>
        <w:fldChar w:fldCharType="separate"/>
      </w:r>
      <w:r w:rsidR="00A866D8">
        <w:rPr>
          <w:noProof/>
        </w:rPr>
        <w:t>1</w:t>
      </w:r>
      <w:r>
        <w:fldChar w:fldCharType="end"/>
      </w:r>
      <w:bookmarkEnd w:id="0"/>
      <w:r>
        <w:rPr>
          <w:rFonts w:cstheme="minorBidi"/>
        </w:rPr>
        <w:t xml:space="preserve"> </w:t>
      </w:r>
      <w:r w:rsidRPr="00DA325E">
        <w:t>Graphical explanation of non-exhaust emissions, dispersion, and dilution</w:t>
      </w:r>
    </w:p>
    <w:p w14:paraId="07F4D87F" w14:textId="580B6ED1" w:rsidR="004C29E9" w:rsidRPr="00201341" w:rsidRDefault="004C29E9" w:rsidP="004C29E9">
      <w:pPr>
        <w:spacing w:after="0"/>
      </w:pPr>
      <w:r w:rsidRPr="00DA325E">
        <w:rPr>
          <w:highlight w:val="white"/>
        </w:rPr>
        <w:t xml:space="preserve">According to </w:t>
      </w:r>
      <w:r>
        <w:rPr>
          <w:highlight w:val="white"/>
        </w:rPr>
        <w:fldChar w:fldCharType="begin" w:fldLock="1"/>
      </w:r>
      <w:r w:rsidR="00204F96">
        <w:rPr>
          <w:highlight w:val="white"/>
        </w:rPr>
        <w:instrText>ADDIN CSL_CITATION {"citationItems":[{"id":"ITEM-1","itemData":{"author":[{"dropping-particle":"","family":"EMEP/EEA","given":"","non-dropping-particle":"","parse-names":false,"suffix":""}],"id":"ITEM-1","issued":{"date-parts":[["2019"]]},"title":"EMEP/EEA Air Pollutant Emission Inventory Guidebook 2019","type":"report"},"uris":["http://www.mendeley.com/documents/?uuid=0bb72285-78df-4a33-9afe-f58ed09ed1bd"]}],"mendeley":{"formattedCitation":"(EMEP/EEA, 2019)","plainTextFormattedCitation":"(EMEP/EEA, 2019)","previouslyFormattedCitation":"(EMEP/EEA, 2019)"},"properties":{"noteIndex":0},"schema":"https://github.com/citation-style-language/schema/raw/master/csl-citation.json"}</w:instrText>
      </w:r>
      <w:r>
        <w:rPr>
          <w:highlight w:val="white"/>
        </w:rPr>
        <w:fldChar w:fldCharType="separate"/>
      </w:r>
      <w:r w:rsidR="00CF264F" w:rsidRPr="00CF264F">
        <w:rPr>
          <w:noProof/>
          <w:highlight w:val="white"/>
        </w:rPr>
        <w:t>(EMEP/EEA, 2019)</w:t>
      </w:r>
      <w:r>
        <w:rPr>
          <w:highlight w:val="white"/>
        </w:rPr>
        <w:fldChar w:fldCharType="end"/>
      </w:r>
      <w:r w:rsidRPr="00DA325E">
        <w:rPr>
          <w:highlight w:val="white"/>
        </w:rPr>
        <w:t xml:space="preserve">, the total of non-exhaust emissions </w:t>
      </w:r>
      <w:r>
        <w:rPr>
          <w:highlight w:val="white"/>
        </w:rPr>
        <w:t xml:space="preserve">(NEE) </w:t>
      </w:r>
      <w:r w:rsidRPr="00DA325E">
        <w:rPr>
          <w:highlight w:val="white"/>
        </w:rPr>
        <w:t>is estimated with the following equation.</w:t>
      </w:r>
    </w:p>
    <w:p w14:paraId="57223483" w14:textId="77777777" w:rsidR="004C29E9" w:rsidRPr="00DA325E" w:rsidRDefault="004C29E9" w:rsidP="004C29E9">
      <w:pPr>
        <w:spacing w:after="0"/>
        <w:jc w:val="center"/>
        <w:rPr>
          <w:highlight w:val="white"/>
        </w:rPr>
      </w:pPr>
      <w:proofErr w:type="spellStart"/>
      <w:r>
        <w:rPr>
          <w:highlight w:val="white"/>
        </w:rPr>
        <w:t>NE</w:t>
      </w:r>
      <w:r w:rsidRPr="00DA325E">
        <w:rPr>
          <w:highlight w:val="white"/>
        </w:rPr>
        <w:t>E</w:t>
      </w:r>
      <w:r w:rsidRPr="00DA325E">
        <w:rPr>
          <w:highlight w:val="white"/>
          <w:vertAlign w:val="subscript"/>
        </w:rPr>
        <w:t>total</w:t>
      </w:r>
      <w:proofErr w:type="spellEnd"/>
      <w:r w:rsidRPr="00DA325E">
        <w:rPr>
          <w:highlight w:val="white"/>
        </w:rPr>
        <w:t xml:space="preserve"> = </w:t>
      </w:r>
      <w:proofErr w:type="spellStart"/>
      <w:r>
        <w:rPr>
          <w:highlight w:val="white"/>
        </w:rPr>
        <w:t>NE</w:t>
      </w:r>
      <w:r w:rsidRPr="00DA325E">
        <w:rPr>
          <w:highlight w:val="white"/>
        </w:rPr>
        <w:t>E</w:t>
      </w:r>
      <w:r w:rsidRPr="00DA325E">
        <w:rPr>
          <w:highlight w:val="white"/>
          <w:vertAlign w:val="subscript"/>
        </w:rPr>
        <w:t>Tyre</w:t>
      </w:r>
      <w:proofErr w:type="spellEnd"/>
      <w:r w:rsidRPr="00DA325E">
        <w:rPr>
          <w:highlight w:val="white"/>
        </w:rPr>
        <w:t xml:space="preserve"> + </w:t>
      </w:r>
      <w:proofErr w:type="spellStart"/>
      <w:r>
        <w:rPr>
          <w:highlight w:val="white"/>
        </w:rPr>
        <w:t>NE</w:t>
      </w:r>
      <w:r w:rsidRPr="00DA325E">
        <w:rPr>
          <w:highlight w:val="white"/>
        </w:rPr>
        <w:t>E</w:t>
      </w:r>
      <w:r w:rsidRPr="00DA325E">
        <w:rPr>
          <w:highlight w:val="white"/>
          <w:vertAlign w:val="subscript"/>
        </w:rPr>
        <w:t>Brake</w:t>
      </w:r>
      <w:proofErr w:type="spellEnd"/>
      <w:r w:rsidRPr="00DA325E">
        <w:rPr>
          <w:highlight w:val="white"/>
        </w:rPr>
        <w:t xml:space="preserve"> + </w:t>
      </w:r>
      <w:proofErr w:type="spellStart"/>
      <w:r>
        <w:rPr>
          <w:highlight w:val="white"/>
        </w:rPr>
        <w:t>NE</w:t>
      </w:r>
      <w:r w:rsidRPr="00DA325E">
        <w:rPr>
          <w:highlight w:val="white"/>
        </w:rPr>
        <w:t>E</w:t>
      </w:r>
      <w:r w:rsidRPr="00DA325E">
        <w:rPr>
          <w:highlight w:val="white"/>
          <w:vertAlign w:val="subscript"/>
        </w:rPr>
        <w:t>Road</w:t>
      </w:r>
      <w:proofErr w:type="spellEnd"/>
      <w:r w:rsidRPr="00DA325E">
        <w:rPr>
          <w:highlight w:val="white"/>
        </w:rPr>
        <w:t xml:space="preserve"> </w:t>
      </w:r>
    </w:p>
    <w:p w14:paraId="56455E27" w14:textId="77777777" w:rsidR="004C29E9" w:rsidRPr="00856386" w:rsidRDefault="004C29E9" w:rsidP="004C29E9">
      <w:pPr>
        <w:pStyle w:val="ListParagraph"/>
        <w:numPr>
          <w:ilvl w:val="0"/>
          <w:numId w:val="1"/>
        </w:numPr>
        <w:pBdr>
          <w:top w:val="nil"/>
          <w:left w:val="nil"/>
          <w:bottom w:val="nil"/>
          <w:right w:val="nil"/>
          <w:between w:val="nil"/>
        </w:pBdr>
        <w:spacing w:after="0"/>
        <w:ind w:leftChars="0"/>
        <w:jc w:val="left"/>
        <w:rPr>
          <w:rFonts w:eastAsia="Times New Roman"/>
          <w:color w:val="000000"/>
          <w:highlight w:val="white"/>
        </w:rPr>
      </w:pPr>
      <w:proofErr w:type="spellStart"/>
      <w:r>
        <w:rPr>
          <w:highlight w:val="white"/>
        </w:rPr>
        <w:t>NE</w:t>
      </w:r>
      <w:r w:rsidRPr="00856386">
        <w:rPr>
          <w:rFonts w:eastAsia="Times New Roman"/>
          <w:color w:val="000000"/>
          <w:highlight w:val="white"/>
        </w:rPr>
        <w:t>E</w:t>
      </w:r>
      <w:r w:rsidRPr="00856386">
        <w:rPr>
          <w:rFonts w:eastAsia="Times New Roman"/>
          <w:color w:val="000000"/>
          <w:highlight w:val="white"/>
          <w:vertAlign w:val="subscript"/>
        </w:rPr>
        <w:t>Total</w:t>
      </w:r>
      <w:proofErr w:type="spellEnd"/>
      <w:r w:rsidRPr="00856386">
        <w:rPr>
          <w:rFonts w:eastAsia="Times New Roman"/>
          <w:color w:val="000000"/>
          <w:highlight w:val="white"/>
        </w:rPr>
        <w:t>: the total non-exhaust PM emissions</w:t>
      </w:r>
    </w:p>
    <w:p w14:paraId="3E39F2D5" w14:textId="77777777" w:rsidR="004C29E9" w:rsidRPr="00DA325E" w:rsidRDefault="004C29E9" w:rsidP="004C29E9">
      <w:pPr>
        <w:pStyle w:val="ListParagraph"/>
        <w:numPr>
          <w:ilvl w:val="0"/>
          <w:numId w:val="1"/>
        </w:numPr>
        <w:pBdr>
          <w:top w:val="nil"/>
          <w:left w:val="nil"/>
          <w:bottom w:val="nil"/>
          <w:right w:val="nil"/>
          <w:between w:val="nil"/>
        </w:pBdr>
        <w:spacing w:after="0"/>
        <w:ind w:leftChars="0"/>
        <w:jc w:val="left"/>
        <w:rPr>
          <w:rFonts w:eastAsia="Times New Roman"/>
          <w:color w:val="000000"/>
          <w:highlight w:val="white"/>
        </w:rPr>
      </w:pPr>
      <w:proofErr w:type="spellStart"/>
      <w:r>
        <w:rPr>
          <w:highlight w:val="white"/>
        </w:rPr>
        <w:t>NE</w:t>
      </w:r>
      <w:r w:rsidRPr="00DA325E">
        <w:rPr>
          <w:rFonts w:eastAsia="Times New Roman"/>
          <w:color w:val="000000"/>
          <w:highlight w:val="white"/>
        </w:rPr>
        <w:t>E</w:t>
      </w:r>
      <w:r w:rsidRPr="00DA325E">
        <w:rPr>
          <w:rFonts w:eastAsia="Times New Roman"/>
          <w:color w:val="000000"/>
          <w:highlight w:val="white"/>
          <w:vertAlign w:val="subscript"/>
        </w:rPr>
        <w:t>Tyre</w:t>
      </w:r>
      <w:proofErr w:type="spellEnd"/>
      <w:r w:rsidRPr="00DA325E">
        <w:rPr>
          <w:rFonts w:eastAsia="Times New Roman"/>
          <w:color w:val="000000"/>
          <w:highlight w:val="white"/>
        </w:rPr>
        <w:t>: PM emissions from tyre wear</w:t>
      </w:r>
    </w:p>
    <w:p w14:paraId="5025A819" w14:textId="77777777" w:rsidR="004C29E9" w:rsidRPr="00DA325E" w:rsidRDefault="004C29E9" w:rsidP="004C29E9">
      <w:pPr>
        <w:pStyle w:val="ListParagraph"/>
        <w:numPr>
          <w:ilvl w:val="0"/>
          <w:numId w:val="1"/>
        </w:numPr>
        <w:pBdr>
          <w:top w:val="nil"/>
          <w:left w:val="nil"/>
          <w:bottom w:val="nil"/>
          <w:right w:val="nil"/>
          <w:between w:val="nil"/>
        </w:pBdr>
        <w:spacing w:after="0"/>
        <w:ind w:leftChars="0"/>
        <w:jc w:val="left"/>
        <w:rPr>
          <w:rFonts w:eastAsia="Times New Roman"/>
          <w:color w:val="000000"/>
          <w:highlight w:val="white"/>
        </w:rPr>
      </w:pPr>
      <w:proofErr w:type="spellStart"/>
      <w:r>
        <w:rPr>
          <w:highlight w:val="white"/>
        </w:rPr>
        <w:t>NE</w:t>
      </w:r>
      <w:r w:rsidRPr="00DA325E">
        <w:rPr>
          <w:rFonts w:eastAsia="Times New Roman"/>
          <w:color w:val="000000"/>
          <w:highlight w:val="white"/>
        </w:rPr>
        <w:t>E</w:t>
      </w:r>
      <w:r w:rsidRPr="00DA325E">
        <w:rPr>
          <w:rFonts w:eastAsia="Times New Roman"/>
          <w:color w:val="000000"/>
          <w:highlight w:val="white"/>
          <w:vertAlign w:val="subscript"/>
        </w:rPr>
        <w:t>Brake</w:t>
      </w:r>
      <w:proofErr w:type="spellEnd"/>
      <w:r w:rsidRPr="00DA325E">
        <w:rPr>
          <w:rFonts w:eastAsia="Times New Roman"/>
          <w:color w:val="000000"/>
          <w:highlight w:val="white"/>
        </w:rPr>
        <w:t>: PM emissions from brake wear</w:t>
      </w:r>
    </w:p>
    <w:p w14:paraId="4FAEB54D" w14:textId="77777777" w:rsidR="004C29E9" w:rsidRPr="00DA325E" w:rsidRDefault="004C29E9" w:rsidP="004C29E9">
      <w:pPr>
        <w:pStyle w:val="ListParagraph"/>
        <w:numPr>
          <w:ilvl w:val="0"/>
          <w:numId w:val="1"/>
        </w:numPr>
        <w:pBdr>
          <w:top w:val="nil"/>
          <w:left w:val="nil"/>
          <w:bottom w:val="nil"/>
          <w:right w:val="nil"/>
          <w:between w:val="nil"/>
        </w:pBdr>
        <w:spacing w:after="0"/>
        <w:ind w:leftChars="0"/>
        <w:jc w:val="left"/>
        <w:rPr>
          <w:rFonts w:eastAsia="Times New Roman"/>
          <w:color w:val="000000"/>
          <w:highlight w:val="white"/>
        </w:rPr>
      </w:pPr>
      <w:proofErr w:type="spellStart"/>
      <w:r>
        <w:rPr>
          <w:highlight w:val="white"/>
        </w:rPr>
        <w:t>NE</w:t>
      </w:r>
      <w:r w:rsidRPr="00DA325E">
        <w:rPr>
          <w:rFonts w:eastAsia="Times New Roman"/>
          <w:color w:val="000000"/>
          <w:highlight w:val="white"/>
        </w:rPr>
        <w:t>E</w:t>
      </w:r>
      <w:r w:rsidRPr="00DA325E">
        <w:rPr>
          <w:rFonts w:eastAsia="Times New Roman"/>
          <w:color w:val="000000"/>
          <w:highlight w:val="white"/>
          <w:vertAlign w:val="subscript"/>
        </w:rPr>
        <w:t>Road</w:t>
      </w:r>
      <w:proofErr w:type="spellEnd"/>
      <w:r w:rsidRPr="00DA325E">
        <w:rPr>
          <w:rFonts w:eastAsia="Times New Roman"/>
          <w:color w:val="000000"/>
          <w:highlight w:val="white"/>
        </w:rPr>
        <w:t>: PM emissions due to road abrasion</w:t>
      </w:r>
    </w:p>
    <w:p w14:paraId="0ED72264" w14:textId="77777777" w:rsidR="009E4981" w:rsidRDefault="009E4981" w:rsidP="004C29E9"/>
    <w:p w14:paraId="7C6E2C3A" w14:textId="6E4F0083" w:rsidR="004C29E9" w:rsidRDefault="004C29E9" w:rsidP="004C29E9">
      <w:r w:rsidRPr="00DA325E">
        <w:t>Each component will be investigated in the following sections.</w:t>
      </w:r>
    </w:p>
    <w:p w14:paraId="67D3858B" w14:textId="77777777" w:rsidR="009E4981" w:rsidRPr="00DA325E" w:rsidRDefault="009E4981" w:rsidP="004C29E9"/>
    <w:p w14:paraId="29A3A46F" w14:textId="319C4725" w:rsidR="004C29E9" w:rsidRPr="00DA325E" w:rsidRDefault="004C29E9" w:rsidP="009E4981">
      <w:pPr>
        <w:pStyle w:val="Heading1"/>
      </w:pPr>
      <w:r w:rsidRPr="00DA325E">
        <w:t>1</w:t>
      </w:r>
      <w:r w:rsidR="009E4981">
        <w:t>.</w:t>
      </w:r>
      <w:r w:rsidRPr="00DA325E">
        <w:t xml:space="preserve"> Tyre Wear</w:t>
      </w:r>
    </w:p>
    <w:p w14:paraId="05E7F771" w14:textId="77777777" w:rsidR="004C29E9" w:rsidRPr="00B1158F" w:rsidRDefault="004C29E9" w:rsidP="004C29E9">
      <w:pPr>
        <w:jc w:val="center"/>
        <w:rPr>
          <w:i/>
          <w:highlight w:val="white"/>
        </w:rPr>
      </w:pPr>
      <m:oMathPara>
        <m:oMath>
          <m:r>
            <w:rPr>
              <w:rFonts w:ascii="Cambria Math" w:hAnsi="Cambria Math"/>
            </w:rPr>
            <m:t>NE</m:t>
          </m:r>
          <m:sSub>
            <m:sSubPr>
              <m:ctrlPr>
                <w:rPr>
                  <w:rFonts w:ascii="Cambria Math" w:hAnsi="Cambria Math"/>
                  <w:i/>
                </w:rPr>
              </m:ctrlPr>
            </m:sSubPr>
            <m:e>
              <m:r>
                <m:rPr>
                  <m:nor/>
                </m:rPr>
                <w:rPr>
                  <w:rFonts w:ascii="Cambria Math" w:hAnsi="Cambria Math"/>
                </w:rPr>
                <m:t>E</m:t>
              </m:r>
              <m:ctrlPr>
                <w:rPr>
                  <w:rFonts w:ascii="Cambria Math" w:hAnsi="Cambria Math"/>
                </w:rPr>
              </m:ctrlPr>
            </m:e>
            <m:sub>
              <m:r>
                <m:rPr>
                  <m:nor/>
                </m:rPr>
                <w:rPr>
                  <w:rFonts w:ascii="Cambria Math" w:hAnsi="Cambria Math"/>
                </w:rPr>
                <m:t>tyre</m:t>
              </m:r>
            </m:sub>
          </m:sSub>
          <m:r>
            <m:rPr>
              <m:nor/>
            </m:rPr>
            <w:rPr>
              <w:rFonts w:ascii="Cambria Math" w:hAnsi="Cambria Math"/>
            </w:rPr>
            <m:t>=</m:t>
          </m:r>
          <m:nary>
            <m:naryPr>
              <m:chr m:val="∑"/>
              <m:limLoc m:val="undOvr"/>
              <m:ctrlPr>
                <w:rPr>
                  <w:rFonts w:ascii="Cambria Math" w:hAnsi="Cambria Math"/>
                  <w:i/>
                </w:rPr>
              </m:ctrlPr>
            </m:naryPr>
            <m:sub>
              <m:r>
                <m:rPr>
                  <m:nor/>
                </m:rPr>
                <w:rPr>
                  <w:rFonts w:ascii="Cambria Math" w:hAnsi="Cambria Math"/>
                </w:rPr>
                <m:t>i=1</m:t>
              </m:r>
            </m:sub>
            <m:sup>
              <m:r>
                <m:rPr>
                  <m:nor/>
                </m:rPr>
                <w:rPr>
                  <w:rFonts w:ascii="Cambria Math" w:hAnsi="Cambria Math"/>
                </w:rPr>
                <m:t>n</m:t>
              </m:r>
            </m:sup>
            <m:e>
              <m:sSub>
                <m:sSubPr>
                  <m:ctrlPr>
                    <w:rPr>
                      <w:rFonts w:ascii="Cambria Math" w:hAnsi="Cambria Math"/>
                      <w:i/>
                    </w:rPr>
                  </m:ctrlPr>
                </m:sSubPr>
                <m:e>
                  <m:r>
                    <m:rPr>
                      <m:nor/>
                    </m:rPr>
                    <w:rPr>
                      <w:rFonts w:ascii="Cambria Math" w:hAnsi="Cambria Math"/>
                    </w:rPr>
                    <m:t>N</m:t>
                  </m:r>
                </m:e>
                <m:sub>
                  <m:r>
                    <m:rPr>
                      <m:nor/>
                    </m:rPr>
                    <w:rPr>
                      <w:rFonts w:ascii="Cambria Math" w:hAnsi="Cambria Math"/>
                    </w:rPr>
                    <m:t>j</m:t>
                  </m:r>
                </m:sub>
              </m:sSub>
            </m:e>
          </m:nary>
          <m:sSub>
            <m:sSubPr>
              <m:ctrlPr>
                <w:rPr>
                  <w:rFonts w:ascii="Cambria Math" w:hAnsi="Cambria Math"/>
                  <w:i/>
                </w:rPr>
              </m:ctrlPr>
            </m:sSubPr>
            <m:e>
              <m:r>
                <m:rPr>
                  <m:nor/>
                </m:rPr>
                <w:rPr>
                  <w:rFonts w:ascii="Cambria Math" w:hAnsi="Cambria Math"/>
                </w:rPr>
                <m:t>×M</m:t>
              </m:r>
              <m:ctrlPr>
                <w:rPr>
                  <w:rFonts w:ascii="Cambria Math" w:hAnsi="Cambria Math"/>
                </w:rPr>
              </m:ctrlPr>
            </m:e>
            <m:sub>
              <m:r>
                <m:rPr>
                  <m:nor/>
                </m:rPr>
                <w:rPr>
                  <w:rFonts w:ascii="Cambria Math" w:hAnsi="Cambria Math"/>
                </w:rPr>
                <m:t>j</m:t>
              </m:r>
            </m:sub>
          </m:sSub>
          <m:r>
            <m:rPr>
              <m:nor/>
            </m:rPr>
            <w:rPr>
              <w:rFonts w:ascii="Cambria Math" w:hAnsi="Cambria Math"/>
            </w:rPr>
            <m:t>×</m:t>
          </m:r>
          <m:sSub>
            <m:sSubPr>
              <m:ctrlPr>
                <w:rPr>
                  <w:rFonts w:ascii="Cambria Math" w:hAnsi="Cambria Math"/>
                  <w:i/>
                </w:rPr>
              </m:ctrlPr>
            </m:sSubPr>
            <m:e>
              <m:sSub>
                <m:sSubPr>
                  <m:ctrlPr>
                    <w:rPr>
                      <w:rFonts w:ascii="Cambria Math" w:hAnsi="Cambria Math"/>
                      <w:i/>
                    </w:rPr>
                  </m:ctrlPr>
                </m:sSubPr>
                <m:e>
                  <m:r>
                    <m:rPr>
                      <m:nor/>
                    </m:rPr>
                    <w:rPr>
                      <w:rFonts w:ascii="Cambria Math" w:hAnsi="Cambria Math"/>
                    </w:rPr>
                    <m:t>EF</m:t>
                  </m:r>
                  <m:ctrlPr>
                    <w:rPr>
                      <w:rFonts w:ascii="Cambria Math" w:eastAsia="Cambria Math" w:hAnsi="Cambria Math" w:cs="Cambria Math"/>
                      <w:i/>
                    </w:rPr>
                  </m:ctrlPr>
                </m:e>
                <m:sub>
                  <m:r>
                    <m:rPr>
                      <m:nor/>
                    </m:rPr>
                    <w:rPr>
                      <w:rFonts w:ascii="Cambria Math" w:hAnsi="Cambria Math"/>
                    </w:rPr>
                    <m:t>Tyre,j</m:t>
                  </m:r>
                </m:sub>
              </m:sSub>
              <m:r>
                <m:rPr>
                  <m:nor/>
                </m:rPr>
                <w:rPr>
                  <w:rFonts w:ascii="Cambria Math" w:hAnsi="Cambria Math"/>
                </w:rPr>
                <m:t>×F</m:t>
              </m:r>
              <m:ctrlPr>
                <w:rPr>
                  <w:rFonts w:ascii="Cambria Math" w:eastAsia="Cambria Math" w:hAnsi="Cambria Math" w:cs="Cambria Math"/>
                  <w:i/>
                </w:rPr>
              </m:ctrlPr>
            </m:e>
            <m:sub>
              <m:r>
                <m:rPr>
                  <m:nor/>
                </m:rPr>
                <w:rPr>
                  <w:rFonts w:ascii="Cambria Math" w:hAnsi="Cambria Math"/>
                </w:rPr>
                <m:t>s,i</m:t>
              </m:r>
            </m:sub>
          </m:sSub>
          <m:r>
            <m:rPr>
              <m:nor/>
            </m:rPr>
            <w:rPr>
              <w:rFonts w:ascii="Cambria Math" w:hAnsi="Cambria Math"/>
            </w:rPr>
            <m:t>×S</m:t>
          </m:r>
          <m:d>
            <m:dPr>
              <m:ctrlPr>
                <w:rPr>
                  <w:rFonts w:ascii="Cambria Math" w:hAnsi="Cambria Math"/>
                  <w:i/>
                </w:rPr>
              </m:ctrlPr>
            </m:dPr>
            <m:e>
              <m:r>
                <m:rPr>
                  <m:nor/>
                </m:rPr>
                <w:rPr>
                  <w:rFonts w:ascii="Cambria Math" w:hAnsi="Cambria Math"/>
                </w:rPr>
                <m:t>V</m:t>
              </m:r>
            </m:e>
          </m:d>
        </m:oMath>
      </m:oMathPara>
    </w:p>
    <w:p w14:paraId="2F0C579C" w14:textId="77777777" w:rsidR="004C29E9" w:rsidRPr="00DA325E" w:rsidRDefault="004C29E9" w:rsidP="004C29E9">
      <w:pPr>
        <w:pStyle w:val="ListParagraph"/>
        <w:numPr>
          <w:ilvl w:val="0"/>
          <w:numId w:val="1"/>
        </w:numPr>
        <w:pBdr>
          <w:top w:val="nil"/>
          <w:left w:val="nil"/>
          <w:bottom w:val="nil"/>
          <w:right w:val="nil"/>
          <w:between w:val="nil"/>
        </w:pBdr>
        <w:spacing w:after="0"/>
        <w:ind w:leftChars="0"/>
        <w:jc w:val="left"/>
        <w:rPr>
          <w:rFonts w:eastAsia="Times New Roman"/>
          <w:color w:val="000000"/>
          <w:highlight w:val="white"/>
        </w:rPr>
      </w:pPr>
      <w:proofErr w:type="spellStart"/>
      <w:r>
        <w:rPr>
          <w:highlight w:val="white"/>
        </w:rPr>
        <w:t>NE</w:t>
      </w:r>
      <w:r w:rsidRPr="00DA325E">
        <w:rPr>
          <w:rFonts w:eastAsia="Times New Roman"/>
          <w:color w:val="000000"/>
          <w:highlight w:val="white"/>
        </w:rPr>
        <w:t>E</w:t>
      </w:r>
      <w:r w:rsidRPr="00DA325E">
        <w:rPr>
          <w:rFonts w:eastAsia="Times New Roman"/>
          <w:color w:val="000000"/>
          <w:highlight w:val="white"/>
          <w:vertAlign w:val="subscript"/>
        </w:rPr>
        <w:t>Tyre</w:t>
      </w:r>
      <w:proofErr w:type="spellEnd"/>
      <w:r w:rsidRPr="00DA325E">
        <w:rPr>
          <w:rFonts w:eastAsia="Times New Roman"/>
          <w:color w:val="000000"/>
          <w:highlight w:val="white"/>
        </w:rPr>
        <w:t>: Total emissions for the defined time and spatial boundary (g)</w:t>
      </w:r>
    </w:p>
    <w:p w14:paraId="0789BFEF" w14:textId="77777777" w:rsidR="004C29E9" w:rsidRPr="00DA325E" w:rsidRDefault="004C29E9" w:rsidP="004C29E9">
      <w:pPr>
        <w:pStyle w:val="ListParagraph"/>
        <w:numPr>
          <w:ilvl w:val="0"/>
          <w:numId w:val="1"/>
        </w:numPr>
        <w:pBdr>
          <w:top w:val="nil"/>
          <w:left w:val="nil"/>
          <w:bottom w:val="nil"/>
          <w:right w:val="nil"/>
          <w:between w:val="nil"/>
        </w:pBdr>
        <w:spacing w:after="0"/>
        <w:ind w:leftChars="0"/>
        <w:jc w:val="left"/>
        <w:rPr>
          <w:rFonts w:eastAsia="Times New Roman"/>
          <w:color w:val="000000"/>
          <w:highlight w:val="white"/>
        </w:rPr>
      </w:pPr>
      <w:r w:rsidRPr="00DA325E">
        <w:rPr>
          <w:rFonts w:eastAsia="Times New Roman"/>
          <w:color w:val="000000"/>
          <w:highlight w:val="white"/>
        </w:rPr>
        <w:t>N</w:t>
      </w:r>
      <w:r w:rsidRPr="00DA325E">
        <w:rPr>
          <w:rFonts w:eastAsia="Times New Roman"/>
          <w:color w:val="000000"/>
          <w:highlight w:val="white"/>
          <w:vertAlign w:val="subscript"/>
        </w:rPr>
        <w:t>j</w:t>
      </w:r>
      <w:r w:rsidRPr="00DA325E">
        <w:rPr>
          <w:rFonts w:eastAsia="Times New Roman"/>
          <w:color w:val="000000"/>
          <w:highlight w:val="white"/>
        </w:rPr>
        <w:t xml:space="preserve">: Number of vehicles in category </w:t>
      </w:r>
      <w:r w:rsidRPr="00DA325E">
        <w:rPr>
          <w:rFonts w:eastAsia="Times New Roman"/>
          <w:i/>
          <w:color w:val="000000"/>
          <w:highlight w:val="white"/>
        </w:rPr>
        <w:t>j</w:t>
      </w:r>
      <w:r w:rsidRPr="00DA325E">
        <w:rPr>
          <w:rFonts w:eastAsia="Times New Roman"/>
          <w:color w:val="000000"/>
          <w:highlight w:val="white"/>
        </w:rPr>
        <w:t xml:space="preserve"> within the defined spatial boundary</w:t>
      </w:r>
    </w:p>
    <w:p w14:paraId="4A94F982" w14:textId="77777777" w:rsidR="004C29E9" w:rsidRPr="00BF4A4B" w:rsidRDefault="004C29E9" w:rsidP="004C29E9">
      <w:pPr>
        <w:pStyle w:val="ListParagraph"/>
        <w:numPr>
          <w:ilvl w:val="0"/>
          <w:numId w:val="1"/>
        </w:numPr>
        <w:pBdr>
          <w:top w:val="nil"/>
          <w:left w:val="nil"/>
          <w:bottom w:val="nil"/>
          <w:right w:val="nil"/>
          <w:between w:val="nil"/>
        </w:pBdr>
        <w:spacing w:after="0"/>
        <w:ind w:leftChars="0"/>
        <w:jc w:val="left"/>
        <w:rPr>
          <w:rFonts w:eastAsia="Times New Roman"/>
          <w:iCs/>
          <w:color w:val="000000"/>
          <w:highlight w:val="white"/>
        </w:rPr>
      </w:pPr>
      <w:proofErr w:type="spellStart"/>
      <w:r w:rsidRPr="00BF4A4B">
        <w:rPr>
          <w:rFonts w:eastAsia="Times New Roman"/>
          <w:iCs/>
          <w:color w:val="000000"/>
          <w:highlight w:val="white"/>
        </w:rPr>
        <w:t>M</w:t>
      </w:r>
      <w:r w:rsidRPr="00BF4A4B">
        <w:rPr>
          <w:rFonts w:eastAsia="Times New Roman"/>
          <w:iCs/>
          <w:color w:val="000000"/>
          <w:highlight w:val="white"/>
          <w:vertAlign w:val="subscript"/>
        </w:rPr>
        <w:t>j</w:t>
      </w:r>
      <w:proofErr w:type="spellEnd"/>
      <w:r w:rsidRPr="00BF4A4B">
        <w:rPr>
          <w:rFonts w:eastAsia="Times New Roman"/>
          <w:iCs/>
          <w:color w:val="000000"/>
          <w:highlight w:val="white"/>
        </w:rPr>
        <w:t xml:space="preserve">: </w:t>
      </w:r>
      <w:r w:rsidRPr="00BF4A4B">
        <w:rPr>
          <w:iCs/>
          <w:highlight w:val="white"/>
        </w:rPr>
        <w:t>M</w:t>
      </w:r>
      <w:r w:rsidRPr="00BF4A4B">
        <w:rPr>
          <w:rFonts w:eastAsia="Times New Roman"/>
          <w:iCs/>
          <w:color w:val="000000"/>
          <w:highlight w:val="white"/>
        </w:rPr>
        <w:t xml:space="preserve">ileage (km) driven by each vehicle in category j during the defined time </w:t>
      </w:r>
      <w:r w:rsidRPr="00EC5E7A">
        <w:rPr>
          <w:rFonts w:eastAsia="Times New Roman"/>
          <w:i/>
          <w:color w:val="000000"/>
          <w:highlight w:val="white"/>
        </w:rPr>
        <w:t>(not used)</w:t>
      </w:r>
    </w:p>
    <w:p w14:paraId="5034C738" w14:textId="77777777" w:rsidR="004C29E9" w:rsidRPr="00DA325E" w:rsidRDefault="004C29E9" w:rsidP="004C29E9">
      <w:pPr>
        <w:pStyle w:val="ListParagraph"/>
        <w:numPr>
          <w:ilvl w:val="0"/>
          <w:numId w:val="1"/>
        </w:numPr>
        <w:pBdr>
          <w:top w:val="nil"/>
          <w:left w:val="nil"/>
          <w:bottom w:val="nil"/>
          <w:right w:val="nil"/>
          <w:between w:val="nil"/>
        </w:pBdr>
        <w:spacing w:after="0"/>
        <w:ind w:leftChars="0"/>
        <w:jc w:val="left"/>
        <w:rPr>
          <w:rFonts w:eastAsia="Times New Roman"/>
          <w:color w:val="000000"/>
          <w:highlight w:val="white"/>
        </w:rPr>
      </w:pPr>
      <w:proofErr w:type="spellStart"/>
      <w:r w:rsidRPr="00BF4A4B">
        <w:rPr>
          <w:rFonts w:eastAsia="Times New Roman"/>
          <w:iCs/>
          <w:color w:val="000000"/>
          <w:highlight w:val="white"/>
        </w:rPr>
        <w:t>E</w:t>
      </w:r>
      <w:r w:rsidRPr="00DA325E">
        <w:rPr>
          <w:rFonts w:eastAsia="Times New Roman"/>
          <w:color w:val="000000"/>
          <w:highlight w:val="white"/>
        </w:rPr>
        <w:t>F</w:t>
      </w:r>
      <w:r w:rsidRPr="00DA325E">
        <w:rPr>
          <w:rFonts w:eastAsia="Times New Roman"/>
          <w:color w:val="000000"/>
          <w:highlight w:val="white"/>
          <w:vertAlign w:val="subscript"/>
        </w:rPr>
        <w:t>Tyre</w:t>
      </w:r>
      <w:proofErr w:type="spellEnd"/>
      <w:r w:rsidRPr="00DA325E">
        <w:rPr>
          <w:rFonts w:eastAsia="Times New Roman"/>
          <w:color w:val="000000"/>
          <w:highlight w:val="white"/>
          <w:vertAlign w:val="subscript"/>
        </w:rPr>
        <w:t>, j</w:t>
      </w:r>
      <w:r w:rsidRPr="00DA325E">
        <w:rPr>
          <w:rFonts w:eastAsia="Times New Roman"/>
          <w:color w:val="000000"/>
          <w:highlight w:val="white"/>
        </w:rPr>
        <w:t xml:space="preserve">: TSP mass emission factor for vehicles in category </w:t>
      </w:r>
      <w:r w:rsidRPr="00DA325E">
        <w:rPr>
          <w:rFonts w:eastAsia="Times New Roman"/>
          <w:i/>
          <w:color w:val="000000"/>
          <w:highlight w:val="white"/>
        </w:rPr>
        <w:t>j</w:t>
      </w:r>
      <w:r w:rsidRPr="00DA325E">
        <w:rPr>
          <w:rFonts w:eastAsia="Times New Roman"/>
          <w:color w:val="000000"/>
          <w:highlight w:val="white"/>
        </w:rPr>
        <w:t xml:space="preserve"> (g/km)</w:t>
      </w:r>
    </w:p>
    <w:p w14:paraId="13CB84C4" w14:textId="77777777" w:rsidR="004C29E9" w:rsidRPr="00DA325E" w:rsidRDefault="004C29E9" w:rsidP="004C29E9">
      <w:pPr>
        <w:pStyle w:val="ListParagraph"/>
        <w:numPr>
          <w:ilvl w:val="0"/>
          <w:numId w:val="1"/>
        </w:numPr>
        <w:pBdr>
          <w:top w:val="nil"/>
          <w:left w:val="nil"/>
          <w:bottom w:val="nil"/>
          <w:right w:val="nil"/>
          <w:between w:val="nil"/>
        </w:pBdr>
        <w:spacing w:after="0"/>
        <w:ind w:leftChars="0"/>
        <w:jc w:val="left"/>
        <w:rPr>
          <w:rFonts w:eastAsia="Times New Roman"/>
          <w:color w:val="000000"/>
          <w:highlight w:val="white"/>
        </w:rPr>
      </w:pPr>
      <w:proofErr w:type="spellStart"/>
      <w:proofErr w:type="gramStart"/>
      <w:r w:rsidRPr="00DA325E">
        <w:rPr>
          <w:rFonts w:eastAsia="Times New Roman"/>
          <w:color w:val="000000"/>
          <w:highlight w:val="white"/>
        </w:rPr>
        <w:t>F</w:t>
      </w:r>
      <w:r w:rsidRPr="00DA325E">
        <w:rPr>
          <w:rFonts w:eastAsia="Times New Roman"/>
          <w:color w:val="000000"/>
          <w:highlight w:val="white"/>
          <w:vertAlign w:val="subscript"/>
        </w:rPr>
        <w:t>s,i</w:t>
      </w:r>
      <w:proofErr w:type="spellEnd"/>
      <w:proofErr w:type="gramEnd"/>
      <w:r w:rsidRPr="00DA325E">
        <w:rPr>
          <w:rFonts w:eastAsia="Times New Roman"/>
          <w:color w:val="000000"/>
          <w:highlight w:val="white"/>
        </w:rPr>
        <w:t xml:space="preserve">: </w:t>
      </w:r>
      <w:r w:rsidRPr="00DA325E">
        <w:rPr>
          <w:highlight w:val="white"/>
        </w:rPr>
        <w:t>M</w:t>
      </w:r>
      <w:r w:rsidRPr="00DA325E">
        <w:rPr>
          <w:rFonts w:eastAsia="Times New Roman"/>
          <w:color w:val="000000"/>
          <w:highlight w:val="white"/>
        </w:rPr>
        <w:t xml:space="preserve">ass fraction of </w:t>
      </w:r>
      <w:r w:rsidRPr="00856386">
        <w:rPr>
          <w:rFonts w:eastAsia="Times New Roman"/>
          <w:color w:val="000000"/>
          <w:highlight w:val="white"/>
        </w:rPr>
        <w:t>particles</w:t>
      </w:r>
      <w:r w:rsidRPr="00DA325E">
        <w:rPr>
          <w:rFonts w:eastAsia="Times New Roman"/>
          <w:color w:val="000000"/>
          <w:highlight w:val="white"/>
        </w:rPr>
        <w:t xml:space="preserve"> that can be attributed to particle size class </w:t>
      </w:r>
      <w:proofErr w:type="spellStart"/>
      <w:r w:rsidRPr="00DA325E">
        <w:rPr>
          <w:rFonts w:eastAsia="Times New Roman"/>
          <w:i/>
          <w:color w:val="000000"/>
          <w:highlight w:val="white"/>
        </w:rPr>
        <w:t>i</w:t>
      </w:r>
      <w:proofErr w:type="spellEnd"/>
    </w:p>
    <w:p w14:paraId="01B10961" w14:textId="77777777" w:rsidR="004C29E9" w:rsidRPr="00DA325E" w:rsidRDefault="004C29E9" w:rsidP="004C29E9">
      <w:pPr>
        <w:pStyle w:val="ListParagraph"/>
        <w:numPr>
          <w:ilvl w:val="0"/>
          <w:numId w:val="1"/>
        </w:numPr>
        <w:pBdr>
          <w:top w:val="nil"/>
          <w:left w:val="nil"/>
          <w:bottom w:val="nil"/>
          <w:right w:val="nil"/>
          <w:between w:val="nil"/>
        </w:pBdr>
        <w:ind w:leftChars="0"/>
        <w:jc w:val="left"/>
        <w:rPr>
          <w:rFonts w:eastAsia="Times New Roman"/>
          <w:color w:val="000000"/>
          <w:highlight w:val="white"/>
        </w:rPr>
      </w:pPr>
      <w:r w:rsidRPr="00DA325E">
        <w:rPr>
          <w:rFonts w:eastAsia="Times New Roman"/>
          <w:color w:val="000000"/>
          <w:highlight w:val="white"/>
        </w:rPr>
        <w:t xml:space="preserve">S(V): Correction factor for a mean vehicle travelling speed </w:t>
      </w:r>
      <w:r w:rsidRPr="00DA325E">
        <w:rPr>
          <w:rFonts w:eastAsia="Times New Roman"/>
          <w:i/>
          <w:color w:val="000000"/>
          <w:highlight w:val="white"/>
        </w:rPr>
        <w:t>V</w:t>
      </w:r>
    </w:p>
    <w:p w14:paraId="7FC18E39" w14:textId="5F062677" w:rsidR="004C29E9" w:rsidRPr="00DA325E" w:rsidRDefault="004C29E9" w:rsidP="004C29E9">
      <w:pPr>
        <w:rPr>
          <w:highlight w:val="white"/>
        </w:rPr>
      </w:pPr>
      <w:r>
        <w:rPr>
          <w:highlight w:val="white"/>
        </w:rPr>
        <w:t xml:space="preserve">This </w:t>
      </w:r>
      <w:r w:rsidRPr="00DA325E">
        <w:rPr>
          <w:highlight w:val="white"/>
        </w:rPr>
        <w:t>equation was designed to measure the bulk emissions from a number of vehicles (</w:t>
      </w:r>
      <w:proofErr w:type="gramStart"/>
      <w:r w:rsidRPr="00DA325E">
        <w:rPr>
          <w:highlight w:val="white"/>
        </w:rPr>
        <w:t>e.g.</w:t>
      </w:r>
      <w:proofErr w:type="gramEnd"/>
      <w:r w:rsidRPr="00DA325E">
        <w:rPr>
          <w:highlight w:val="white"/>
        </w:rPr>
        <w:t xml:space="preserve"> 20g/km from </w:t>
      </w:r>
      <w:r w:rsidRPr="00DA325E">
        <w:rPr>
          <w:highlight w:val="white"/>
        </w:rPr>
        <w:lastRenderedPageBreak/>
        <w:t>10 vehicles in a 5km trip between 10:00-15:00)</w:t>
      </w:r>
      <w:r>
        <w:rPr>
          <w:highlight w:val="white"/>
        </w:rPr>
        <w:t>. However,</w:t>
      </w:r>
      <w:r w:rsidRPr="00DA325E">
        <w:rPr>
          <w:highlight w:val="white"/>
        </w:rPr>
        <w:t xml:space="preserve"> it is </w:t>
      </w:r>
      <w:r>
        <w:rPr>
          <w:highlight w:val="white"/>
        </w:rPr>
        <w:t>in</w:t>
      </w:r>
      <w:r w:rsidRPr="00DA325E">
        <w:rPr>
          <w:highlight w:val="white"/>
        </w:rPr>
        <w:t>appropriate to measure the emissions of vehicles that have separate journeys. To find a solution, this study manipulates N</w:t>
      </w:r>
      <w:r w:rsidRPr="00DA325E">
        <w:rPr>
          <w:highlight w:val="white"/>
          <w:vertAlign w:val="subscript"/>
        </w:rPr>
        <w:t>j</w:t>
      </w:r>
      <w:r w:rsidRPr="00DA325E">
        <w:rPr>
          <w:highlight w:val="white"/>
        </w:rPr>
        <w:t xml:space="preserve"> at an appropriate number based on sensitivity analysis, converts emission levels from g/km to µg/30m (equal to a size of one patch in the simulation), and spatial and temporal units at 30m and on a minute-by-minute basis.</w:t>
      </w:r>
      <w:r>
        <w:rPr>
          <w:highlight w:val="white"/>
        </w:rPr>
        <w:t xml:space="preserve"> </w:t>
      </w:r>
      <w:r w:rsidRPr="00DA325E">
        <w:rPr>
          <w:highlight w:val="white"/>
        </w:rPr>
        <w:t>For example, one passenger car (j) has an emission factor of .0107 (.0067-.0162) (g/km) (see</w:t>
      </w:r>
      <w:r w:rsidR="008A4FD1">
        <w:t xml:space="preserve"> </w:t>
      </w:r>
      <w:r w:rsidR="008A4FD1">
        <w:fldChar w:fldCharType="begin"/>
      </w:r>
      <w:r w:rsidR="008A4FD1">
        <w:instrText xml:space="preserve"> REF _Ref92801786 \h </w:instrText>
      </w:r>
      <w:r w:rsidR="008A4FD1">
        <w:fldChar w:fldCharType="separate"/>
      </w:r>
      <w:r w:rsidR="008A4FD1">
        <w:t xml:space="preserve">Table </w:t>
      </w:r>
      <w:r w:rsidR="008A4FD1">
        <w:rPr>
          <w:noProof/>
        </w:rPr>
        <w:t>1</w:t>
      </w:r>
      <w:r w:rsidR="008A4FD1">
        <w:fldChar w:fldCharType="end"/>
      </w:r>
      <w:r w:rsidRPr="00DA325E">
        <w:rPr>
          <w:highlight w:val="white"/>
        </w:rPr>
        <w:t>), and to get an estimate of PM</w:t>
      </w:r>
      <w:r w:rsidRPr="00DA325E">
        <w:rPr>
          <w:highlight w:val="white"/>
          <w:vertAlign w:val="subscript"/>
        </w:rPr>
        <w:t>10</w:t>
      </w:r>
      <w:r w:rsidRPr="00DA325E">
        <w:rPr>
          <w:highlight w:val="white"/>
        </w:rPr>
        <w:t xml:space="preserve">, the size distribution </w:t>
      </w:r>
      <w:proofErr w:type="spellStart"/>
      <w:r w:rsidRPr="00DA325E">
        <w:rPr>
          <w:highlight w:val="white"/>
        </w:rPr>
        <w:t>F</w:t>
      </w:r>
      <w:r w:rsidRPr="00DA325E">
        <w:rPr>
          <w:highlight w:val="white"/>
          <w:vertAlign w:val="subscript"/>
        </w:rPr>
        <w:t>s,i</w:t>
      </w:r>
      <w:proofErr w:type="spellEnd"/>
      <w:r w:rsidRPr="00DA325E">
        <w:rPr>
          <w:highlight w:val="white"/>
        </w:rPr>
        <w:t xml:space="preserve"> converts the TSP estimate to PM</w:t>
      </w:r>
      <w:r w:rsidRPr="00DA325E">
        <w:rPr>
          <w:highlight w:val="white"/>
          <w:vertAlign w:val="subscript"/>
        </w:rPr>
        <w:t>10</w:t>
      </w:r>
      <w:r w:rsidRPr="00DA325E">
        <w:rPr>
          <w:highlight w:val="white"/>
        </w:rPr>
        <w:t xml:space="preserve"> multiplying by a fraction of 0.6 (see </w:t>
      </w:r>
      <w:r w:rsidR="008A4FD1">
        <w:fldChar w:fldCharType="begin"/>
      </w:r>
      <w:r w:rsidR="008A4FD1">
        <w:rPr>
          <w:highlight w:val="white"/>
        </w:rPr>
        <w:instrText xml:space="preserve"> REF _Ref92801799 \h </w:instrText>
      </w:r>
      <w:r w:rsidR="008A4FD1">
        <w:fldChar w:fldCharType="separate"/>
      </w:r>
      <w:r w:rsidR="008A4FD1">
        <w:t xml:space="preserve">Table </w:t>
      </w:r>
      <w:r w:rsidR="008A4FD1">
        <w:rPr>
          <w:noProof/>
        </w:rPr>
        <w:t>2</w:t>
      </w:r>
      <w:r w:rsidR="008A4FD1">
        <w:fldChar w:fldCharType="end"/>
      </w:r>
      <w:r w:rsidRPr="00DA325E">
        <w:rPr>
          <w:highlight w:val="white"/>
        </w:rPr>
        <w:t>). This can result in 32.1µg/m</w:t>
      </w:r>
      <w:r w:rsidRPr="00DA325E">
        <w:rPr>
          <w:highlight w:val="white"/>
          <w:vertAlign w:val="superscript"/>
        </w:rPr>
        <w:t>3</w:t>
      </w:r>
      <w:r w:rsidRPr="00DA325E">
        <w:rPr>
          <w:highlight w:val="white"/>
        </w:rPr>
        <w:t xml:space="preserve"> per patch with an uncertainty range of 20.1 - 48.6.</w:t>
      </w:r>
    </w:p>
    <w:p w14:paraId="3F7A258F" w14:textId="77777777" w:rsidR="004C29E9" w:rsidRPr="00DA325E" w:rsidRDefault="004C29E9" w:rsidP="004C29E9">
      <w:pPr>
        <w:rPr>
          <w:highlight w:val="white"/>
        </w:rPr>
      </w:pPr>
      <w:r w:rsidRPr="00DA325E">
        <w:rPr>
          <w:highlight w:val="white"/>
        </w:rPr>
        <w:t>In terms of vehicle speed, EEA sets the parameter V at 1.39 below 40km/h, and declining effect of (-0.00974 * V + 1.78) between 40-90km/h. It assumes that frequent brakes and accelerations are expected below 40km/h but less as the vehicle speeds up.</w:t>
      </w:r>
      <w:r>
        <w:rPr>
          <w:highlight w:val="white"/>
        </w:rPr>
        <w:t xml:space="preserve"> </w:t>
      </w:r>
      <w:r>
        <w:t>Mileage (</w:t>
      </w:r>
      <w:proofErr w:type="spellStart"/>
      <w:r>
        <w:t>Mj</w:t>
      </w:r>
      <w:proofErr w:type="spellEnd"/>
      <w:r>
        <w:t xml:space="preserve">) was not used for this study as this study focuses on the emission and the immediate dispersion of particles, not the activity of vehicles. </w:t>
      </w:r>
    </w:p>
    <w:p w14:paraId="4BFFAB4D" w14:textId="55CEBACA" w:rsidR="004C29E9" w:rsidRDefault="004C29E9" w:rsidP="004C29E9">
      <w:pPr>
        <w:pStyle w:val="CapTable"/>
      </w:pPr>
      <w:bookmarkStart w:id="1" w:name="_heading=h.1c1lvlb" w:colFirst="0" w:colLast="0"/>
      <w:bookmarkStart w:id="2" w:name="_Ref92801786"/>
      <w:bookmarkEnd w:id="1"/>
      <w:r>
        <w:t xml:space="preserve">Table </w:t>
      </w:r>
      <w:r>
        <w:fldChar w:fldCharType="begin"/>
      </w:r>
      <w:r>
        <w:instrText xml:space="preserve"> SEQ Table \* ARABIC </w:instrText>
      </w:r>
      <w:r>
        <w:fldChar w:fldCharType="separate"/>
      </w:r>
      <w:r w:rsidR="00A866D8">
        <w:rPr>
          <w:noProof/>
        </w:rPr>
        <w:t>1</w:t>
      </w:r>
      <w:r>
        <w:fldChar w:fldCharType="end"/>
      </w:r>
      <w:bookmarkEnd w:id="2"/>
      <w:r>
        <w:t xml:space="preserve"> </w:t>
      </w:r>
      <w:r w:rsidRPr="00DA325E">
        <w:t xml:space="preserve">TSP (Total Suspended Particles) emission factors for source category road vehicle tyre wear </w:t>
      </w:r>
      <w:r>
        <w:fldChar w:fldCharType="begin" w:fldLock="1"/>
      </w:r>
      <w:r w:rsidR="00204F96">
        <w:instrText>ADDIN CSL_CITATION {"citationItems":[{"id":"ITEM-1","itemData":{"author":[{"dropping-particle":"","family":"EMEP/EEA","given":"","non-dropping-particle":"","parse-names":false,"suffix":""}],"id":"ITEM-1","issued":{"date-parts":[["2019"]]},"title":"EMEP/EEA Air Pollutant Emission Inventory Guidebook 2019","type":"report"},"uris":["http://www.mendeley.com/documents/?uuid=0bb72285-78df-4a33-9afe-f58ed09ed1bd"]}],"mendeley":{"formattedCitation":"(EMEP/EEA, 2019)","plainTextFormattedCitation":"(EMEP/EEA, 2019)","previouslyFormattedCitation":"(EMEP/EEA, 2019)"},"properties":{"noteIndex":0},"schema":"https://github.com/citation-style-language/schema/raw/master/csl-citation.json"}</w:instrText>
      </w:r>
      <w:r>
        <w:fldChar w:fldCharType="separate"/>
      </w:r>
      <w:r w:rsidR="00CF264F" w:rsidRPr="00CF264F">
        <w:rPr>
          <w:noProof/>
        </w:rPr>
        <w:t>(EMEP/EEA, 2019)</w:t>
      </w:r>
      <w:r>
        <w:fldChar w:fldCharType="end"/>
      </w:r>
    </w:p>
    <w:tbl>
      <w:tblPr>
        <w:tblStyle w:val="PlainTable5"/>
        <w:tblW w:w="0" w:type="auto"/>
        <w:jc w:val="center"/>
        <w:tblLook w:val="04A0" w:firstRow="1" w:lastRow="0" w:firstColumn="1" w:lastColumn="0" w:noHBand="0" w:noVBand="1"/>
      </w:tblPr>
      <w:tblGrid>
        <w:gridCol w:w="1977"/>
        <w:gridCol w:w="2534"/>
        <w:gridCol w:w="1747"/>
      </w:tblGrid>
      <w:tr w:rsidR="004C29E9" w:rsidRPr="00BF4A4B" w14:paraId="549C0331" w14:textId="77777777" w:rsidTr="00412469">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100" w:firstRow="0" w:lastRow="0" w:firstColumn="1" w:lastColumn="0" w:oddVBand="0" w:evenVBand="0" w:oddHBand="0" w:evenHBand="0" w:firstRowFirstColumn="1" w:firstRowLastColumn="0" w:lastRowFirstColumn="0" w:lastRowLastColumn="0"/>
            <w:tcW w:w="0" w:type="auto"/>
          </w:tcPr>
          <w:p w14:paraId="2A5B8656" w14:textId="77777777" w:rsidR="004C29E9" w:rsidRPr="00BF4A4B" w:rsidRDefault="004C29E9" w:rsidP="00412469">
            <w:pPr>
              <w:pBdr>
                <w:top w:val="nil"/>
                <w:left w:val="nil"/>
                <w:bottom w:val="nil"/>
                <w:right w:val="nil"/>
                <w:between w:val="nil"/>
              </w:pBdr>
              <w:rPr>
                <w:rFonts w:ascii="Arial" w:eastAsia="Arial" w:hAnsi="Arial" w:cs="Arial"/>
                <w:b/>
                <w:bCs/>
                <w:i w:val="0"/>
                <w:iCs w:val="0"/>
                <w:color w:val="000000"/>
                <w:sz w:val="18"/>
                <w:szCs w:val="18"/>
              </w:rPr>
            </w:pPr>
            <w:r w:rsidRPr="00BF4A4B">
              <w:rPr>
                <w:rFonts w:ascii="Arial" w:eastAsia="Arial" w:hAnsi="Arial" w:cs="Arial"/>
                <w:b/>
                <w:bCs/>
                <w:i w:val="0"/>
                <w:iCs w:val="0"/>
                <w:color w:val="000000"/>
                <w:sz w:val="18"/>
                <w:szCs w:val="18"/>
              </w:rPr>
              <w:t>Vehicle class (j)</w:t>
            </w:r>
          </w:p>
        </w:tc>
        <w:tc>
          <w:tcPr>
            <w:tcW w:w="0" w:type="auto"/>
          </w:tcPr>
          <w:p w14:paraId="143D5129" w14:textId="77777777" w:rsidR="004C29E9" w:rsidRPr="00BF4A4B" w:rsidRDefault="004C29E9" w:rsidP="00412469">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b/>
                <w:bCs/>
                <w:i w:val="0"/>
                <w:iCs w:val="0"/>
                <w:color w:val="000000"/>
                <w:sz w:val="18"/>
                <w:szCs w:val="18"/>
              </w:rPr>
            </w:pPr>
            <w:r w:rsidRPr="00BF4A4B">
              <w:rPr>
                <w:rFonts w:ascii="Arial" w:eastAsia="Arial" w:hAnsi="Arial" w:cs="Arial"/>
                <w:b/>
                <w:bCs/>
                <w:i w:val="0"/>
                <w:iCs w:val="0"/>
                <w:color w:val="000000"/>
                <w:sz w:val="18"/>
                <w:szCs w:val="18"/>
              </w:rPr>
              <w:t>TSP emission factor (g/km)</w:t>
            </w:r>
          </w:p>
        </w:tc>
        <w:tc>
          <w:tcPr>
            <w:tcW w:w="0" w:type="auto"/>
          </w:tcPr>
          <w:p w14:paraId="0F5F430D" w14:textId="77777777" w:rsidR="004C29E9" w:rsidRPr="00BF4A4B" w:rsidRDefault="004C29E9" w:rsidP="00412469">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b/>
                <w:bCs/>
                <w:i w:val="0"/>
                <w:iCs w:val="0"/>
                <w:color w:val="000000"/>
                <w:sz w:val="18"/>
                <w:szCs w:val="18"/>
              </w:rPr>
            </w:pPr>
            <w:r w:rsidRPr="00BF4A4B">
              <w:rPr>
                <w:rFonts w:ascii="Arial" w:eastAsia="Arial" w:hAnsi="Arial" w:cs="Arial"/>
                <w:b/>
                <w:bCs/>
                <w:i w:val="0"/>
                <w:iCs w:val="0"/>
                <w:color w:val="000000"/>
                <w:sz w:val="18"/>
                <w:szCs w:val="18"/>
              </w:rPr>
              <w:t>Uncertainty range</w:t>
            </w:r>
          </w:p>
        </w:tc>
      </w:tr>
      <w:tr w:rsidR="004C29E9" w:rsidRPr="00BF4A4B" w14:paraId="10B0E63E" w14:textId="77777777" w:rsidTr="00412469">
        <w:trPr>
          <w:cnfStyle w:val="000000100000" w:firstRow="0" w:lastRow="0" w:firstColumn="0" w:lastColumn="0" w:oddVBand="0" w:evenVBand="0" w:oddHBand="1" w:evenHBand="0" w:firstRowFirstColumn="0" w:firstRowLastColumn="0" w:lastRowFirstColumn="0" w:lastRowLastColumn="0"/>
          <w:trHeight w:val="46"/>
          <w:jc w:val="center"/>
        </w:trPr>
        <w:tc>
          <w:tcPr>
            <w:cnfStyle w:val="001000000000" w:firstRow="0" w:lastRow="0" w:firstColumn="1" w:lastColumn="0" w:oddVBand="0" w:evenVBand="0" w:oddHBand="0" w:evenHBand="0" w:firstRowFirstColumn="0" w:firstRowLastColumn="0" w:lastRowFirstColumn="0" w:lastRowLastColumn="0"/>
            <w:tcW w:w="0" w:type="auto"/>
          </w:tcPr>
          <w:p w14:paraId="003354DB" w14:textId="77777777" w:rsidR="004C29E9" w:rsidRPr="00BF4A4B" w:rsidRDefault="004C29E9" w:rsidP="00412469">
            <w:pPr>
              <w:pBdr>
                <w:top w:val="nil"/>
                <w:left w:val="nil"/>
                <w:bottom w:val="nil"/>
                <w:right w:val="nil"/>
                <w:between w:val="nil"/>
              </w:pBdr>
              <w:rPr>
                <w:rFonts w:ascii="Arial" w:eastAsia="Arial" w:hAnsi="Arial" w:cs="Arial"/>
                <w:i w:val="0"/>
                <w:iCs w:val="0"/>
                <w:color w:val="000000"/>
                <w:sz w:val="18"/>
                <w:szCs w:val="18"/>
              </w:rPr>
            </w:pPr>
            <w:r w:rsidRPr="00BF4A4B">
              <w:rPr>
                <w:rFonts w:ascii="Arial" w:eastAsia="Arial" w:hAnsi="Arial" w:cs="Arial"/>
                <w:i w:val="0"/>
                <w:iCs w:val="0"/>
                <w:color w:val="000000"/>
                <w:sz w:val="18"/>
                <w:szCs w:val="18"/>
              </w:rPr>
              <w:t>Two-wheeled vehicles</w:t>
            </w:r>
          </w:p>
        </w:tc>
        <w:tc>
          <w:tcPr>
            <w:tcW w:w="0" w:type="auto"/>
          </w:tcPr>
          <w:p w14:paraId="4C4B182B" w14:textId="77777777" w:rsidR="004C29E9" w:rsidRPr="00BF4A4B"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BF4A4B">
              <w:rPr>
                <w:rFonts w:ascii="Arial" w:eastAsia="Arial" w:hAnsi="Arial" w:cs="Arial"/>
                <w:color w:val="000000"/>
                <w:sz w:val="18"/>
                <w:szCs w:val="18"/>
              </w:rPr>
              <w:t>0.0046</w:t>
            </w:r>
          </w:p>
        </w:tc>
        <w:tc>
          <w:tcPr>
            <w:tcW w:w="0" w:type="auto"/>
          </w:tcPr>
          <w:p w14:paraId="77EB15D1" w14:textId="77777777" w:rsidR="004C29E9" w:rsidRPr="00BF4A4B"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BF4A4B">
              <w:rPr>
                <w:rFonts w:ascii="Arial" w:eastAsia="Arial" w:hAnsi="Arial" w:cs="Arial"/>
                <w:sz w:val="18"/>
                <w:szCs w:val="18"/>
              </w:rPr>
              <w:t>0</w:t>
            </w:r>
            <w:r w:rsidRPr="00BF4A4B">
              <w:rPr>
                <w:rFonts w:ascii="Arial" w:eastAsia="Arial" w:hAnsi="Arial" w:cs="Arial"/>
                <w:color w:val="000000"/>
                <w:sz w:val="18"/>
                <w:szCs w:val="18"/>
              </w:rPr>
              <w:t>.0042 - 0.0053</w:t>
            </w:r>
          </w:p>
        </w:tc>
      </w:tr>
      <w:tr w:rsidR="004C29E9" w:rsidRPr="00BF4A4B" w14:paraId="0E7E701F" w14:textId="77777777" w:rsidTr="00412469">
        <w:trPr>
          <w:trHeight w:val="46"/>
          <w:jc w:val="center"/>
        </w:trPr>
        <w:tc>
          <w:tcPr>
            <w:cnfStyle w:val="001000000000" w:firstRow="0" w:lastRow="0" w:firstColumn="1" w:lastColumn="0" w:oddVBand="0" w:evenVBand="0" w:oddHBand="0" w:evenHBand="0" w:firstRowFirstColumn="0" w:firstRowLastColumn="0" w:lastRowFirstColumn="0" w:lastRowLastColumn="0"/>
            <w:tcW w:w="0" w:type="auto"/>
          </w:tcPr>
          <w:p w14:paraId="6D7DA0FA" w14:textId="77777777" w:rsidR="004C29E9" w:rsidRPr="00BF4A4B" w:rsidRDefault="004C29E9" w:rsidP="00412469">
            <w:pPr>
              <w:pBdr>
                <w:top w:val="nil"/>
                <w:left w:val="nil"/>
                <w:bottom w:val="nil"/>
                <w:right w:val="nil"/>
                <w:between w:val="nil"/>
              </w:pBdr>
              <w:rPr>
                <w:rFonts w:ascii="Arial" w:eastAsia="Arial" w:hAnsi="Arial" w:cs="Arial"/>
                <w:i w:val="0"/>
                <w:iCs w:val="0"/>
                <w:color w:val="000000"/>
                <w:sz w:val="18"/>
                <w:szCs w:val="18"/>
              </w:rPr>
            </w:pPr>
            <w:r w:rsidRPr="00BF4A4B">
              <w:rPr>
                <w:rFonts w:ascii="Arial" w:eastAsia="Arial" w:hAnsi="Arial" w:cs="Arial"/>
                <w:i w:val="0"/>
                <w:iCs w:val="0"/>
                <w:color w:val="000000"/>
                <w:sz w:val="18"/>
                <w:szCs w:val="18"/>
              </w:rPr>
              <w:t>Passenger cars</w:t>
            </w:r>
          </w:p>
        </w:tc>
        <w:tc>
          <w:tcPr>
            <w:tcW w:w="0" w:type="auto"/>
          </w:tcPr>
          <w:p w14:paraId="07958977" w14:textId="77777777" w:rsidR="004C29E9" w:rsidRPr="00BF4A4B"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BF4A4B">
              <w:rPr>
                <w:rFonts w:ascii="Arial" w:eastAsia="Arial" w:hAnsi="Arial" w:cs="Arial"/>
                <w:color w:val="000000"/>
                <w:sz w:val="18"/>
                <w:szCs w:val="18"/>
              </w:rPr>
              <w:t>0.0107</w:t>
            </w:r>
          </w:p>
        </w:tc>
        <w:tc>
          <w:tcPr>
            <w:tcW w:w="0" w:type="auto"/>
          </w:tcPr>
          <w:p w14:paraId="0EC74A6A" w14:textId="77777777" w:rsidR="004C29E9" w:rsidRPr="00BF4A4B"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BF4A4B">
              <w:rPr>
                <w:rFonts w:ascii="Arial" w:eastAsia="Arial" w:hAnsi="Arial" w:cs="Arial"/>
                <w:sz w:val="18"/>
                <w:szCs w:val="18"/>
              </w:rPr>
              <w:t>0</w:t>
            </w:r>
            <w:r w:rsidRPr="00BF4A4B">
              <w:rPr>
                <w:rFonts w:ascii="Arial" w:eastAsia="Arial" w:hAnsi="Arial" w:cs="Arial"/>
                <w:color w:val="000000"/>
                <w:sz w:val="18"/>
                <w:szCs w:val="18"/>
              </w:rPr>
              <w:t>.0067 - 0.0162</w:t>
            </w:r>
          </w:p>
        </w:tc>
      </w:tr>
      <w:tr w:rsidR="004C29E9" w:rsidRPr="00BF4A4B" w14:paraId="3D6251B0" w14:textId="77777777" w:rsidTr="00412469">
        <w:trPr>
          <w:cnfStyle w:val="000000100000" w:firstRow="0" w:lastRow="0" w:firstColumn="0" w:lastColumn="0" w:oddVBand="0" w:evenVBand="0" w:oddHBand="1" w:evenHBand="0" w:firstRowFirstColumn="0" w:firstRowLastColumn="0" w:lastRowFirstColumn="0" w:lastRowLastColumn="0"/>
          <w:trHeight w:val="46"/>
          <w:jc w:val="center"/>
        </w:trPr>
        <w:tc>
          <w:tcPr>
            <w:cnfStyle w:val="001000000000" w:firstRow="0" w:lastRow="0" w:firstColumn="1" w:lastColumn="0" w:oddVBand="0" w:evenVBand="0" w:oddHBand="0" w:evenHBand="0" w:firstRowFirstColumn="0" w:firstRowLastColumn="0" w:lastRowFirstColumn="0" w:lastRowLastColumn="0"/>
            <w:tcW w:w="0" w:type="auto"/>
          </w:tcPr>
          <w:p w14:paraId="239FFDCD" w14:textId="77777777" w:rsidR="004C29E9" w:rsidRPr="00BF4A4B" w:rsidRDefault="004C29E9" w:rsidP="00412469">
            <w:pPr>
              <w:pBdr>
                <w:top w:val="nil"/>
                <w:left w:val="nil"/>
                <w:bottom w:val="nil"/>
                <w:right w:val="nil"/>
                <w:between w:val="nil"/>
              </w:pBdr>
              <w:rPr>
                <w:rFonts w:ascii="Arial" w:eastAsia="Arial" w:hAnsi="Arial" w:cs="Arial"/>
                <w:i w:val="0"/>
                <w:iCs w:val="0"/>
                <w:color w:val="000000"/>
                <w:sz w:val="18"/>
                <w:szCs w:val="18"/>
              </w:rPr>
            </w:pPr>
            <w:r w:rsidRPr="00BF4A4B">
              <w:rPr>
                <w:rFonts w:ascii="Arial" w:eastAsia="Arial" w:hAnsi="Arial" w:cs="Arial"/>
                <w:i w:val="0"/>
                <w:iCs w:val="0"/>
                <w:color w:val="000000"/>
                <w:sz w:val="18"/>
                <w:szCs w:val="18"/>
              </w:rPr>
              <w:t>Light-duty trucks</w:t>
            </w:r>
          </w:p>
        </w:tc>
        <w:tc>
          <w:tcPr>
            <w:tcW w:w="0" w:type="auto"/>
          </w:tcPr>
          <w:p w14:paraId="4BD85F37" w14:textId="77777777" w:rsidR="004C29E9" w:rsidRPr="00BF4A4B"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BF4A4B">
              <w:rPr>
                <w:rFonts w:ascii="Arial" w:eastAsia="Arial" w:hAnsi="Arial" w:cs="Arial"/>
                <w:color w:val="000000"/>
                <w:sz w:val="18"/>
                <w:szCs w:val="18"/>
              </w:rPr>
              <w:t>0.0169</w:t>
            </w:r>
          </w:p>
        </w:tc>
        <w:tc>
          <w:tcPr>
            <w:tcW w:w="0" w:type="auto"/>
          </w:tcPr>
          <w:p w14:paraId="46C98E3B" w14:textId="77777777" w:rsidR="004C29E9" w:rsidRPr="00BF4A4B"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BF4A4B">
              <w:rPr>
                <w:rFonts w:ascii="Arial" w:eastAsia="Arial" w:hAnsi="Arial" w:cs="Arial"/>
                <w:sz w:val="18"/>
                <w:szCs w:val="18"/>
              </w:rPr>
              <w:t>0</w:t>
            </w:r>
            <w:r w:rsidRPr="00BF4A4B">
              <w:rPr>
                <w:rFonts w:ascii="Arial" w:eastAsia="Arial" w:hAnsi="Arial" w:cs="Arial"/>
                <w:color w:val="000000"/>
                <w:sz w:val="18"/>
                <w:szCs w:val="18"/>
              </w:rPr>
              <w:t>.0088 - 0.0217</w:t>
            </w:r>
          </w:p>
        </w:tc>
      </w:tr>
      <w:tr w:rsidR="004C29E9" w:rsidRPr="00BF4A4B" w14:paraId="7D529923" w14:textId="77777777" w:rsidTr="00412469">
        <w:trPr>
          <w:trHeight w:val="46"/>
          <w:jc w:val="center"/>
        </w:trPr>
        <w:tc>
          <w:tcPr>
            <w:cnfStyle w:val="001000000000" w:firstRow="0" w:lastRow="0" w:firstColumn="1" w:lastColumn="0" w:oddVBand="0" w:evenVBand="0" w:oddHBand="0" w:evenHBand="0" w:firstRowFirstColumn="0" w:firstRowLastColumn="0" w:lastRowFirstColumn="0" w:lastRowLastColumn="0"/>
            <w:tcW w:w="0" w:type="auto"/>
          </w:tcPr>
          <w:p w14:paraId="7FE4A81F" w14:textId="77777777" w:rsidR="004C29E9" w:rsidRPr="00BF4A4B" w:rsidRDefault="004C29E9" w:rsidP="00412469">
            <w:pPr>
              <w:pBdr>
                <w:top w:val="nil"/>
                <w:left w:val="nil"/>
                <w:bottom w:val="nil"/>
                <w:right w:val="nil"/>
                <w:between w:val="nil"/>
              </w:pBdr>
              <w:rPr>
                <w:rFonts w:ascii="Arial" w:eastAsia="Arial" w:hAnsi="Arial" w:cs="Arial"/>
                <w:i w:val="0"/>
                <w:iCs w:val="0"/>
                <w:color w:val="000000"/>
                <w:sz w:val="18"/>
                <w:szCs w:val="18"/>
              </w:rPr>
            </w:pPr>
            <w:r w:rsidRPr="00BF4A4B">
              <w:rPr>
                <w:rFonts w:ascii="Arial" w:eastAsia="Arial" w:hAnsi="Arial" w:cs="Arial"/>
                <w:i w:val="0"/>
                <w:iCs w:val="0"/>
                <w:color w:val="000000"/>
                <w:sz w:val="18"/>
                <w:szCs w:val="18"/>
              </w:rPr>
              <w:t>Heavy-duty vehicles</w:t>
            </w:r>
          </w:p>
        </w:tc>
        <w:tc>
          <w:tcPr>
            <w:tcW w:w="0" w:type="auto"/>
          </w:tcPr>
          <w:p w14:paraId="0212AFA4" w14:textId="77777777" w:rsidR="004C29E9" w:rsidRPr="00BF4A4B"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BF4A4B">
              <w:rPr>
                <w:rFonts w:ascii="Arial" w:eastAsia="Arial" w:hAnsi="Arial" w:cs="Arial"/>
                <w:color w:val="000000"/>
                <w:sz w:val="18"/>
                <w:szCs w:val="18"/>
              </w:rPr>
              <w:t xml:space="preserve">Separate </w:t>
            </w:r>
            <w:r w:rsidRPr="00BF4A4B">
              <w:rPr>
                <w:rFonts w:ascii="Arial" w:eastAsia="Arial" w:hAnsi="Arial" w:cs="Arial"/>
                <w:sz w:val="18"/>
                <w:szCs w:val="18"/>
              </w:rPr>
              <w:t>e</w:t>
            </w:r>
            <w:r w:rsidRPr="00BF4A4B">
              <w:rPr>
                <w:rFonts w:ascii="Arial" w:eastAsia="Arial" w:hAnsi="Arial" w:cs="Arial"/>
                <w:color w:val="000000"/>
                <w:sz w:val="18"/>
                <w:szCs w:val="18"/>
              </w:rPr>
              <w:t>quation</w:t>
            </w:r>
          </w:p>
        </w:tc>
        <w:tc>
          <w:tcPr>
            <w:tcW w:w="0" w:type="auto"/>
          </w:tcPr>
          <w:p w14:paraId="21E8DC27" w14:textId="77777777" w:rsidR="004C29E9" w:rsidRPr="00BF4A4B"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BF4A4B">
              <w:rPr>
                <w:rFonts w:ascii="Arial" w:eastAsia="Arial" w:hAnsi="Arial" w:cs="Arial"/>
                <w:sz w:val="18"/>
                <w:szCs w:val="18"/>
              </w:rPr>
              <w:t>0</w:t>
            </w:r>
            <w:r w:rsidRPr="00BF4A4B">
              <w:rPr>
                <w:rFonts w:ascii="Arial" w:eastAsia="Arial" w:hAnsi="Arial" w:cs="Arial"/>
                <w:color w:val="000000"/>
                <w:sz w:val="18"/>
                <w:szCs w:val="18"/>
              </w:rPr>
              <w:t>.0227 - 0.0898</w:t>
            </w:r>
          </w:p>
        </w:tc>
      </w:tr>
    </w:tbl>
    <w:p w14:paraId="64C9C3CE" w14:textId="77777777" w:rsidR="004C29E9" w:rsidRPr="00DA325E" w:rsidRDefault="004C29E9" w:rsidP="004C29E9">
      <w:pPr>
        <w:rPr>
          <w:highlight w:val="white"/>
        </w:rPr>
      </w:pPr>
    </w:p>
    <w:p w14:paraId="2B69ABD9" w14:textId="7C53B2AB" w:rsidR="004C29E9" w:rsidRPr="00D07BFE" w:rsidRDefault="004C29E9" w:rsidP="004C29E9">
      <w:pPr>
        <w:pStyle w:val="CapTable"/>
        <w:rPr>
          <w:rFonts w:eastAsia="Times New Roman"/>
          <w:color w:val="000000"/>
          <w:sz w:val="18"/>
          <w:szCs w:val="18"/>
        </w:rPr>
      </w:pPr>
      <w:bookmarkStart w:id="3" w:name="_heading=h.3w19e94" w:colFirst="0" w:colLast="0"/>
      <w:bookmarkStart w:id="4" w:name="_Ref92801799"/>
      <w:bookmarkEnd w:id="3"/>
      <w:r>
        <w:t xml:space="preserve">Table </w:t>
      </w:r>
      <w:r>
        <w:fldChar w:fldCharType="begin"/>
      </w:r>
      <w:r>
        <w:instrText xml:space="preserve"> SEQ Table \* ARABIC </w:instrText>
      </w:r>
      <w:r>
        <w:fldChar w:fldCharType="separate"/>
      </w:r>
      <w:r w:rsidR="00A866D8">
        <w:rPr>
          <w:noProof/>
        </w:rPr>
        <w:t>2</w:t>
      </w:r>
      <w:r>
        <w:fldChar w:fldCharType="end"/>
      </w:r>
      <w:bookmarkEnd w:id="4"/>
      <w:r>
        <w:t xml:space="preserve"> </w:t>
      </w:r>
      <w:r w:rsidRPr="00DA325E">
        <w:rPr>
          <w:rFonts w:eastAsia="Times New Roman"/>
          <w:color w:val="000000"/>
          <w:sz w:val="18"/>
          <w:szCs w:val="18"/>
        </w:rPr>
        <w:t xml:space="preserve">Size distribution of tyre wear particles </w:t>
      </w:r>
      <w:r>
        <w:fldChar w:fldCharType="begin" w:fldLock="1"/>
      </w:r>
      <w:r w:rsidR="00204F96">
        <w:instrText>ADDIN CSL_CITATION {"citationItems":[{"id":"ITEM-1","itemData":{"author":[{"dropping-particle":"","family":"EMEP/EEA","given":"","non-dropping-particle":"","parse-names":false,"suffix":""}],"id":"ITEM-1","issued":{"date-parts":[["2019"]]},"title":"EMEP/EEA Air Pollutant Emission Inventory Guidebook 2019","type":"report"},"uris":["http://www.mendeley.com/documents/?uuid=0bb72285-78df-4a33-9afe-f58ed09ed1bd"]}],"mendeley":{"formattedCitation":"(EMEP/EEA, 2019)","plainTextFormattedCitation":"(EMEP/EEA, 2019)","previouslyFormattedCitation":"(EMEP/EEA, 2019)"},"properties":{"noteIndex":0},"schema":"https://github.com/citation-style-language/schema/raw/master/csl-citation.json"}</w:instrText>
      </w:r>
      <w:r>
        <w:fldChar w:fldCharType="separate"/>
      </w:r>
      <w:r w:rsidR="00CF264F" w:rsidRPr="00CF264F">
        <w:rPr>
          <w:noProof/>
        </w:rPr>
        <w:t>(EMEP/EEA, 2019)</w:t>
      </w:r>
      <w:r>
        <w:fldChar w:fldCharType="end"/>
      </w:r>
    </w:p>
    <w:tbl>
      <w:tblPr>
        <w:tblStyle w:val="PlainTable5"/>
        <w:tblW w:w="0" w:type="auto"/>
        <w:jc w:val="center"/>
        <w:tblLook w:val="04A0" w:firstRow="1" w:lastRow="0" w:firstColumn="1" w:lastColumn="0" w:noHBand="0" w:noVBand="1"/>
      </w:tblPr>
      <w:tblGrid>
        <w:gridCol w:w="1857"/>
        <w:gridCol w:w="1944"/>
      </w:tblGrid>
      <w:tr w:rsidR="004C29E9" w:rsidRPr="008764FA" w14:paraId="0728FE39" w14:textId="77777777" w:rsidTr="0041246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0" w:type="auto"/>
          </w:tcPr>
          <w:p w14:paraId="0FF280E5" w14:textId="77777777" w:rsidR="004C29E9" w:rsidRPr="008764FA" w:rsidRDefault="004C29E9" w:rsidP="00412469">
            <w:pPr>
              <w:pBdr>
                <w:top w:val="nil"/>
                <w:left w:val="nil"/>
                <w:bottom w:val="nil"/>
                <w:right w:val="nil"/>
                <w:between w:val="nil"/>
              </w:pBdr>
              <w:rPr>
                <w:rFonts w:ascii="Arial" w:eastAsia="Arial" w:hAnsi="Arial" w:cs="Arial"/>
                <w:i w:val="0"/>
                <w:iCs w:val="0"/>
                <w:color w:val="000000"/>
                <w:sz w:val="18"/>
                <w:szCs w:val="18"/>
              </w:rPr>
            </w:pPr>
            <w:r w:rsidRPr="008764FA">
              <w:rPr>
                <w:rFonts w:ascii="Arial" w:eastAsia="Arial" w:hAnsi="Arial" w:cs="Arial"/>
                <w:i w:val="0"/>
                <w:iCs w:val="0"/>
                <w:color w:val="000000"/>
                <w:sz w:val="18"/>
                <w:szCs w:val="18"/>
              </w:rPr>
              <w:t>Particle size class (</w:t>
            </w:r>
            <w:proofErr w:type="spellStart"/>
            <w:r w:rsidRPr="008764FA">
              <w:rPr>
                <w:rFonts w:ascii="Arial" w:eastAsia="Arial" w:hAnsi="Arial" w:cs="Arial"/>
                <w:i w:val="0"/>
                <w:iCs w:val="0"/>
                <w:color w:val="000000"/>
                <w:sz w:val="18"/>
                <w:szCs w:val="18"/>
              </w:rPr>
              <w:t>i</w:t>
            </w:r>
            <w:proofErr w:type="spellEnd"/>
            <w:r w:rsidRPr="008764FA">
              <w:rPr>
                <w:rFonts w:ascii="Arial" w:eastAsia="Arial" w:hAnsi="Arial" w:cs="Arial"/>
                <w:i w:val="0"/>
                <w:iCs w:val="0"/>
                <w:color w:val="000000"/>
                <w:sz w:val="18"/>
                <w:szCs w:val="18"/>
              </w:rPr>
              <w:t>)</w:t>
            </w:r>
          </w:p>
        </w:tc>
        <w:tc>
          <w:tcPr>
            <w:tcW w:w="0" w:type="auto"/>
          </w:tcPr>
          <w:p w14:paraId="65479B98" w14:textId="77777777" w:rsidR="004C29E9" w:rsidRPr="008764FA" w:rsidRDefault="004C29E9" w:rsidP="00412469">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i w:val="0"/>
                <w:iCs w:val="0"/>
                <w:color w:val="000000"/>
                <w:sz w:val="18"/>
                <w:szCs w:val="18"/>
              </w:rPr>
            </w:pPr>
            <w:r w:rsidRPr="008764FA">
              <w:rPr>
                <w:rFonts w:ascii="Arial" w:eastAsia="Arial" w:hAnsi="Arial" w:cs="Arial"/>
                <w:i w:val="0"/>
                <w:iCs w:val="0"/>
                <w:color w:val="000000"/>
                <w:sz w:val="18"/>
                <w:szCs w:val="18"/>
              </w:rPr>
              <w:t>Mass Fraction of TSP</w:t>
            </w:r>
          </w:p>
        </w:tc>
      </w:tr>
      <w:tr w:rsidR="004C29E9" w:rsidRPr="008764FA" w14:paraId="7539DA37" w14:textId="77777777" w:rsidTr="0041246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4AAD88AE" w14:textId="77777777" w:rsidR="004C29E9" w:rsidRPr="008764FA" w:rsidRDefault="004C29E9" w:rsidP="00412469">
            <w:pPr>
              <w:pBdr>
                <w:top w:val="nil"/>
                <w:left w:val="nil"/>
                <w:bottom w:val="nil"/>
                <w:right w:val="nil"/>
                <w:between w:val="nil"/>
              </w:pBdr>
              <w:rPr>
                <w:rFonts w:ascii="Arial" w:eastAsia="Arial" w:hAnsi="Arial" w:cs="Arial"/>
                <w:i w:val="0"/>
                <w:iCs w:val="0"/>
                <w:color w:val="000000"/>
                <w:sz w:val="18"/>
                <w:szCs w:val="18"/>
              </w:rPr>
            </w:pPr>
            <w:r w:rsidRPr="008764FA">
              <w:rPr>
                <w:rFonts w:ascii="Arial" w:eastAsia="Arial" w:hAnsi="Arial" w:cs="Arial"/>
                <w:i w:val="0"/>
                <w:iCs w:val="0"/>
                <w:color w:val="000000"/>
                <w:sz w:val="18"/>
                <w:szCs w:val="18"/>
              </w:rPr>
              <w:t>TSP</w:t>
            </w:r>
          </w:p>
        </w:tc>
        <w:tc>
          <w:tcPr>
            <w:tcW w:w="0" w:type="auto"/>
          </w:tcPr>
          <w:p w14:paraId="7E6148FC" w14:textId="77777777" w:rsidR="004C29E9" w:rsidRPr="008764FA"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8764FA">
              <w:rPr>
                <w:rFonts w:ascii="Arial" w:eastAsia="Arial" w:hAnsi="Arial" w:cs="Arial"/>
                <w:color w:val="000000"/>
                <w:sz w:val="18"/>
                <w:szCs w:val="18"/>
              </w:rPr>
              <w:t>1</w:t>
            </w:r>
          </w:p>
        </w:tc>
      </w:tr>
      <w:tr w:rsidR="004C29E9" w:rsidRPr="008764FA" w14:paraId="1A44D0AB" w14:textId="77777777" w:rsidTr="00412469">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477554C2" w14:textId="77777777" w:rsidR="004C29E9" w:rsidRPr="008764FA" w:rsidRDefault="004C29E9" w:rsidP="00412469">
            <w:pPr>
              <w:pBdr>
                <w:top w:val="nil"/>
                <w:left w:val="nil"/>
                <w:bottom w:val="nil"/>
                <w:right w:val="nil"/>
                <w:between w:val="nil"/>
              </w:pBdr>
              <w:rPr>
                <w:rFonts w:ascii="Arial" w:eastAsia="Arial" w:hAnsi="Arial" w:cs="Arial"/>
                <w:i w:val="0"/>
                <w:iCs w:val="0"/>
                <w:color w:val="000000"/>
                <w:sz w:val="18"/>
                <w:szCs w:val="18"/>
              </w:rPr>
            </w:pPr>
            <w:r w:rsidRPr="008764FA">
              <w:rPr>
                <w:rFonts w:ascii="Arial" w:eastAsia="Arial" w:hAnsi="Arial" w:cs="Arial"/>
                <w:i w:val="0"/>
                <w:iCs w:val="0"/>
                <w:color w:val="000000"/>
                <w:sz w:val="18"/>
                <w:szCs w:val="18"/>
              </w:rPr>
              <w:t>PM</w:t>
            </w:r>
            <w:r w:rsidRPr="008764FA">
              <w:rPr>
                <w:rFonts w:ascii="Arial" w:eastAsia="Arial" w:hAnsi="Arial" w:cs="Arial"/>
                <w:i w:val="0"/>
                <w:iCs w:val="0"/>
                <w:color w:val="000000"/>
                <w:sz w:val="18"/>
                <w:szCs w:val="18"/>
                <w:vertAlign w:val="subscript"/>
              </w:rPr>
              <w:t>10</w:t>
            </w:r>
          </w:p>
        </w:tc>
        <w:tc>
          <w:tcPr>
            <w:tcW w:w="0" w:type="auto"/>
          </w:tcPr>
          <w:p w14:paraId="7B417C27" w14:textId="77777777" w:rsidR="004C29E9" w:rsidRPr="008764FA"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8764FA">
              <w:rPr>
                <w:rFonts w:ascii="Arial" w:eastAsia="Arial" w:hAnsi="Arial" w:cs="Arial"/>
                <w:color w:val="000000"/>
                <w:sz w:val="18"/>
                <w:szCs w:val="18"/>
              </w:rPr>
              <w:t>0.6</w:t>
            </w:r>
          </w:p>
        </w:tc>
      </w:tr>
      <w:tr w:rsidR="004C29E9" w:rsidRPr="008764FA" w14:paraId="76D68420" w14:textId="77777777" w:rsidTr="0041246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5D05E432" w14:textId="77777777" w:rsidR="004C29E9" w:rsidRPr="008764FA" w:rsidRDefault="004C29E9" w:rsidP="00412469">
            <w:pPr>
              <w:pBdr>
                <w:top w:val="nil"/>
                <w:left w:val="nil"/>
                <w:bottom w:val="nil"/>
                <w:right w:val="nil"/>
                <w:between w:val="nil"/>
              </w:pBdr>
              <w:rPr>
                <w:rFonts w:ascii="Arial" w:eastAsia="Arial" w:hAnsi="Arial" w:cs="Arial"/>
                <w:i w:val="0"/>
                <w:iCs w:val="0"/>
                <w:color w:val="000000"/>
                <w:sz w:val="18"/>
                <w:szCs w:val="18"/>
              </w:rPr>
            </w:pPr>
            <w:r w:rsidRPr="008764FA">
              <w:rPr>
                <w:rFonts w:ascii="Arial" w:eastAsia="Arial" w:hAnsi="Arial" w:cs="Arial"/>
                <w:i w:val="0"/>
                <w:iCs w:val="0"/>
                <w:color w:val="000000"/>
                <w:sz w:val="18"/>
                <w:szCs w:val="18"/>
              </w:rPr>
              <w:t>PM</w:t>
            </w:r>
            <w:r w:rsidRPr="008764FA">
              <w:rPr>
                <w:rFonts w:ascii="Arial" w:eastAsia="Arial" w:hAnsi="Arial" w:cs="Arial"/>
                <w:i w:val="0"/>
                <w:iCs w:val="0"/>
                <w:color w:val="000000"/>
                <w:sz w:val="18"/>
                <w:szCs w:val="18"/>
                <w:vertAlign w:val="subscript"/>
              </w:rPr>
              <w:t>2.5</w:t>
            </w:r>
          </w:p>
        </w:tc>
        <w:tc>
          <w:tcPr>
            <w:tcW w:w="0" w:type="auto"/>
          </w:tcPr>
          <w:p w14:paraId="46103538" w14:textId="77777777" w:rsidR="004C29E9" w:rsidRPr="008764FA"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8764FA">
              <w:rPr>
                <w:rFonts w:ascii="Arial" w:eastAsia="Arial" w:hAnsi="Arial" w:cs="Arial"/>
                <w:color w:val="000000"/>
                <w:sz w:val="18"/>
                <w:szCs w:val="18"/>
              </w:rPr>
              <w:t>0.42</w:t>
            </w:r>
          </w:p>
        </w:tc>
      </w:tr>
      <w:tr w:rsidR="004C29E9" w:rsidRPr="008764FA" w14:paraId="1D241CE7" w14:textId="77777777" w:rsidTr="00412469">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1E97B737" w14:textId="77777777" w:rsidR="004C29E9" w:rsidRPr="008764FA" w:rsidRDefault="004C29E9" w:rsidP="00412469">
            <w:pPr>
              <w:pBdr>
                <w:top w:val="nil"/>
                <w:left w:val="nil"/>
                <w:bottom w:val="nil"/>
                <w:right w:val="nil"/>
                <w:between w:val="nil"/>
              </w:pBdr>
              <w:rPr>
                <w:rFonts w:ascii="Arial" w:eastAsia="Arial" w:hAnsi="Arial" w:cs="Arial"/>
                <w:i w:val="0"/>
                <w:iCs w:val="0"/>
                <w:color w:val="000000"/>
                <w:sz w:val="18"/>
                <w:szCs w:val="18"/>
              </w:rPr>
            </w:pPr>
            <w:r w:rsidRPr="008764FA">
              <w:rPr>
                <w:rFonts w:ascii="Arial" w:eastAsia="Arial" w:hAnsi="Arial" w:cs="Arial"/>
                <w:i w:val="0"/>
                <w:iCs w:val="0"/>
                <w:color w:val="000000"/>
                <w:sz w:val="18"/>
                <w:szCs w:val="18"/>
              </w:rPr>
              <w:t>PM</w:t>
            </w:r>
            <w:r w:rsidRPr="008764FA">
              <w:rPr>
                <w:rFonts w:ascii="Arial" w:eastAsia="Arial" w:hAnsi="Arial" w:cs="Arial"/>
                <w:i w:val="0"/>
                <w:iCs w:val="0"/>
                <w:color w:val="000000"/>
                <w:sz w:val="18"/>
                <w:szCs w:val="18"/>
                <w:vertAlign w:val="subscript"/>
              </w:rPr>
              <w:t>1</w:t>
            </w:r>
          </w:p>
        </w:tc>
        <w:tc>
          <w:tcPr>
            <w:tcW w:w="0" w:type="auto"/>
          </w:tcPr>
          <w:p w14:paraId="3D5C688F" w14:textId="77777777" w:rsidR="004C29E9" w:rsidRPr="008764FA"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8764FA">
              <w:rPr>
                <w:rFonts w:ascii="Arial" w:eastAsia="Arial" w:hAnsi="Arial" w:cs="Arial"/>
                <w:color w:val="000000"/>
                <w:sz w:val="18"/>
                <w:szCs w:val="18"/>
              </w:rPr>
              <w:t>0.06</w:t>
            </w:r>
          </w:p>
        </w:tc>
      </w:tr>
      <w:tr w:rsidR="004C29E9" w:rsidRPr="008764FA" w14:paraId="50E02E07" w14:textId="77777777" w:rsidTr="0041246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0D75936D" w14:textId="77777777" w:rsidR="004C29E9" w:rsidRPr="008764FA" w:rsidRDefault="004C29E9" w:rsidP="00412469">
            <w:pPr>
              <w:pBdr>
                <w:top w:val="nil"/>
                <w:left w:val="nil"/>
                <w:bottom w:val="nil"/>
                <w:right w:val="nil"/>
                <w:between w:val="nil"/>
              </w:pBdr>
              <w:rPr>
                <w:rFonts w:ascii="Arial" w:eastAsia="Arial" w:hAnsi="Arial" w:cs="Arial"/>
                <w:i w:val="0"/>
                <w:iCs w:val="0"/>
                <w:color w:val="000000"/>
                <w:sz w:val="18"/>
                <w:szCs w:val="18"/>
              </w:rPr>
            </w:pPr>
            <w:r w:rsidRPr="008764FA">
              <w:rPr>
                <w:rFonts w:ascii="Arial" w:eastAsia="Arial" w:hAnsi="Arial" w:cs="Arial"/>
                <w:i w:val="0"/>
                <w:iCs w:val="0"/>
                <w:color w:val="000000"/>
                <w:sz w:val="18"/>
                <w:szCs w:val="18"/>
              </w:rPr>
              <w:t>PM</w:t>
            </w:r>
            <w:r w:rsidRPr="008764FA">
              <w:rPr>
                <w:rFonts w:ascii="Arial" w:eastAsia="Arial" w:hAnsi="Arial" w:cs="Arial"/>
                <w:i w:val="0"/>
                <w:iCs w:val="0"/>
                <w:color w:val="000000"/>
                <w:sz w:val="18"/>
                <w:szCs w:val="18"/>
                <w:vertAlign w:val="subscript"/>
              </w:rPr>
              <w:t>0.1</w:t>
            </w:r>
          </w:p>
        </w:tc>
        <w:tc>
          <w:tcPr>
            <w:tcW w:w="0" w:type="auto"/>
          </w:tcPr>
          <w:p w14:paraId="72A57757" w14:textId="77777777" w:rsidR="004C29E9" w:rsidRPr="008764FA"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8764FA">
              <w:rPr>
                <w:rFonts w:ascii="Arial" w:eastAsia="Arial" w:hAnsi="Arial" w:cs="Arial"/>
                <w:color w:val="000000"/>
                <w:sz w:val="18"/>
                <w:szCs w:val="18"/>
              </w:rPr>
              <w:t>0.048</w:t>
            </w:r>
          </w:p>
        </w:tc>
      </w:tr>
    </w:tbl>
    <w:p w14:paraId="4352B243" w14:textId="77777777" w:rsidR="004C29E9" w:rsidRPr="00DA325E" w:rsidRDefault="004C29E9" w:rsidP="004C29E9">
      <w:pPr>
        <w:rPr>
          <w:highlight w:val="white"/>
        </w:rPr>
      </w:pPr>
    </w:p>
    <w:p w14:paraId="568D8782" w14:textId="4350A691" w:rsidR="004C29E9" w:rsidRPr="0088741E" w:rsidRDefault="004C29E9" w:rsidP="004C29E9">
      <w:pPr>
        <w:pStyle w:val="CapTable"/>
        <w:rPr>
          <w:lang w:val="en-US"/>
        </w:rPr>
      </w:pPr>
      <w:r>
        <w:t xml:space="preserve">Table </w:t>
      </w:r>
      <w:r>
        <w:fldChar w:fldCharType="begin"/>
      </w:r>
      <w:r>
        <w:instrText xml:space="preserve"> SEQ Table \* ARABIC </w:instrText>
      </w:r>
      <w:r>
        <w:fldChar w:fldCharType="separate"/>
      </w:r>
      <w:r w:rsidR="00A866D8">
        <w:rPr>
          <w:noProof/>
        </w:rPr>
        <w:t>3</w:t>
      </w:r>
      <w:r>
        <w:fldChar w:fldCharType="end"/>
      </w:r>
      <w:r>
        <w:t xml:space="preserve"> </w:t>
      </w:r>
      <w:r>
        <w:rPr>
          <w:lang w:val="en-US"/>
        </w:rPr>
        <w:t xml:space="preserve">Speed Correction </w:t>
      </w:r>
      <w:r>
        <w:fldChar w:fldCharType="begin" w:fldLock="1"/>
      </w:r>
      <w:r w:rsidR="00204F96">
        <w:instrText>ADDIN CSL_CITATION {"citationItems":[{"id":"ITEM-1","itemData":{"author":[{"dropping-particle":"","family":"EMEP/EEA","given":"","non-dropping-particle":"","parse-names":false,"suffix":""}],"id":"ITEM-1","issued":{"date-parts":[["2019"]]},"title":"EMEP/EEA Air Pollutant Emission Inventory Guidebook 2019","type":"report"},"uris":["http://www.mendeley.com/documents/?uuid=0bb72285-78df-4a33-9afe-f58ed09ed1bd"]}],"mendeley":{"formattedCitation":"(EMEP/EEA, 2019)","plainTextFormattedCitation":"(EMEP/EEA, 2019)","previouslyFormattedCitation":"(EMEP/EEA, 2019)"},"properties":{"noteIndex":0},"schema":"https://github.com/citation-style-language/schema/raw/master/csl-citation.json"}</w:instrText>
      </w:r>
      <w:r>
        <w:fldChar w:fldCharType="separate"/>
      </w:r>
      <w:r w:rsidR="00CF264F" w:rsidRPr="00CF264F">
        <w:rPr>
          <w:noProof/>
        </w:rPr>
        <w:t>(EMEP/EEA, 2019)</w:t>
      </w:r>
      <w:r>
        <w:fldChar w:fldCharType="end"/>
      </w:r>
    </w:p>
    <w:tbl>
      <w:tblPr>
        <w:tblStyle w:val="PlainTable5"/>
        <w:tblW w:w="5319" w:type="dxa"/>
        <w:jc w:val="center"/>
        <w:tblLayout w:type="fixed"/>
        <w:tblLook w:val="04A0" w:firstRow="1" w:lastRow="0" w:firstColumn="1" w:lastColumn="0" w:noHBand="0" w:noVBand="1"/>
      </w:tblPr>
      <w:tblGrid>
        <w:gridCol w:w="2428"/>
        <w:gridCol w:w="2891"/>
      </w:tblGrid>
      <w:tr w:rsidR="004C29E9" w:rsidRPr="008764FA" w14:paraId="50671074" w14:textId="77777777" w:rsidTr="0041246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2428" w:type="dxa"/>
          </w:tcPr>
          <w:p w14:paraId="0E9477E5" w14:textId="77777777" w:rsidR="004C29E9" w:rsidRPr="008764FA" w:rsidRDefault="004C29E9" w:rsidP="00412469">
            <w:pPr>
              <w:pBdr>
                <w:top w:val="nil"/>
                <w:left w:val="nil"/>
                <w:bottom w:val="nil"/>
                <w:right w:val="nil"/>
                <w:between w:val="nil"/>
              </w:pBdr>
              <w:rPr>
                <w:rFonts w:ascii="Arial" w:eastAsia="Arial" w:hAnsi="Arial" w:cs="Arial"/>
                <w:i w:val="0"/>
                <w:iCs w:val="0"/>
                <w:color w:val="000000"/>
                <w:sz w:val="18"/>
                <w:szCs w:val="18"/>
              </w:rPr>
            </w:pPr>
            <w:r w:rsidRPr="008764FA">
              <w:rPr>
                <w:rFonts w:ascii="Arial" w:eastAsia="Arial" w:hAnsi="Arial" w:cs="Arial"/>
                <w:i w:val="0"/>
                <w:iCs w:val="0"/>
                <w:color w:val="000000"/>
                <w:sz w:val="18"/>
                <w:szCs w:val="18"/>
              </w:rPr>
              <w:t>Velocity (km/h)</w:t>
            </w:r>
          </w:p>
        </w:tc>
        <w:tc>
          <w:tcPr>
            <w:tcW w:w="2891" w:type="dxa"/>
          </w:tcPr>
          <w:p w14:paraId="70C854B8" w14:textId="77777777" w:rsidR="004C29E9" w:rsidRPr="008764FA" w:rsidRDefault="004C29E9" w:rsidP="00412469">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i w:val="0"/>
                <w:iCs w:val="0"/>
                <w:color w:val="000000"/>
                <w:sz w:val="18"/>
                <w:szCs w:val="18"/>
              </w:rPr>
            </w:pPr>
            <w:r w:rsidRPr="008764FA">
              <w:rPr>
                <w:rFonts w:ascii="Arial" w:eastAsia="Arial" w:hAnsi="Arial" w:cs="Arial"/>
                <w:i w:val="0"/>
                <w:iCs w:val="0"/>
                <w:color w:val="000000"/>
                <w:sz w:val="18"/>
                <w:szCs w:val="18"/>
              </w:rPr>
              <w:t>Factors (V)</w:t>
            </w:r>
          </w:p>
        </w:tc>
      </w:tr>
      <w:tr w:rsidR="004C29E9" w:rsidRPr="008764FA" w14:paraId="4D20E6E2" w14:textId="77777777" w:rsidTr="0041246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28" w:type="dxa"/>
          </w:tcPr>
          <w:p w14:paraId="1CEF047D" w14:textId="77777777" w:rsidR="004C29E9" w:rsidRPr="008764FA" w:rsidRDefault="004C29E9" w:rsidP="00412469">
            <w:pPr>
              <w:pBdr>
                <w:top w:val="nil"/>
                <w:left w:val="nil"/>
                <w:bottom w:val="nil"/>
                <w:right w:val="nil"/>
                <w:between w:val="nil"/>
              </w:pBdr>
              <w:rPr>
                <w:rFonts w:ascii="Arial" w:eastAsia="Arial" w:hAnsi="Arial" w:cs="Arial"/>
                <w:i w:val="0"/>
                <w:iCs w:val="0"/>
                <w:color w:val="000000"/>
                <w:sz w:val="18"/>
                <w:szCs w:val="18"/>
              </w:rPr>
            </w:pPr>
            <w:r w:rsidRPr="008764FA">
              <w:rPr>
                <w:rFonts w:ascii="Arial" w:eastAsia="Arial" w:hAnsi="Arial" w:cs="Arial"/>
                <w:i w:val="0"/>
                <w:iCs w:val="0"/>
                <w:color w:val="000000"/>
                <w:sz w:val="18"/>
                <w:szCs w:val="18"/>
              </w:rPr>
              <w:t>V &lt; 40</w:t>
            </w:r>
          </w:p>
        </w:tc>
        <w:tc>
          <w:tcPr>
            <w:tcW w:w="2891" w:type="dxa"/>
          </w:tcPr>
          <w:p w14:paraId="188BFACA" w14:textId="77777777" w:rsidR="004C29E9" w:rsidRPr="008764FA"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8764FA">
              <w:rPr>
                <w:rFonts w:ascii="Arial" w:eastAsia="Arial" w:hAnsi="Arial" w:cs="Arial"/>
                <w:color w:val="000000"/>
                <w:sz w:val="18"/>
                <w:szCs w:val="18"/>
              </w:rPr>
              <w:t>1.39</w:t>
            </w:r>
          </w:p>
        </w:tc>
      </w:tr>
      <w:tr w:rsidR="004C29E9" w:rsidRPr="008764FA" w14:paraId="4B1E3DBC" w14:textId="77777777" w:rsidTr="00412469">
        <w:trPr>
          <w:trHeight w:val="20"/>
          <w:jc w:val="center"/>
        </w:trPr>
        <w:tc>
          <w:tcPr>
            <w:cnfStyle w:val="001000000000" w:firstRow="0" w:lastRow="0" w:firstColumn="1" w:lastColumn="0" w:oddVBand="0" w:evenVBand="0" w:oddHBand="0" w:evenHBand="0" w:firstRowFirstColumn="0" w:firstRowLastColumn="0" w:lastRowFirstColumn="0" w:lastRowLastColumn="0"/>
            <w:tcW w:w="2428" w:type="dxa"/>
          </w:tcPr>
          <w:p w14:paraId="02463B3B" w14:textId="77777777" w:rsidR="004C29E9" w:rsidRPr="008764FA" w:rsidRDefault="004C29E9" w:rsidP="00412469">
            <w:pPr>
              <w:pBdr>
                <w:top w:val="nil"/>
                <w:left w:val="nil"/>
                <w:bottom w:val="nil"/>
                <w:right w:val="nil"/>
                <w:between w:val="nil"/>
              </w:pBdr>
              <w:rPr>
                <w:rFonts w:ascii="Arial" w:eastAsia="Arial" w:hAnsi="Arial" w:cs="Arial"/>
                <w:i w:val="0"/>
                <w:iCs w:val="0"/>
                <w:color w:val="000000"/>
                <w:sz w:val="18"/>
                <w:szCs w:val="18"/>
              </w:rPr>
            </w:pPr>
            <w:r w:rsidRPr="00A83606">
              <w:rPr>
                <w:rFonts w:ascii="Arial" w:eastAsia="Arial" w:hAnsi="Arial" w:cs="Arial"/>
                <w:i w:val="0"/>
                <w:iCs w:val="0"/>
                <w:color w:val="000000"/>
                <w:sz w:val="18"/>
                <w:szCs w:val="18"/>
              </w:rPr>
              <w:t>40</w:t>
            </w:r>
            <w:r w:rsidRPr="00A83606">
              <w:rPr>
                <w:rFonts w:ascii="Arial" w:eastAsia="Arial" w:hAnsi="Arial" w:cs="Arial" w:hint="eastAsia"/>
                <w:i w:val="0"/>
                <w:iCs w:val="0"/>
                <w:color w:val="000000"/>
                <w:sz w:val="18"/>
                <w:szCs w:val="18"/>
              </w:rPr>
              <w:t xml:space="preserve"> ≤</w:t>
            </w:r>
            <w:r>
              <w:rPr>
                <w:rFonts w:ascii="Arial" w:eastAsiaTheme="minorEastAsia" w:hAnsi="Arial" w:cs="Arial" w:hint="eastAsia"/>
                <w:i w:val="0"/>
                <w:iCs w:val="0"/>
                <w:color w:val="000000"/>
                <w:sz w:val="18"/>
                <w:szCs w:val="18"/>
              </w:rPr>
              <w:t xml:space="preserve"> </w:t>
            </w:r>
            <w:r>
              <w:rPr>
                <w:rFonts w:ascii="Arial" w:eastAsiaTheme="minorEastAsia" w:hAnsi="Arial" w:cs="Arial"/>
                <w:i w:val="0"/>
                <w:iCs w:val="0"/>
                <w:color w:val="000000"/>
                <w:sz w:val="18"/>
                <w:szCs w:val="18"/>
              </w:rPr>
              <w:t xml:space="preserve">V </w:t>
            </w:r>
            <w:r w:rsidRPr="00A83606">
              <w:rPr>
                <w:rFonts w:ascii="Arial" w:eastAsia="Arial" w:hAnsi="Arial" w:cs="Arial" w:hint="eastAsia"/>
                <w:i w:val="0"/>
                <w:iCs w:val="0"/>
                <w:color w:val="000000"/>
                <w:sz w:val="18"/>
                <w:szCs w:val="18"/>
              </w:rPr>
              <w:t xml:space="preserve">≤ </w:t>
            </w:r>
            <w:r w:rsidRPr="00A83606">
              <w:rPr>
                <w:rFonts w:ascii="Arial" w:eastAsia="Arial" w:hAnsi="Arial" w:cs="Arial"/>
                <w:i w:val="0"/>
                <w:iCs w:val="0"/>
                <w:color w:val="000000"/>
                <w:sz w:val="18"/>
                <w:szCs w:val="18"/>
              </w:rPr>
              <w:t xml:space="preserve">90 </w:t>
            </w:r>
          </w:p>
        </w:tc>
        <w:tc>
          <w:tcPr>
            <w:tcW w:w="2891" w:type="dxa"/>
          </w:tcPr>
          <w:p w14:paraId="5B5AF2B7" w14:textId="77777777" w:rsidR="004C29E9" w:rsidRPr="008764FA"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8764FA">
              <w:rPr>
                <w:rFonts w:ascii="Arial" w:eastAsia="Arial" w:hAnsi="Arial" w:cs="Arial"/>
                <w:color w:val="000000"/>
                <w:sz w:val="18"/>
                <w:szCs w:val="18"/>
              </w:rPr>
              <w:t>-0.00974 * V + 1.78</w:t>
            </w:r>
          </w:p>
        </w:tc>
      </w:tr>
      <w:tr w:rsidR="004C29E9" w:rsidRPr="008764FA" w14:paraId="1BE74DEF" w14:textId="77777777" w:rsidTr="0041246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28" w:type="dxa"/>
          </w:tcPr>
          <w:p w14:paraId="62332B50" w14:textId="77777777" w:rsidR="004C29E9" w:rsidRPr="008764FA" w:rsidRDefault="004C29E9" w:rsidP="00412469">
            <w:pPr>
              <w:pBdr>
                <w:top w:val="nil"/>
                <w:left w:val="nil"/>
                <w:bottom w:val="nil"/>
                <w:right w:val="nil"/>
                <w:between w:val="nil"/>
              </w:pBdr>
              <w:rPr>
                <w:rFonts w:ascii="Arial" w:eastAsia="Arial" w:hAnsi="Arial" w:cs="Arial"/>
                <w:i w:val="0"/>
                <w:iCs w:val="0"/>
                <w:color w:val="000000"/>
                <w:sz w:val="18"/>
                <w:szCs w:val="18"/>
              </w:rPr>
            </w:pPr>
            <w:r w:rsidRPr="008764FA">
              <w:rPr>
                <w:rFonts w:ascii="Arial" w:eastAsia="Arial" w:hAnsi="Arial" w:cs="Arial"/>
                <w:i w:val="0"/>
                <w:iCs w:val="0"/>
                <w:color w:val="000000"/>
                <w:sz w:val="18"/>
                <w:szCs w:val="18"/>
              </w:rPr>
              <w:t>V &gt;90</w:t>
            </w:r>
          </w:p>
        </w:tc>
        <w:tc>
          <w:tcPr>
            <w:tcW w:w="2891" w:type="dxa"/>
          </w:tcPr>
          <w:p w14:paraId="601189FB" w14:textId="77777777" w:rsidR="004C29E9" w:rsidRPr="008764FA"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8764FA">
              <w:rPr>
                <w:rFonts w:ascii="Arial" w:eastAsia="Arial" w:hAnsi="Arial" w:cs="Arial"/>
                <w:color w:val="000000"/>
                <w:sz w:val="18"/>
                <w:szCs w:val="18"/>
              </w:rPr>
              <w:t>0.902</w:t>
            </w:r>
          </w:p>
        </w:tc>
      </w:tr>
      <w:tr w:rsidR="004C29E9" w:rsidRPr="008764FA" w14:paraId="4FE9F774" w14:textId="77777777" w:rsidTr="00412469">
        <w:trPr>
          <w:trHeight w:val="20"/>
          <w:jc w:val="center"/>
        </w:trPr>
        <w:tc>
          <w:tcPr>
            <w:cnfStyle w:val="001000000000" w:firstRow="0" w:lastRow="0" w:firstColumn="1" w:lastColumn="0" w:oddVBand="0" w:evenVBand="0" w:oddHBand="0" w:evenHBand="0" w:firstRowFirstColumn="0" w:firstRowLastColumn="0" w:lastRowFirstColumn="0" w:lastRowLastColumn="0"/>
            <w:tcW w:w="5319" w:type="dxa"/>
            <w:gridSpan w:val="2"/>
          </w:tcPr>
          <w:p w14:paraId="13A584F2" w14:textId="77777777" w:rsidR="004C29E9" w:rsidRPr="008764FA" w:rsidRDefault="004C29E9" w:rsidP="00412469">
            <w:pPr>
              <w:pBdr>
                <w:top w:val="nil"/>
                <w:left w:val="nil"/>
                <w:bottom w:val="nil"/>
                <w:right w:val="nil"/>
                <w:between w:val="nil"/>
              </w:pBdr>
              <w:rPr>
                <w:rFonts w:ascii="Arial" w:eastAsia="Arial" w:hAnsi="Arial" w:cs="Arial"/>
                <w:i w:val="0"/>
                <w:iCs w:val="0"/>
                <w:color w:val="000000"/>
                <w:sz w:val="18"/>
                <w:szCs w:val="18"/>
              </w:rPr>
            </w:pPr>
            <w:r w:rsidRPr="008764FA">
              <w:rPr>
                <w:rFonts w:ascii="Arial" w:eastAsia="Arial" w:hAnsi="Arial" w:cs="Arial"/>
                <w:noProof/>
                <w:color w:val="000000"/>
                <w:sz w:val="18"/>
                <w:szCs w:val="18"/>
              </w:rPr>
              <w:drawing>
                <wp:inline distT="0" distB="0" distL="0" distR="0" wp14:anchorId="1BBCABE0" wp14:editId="301A8412">
                  <wp:extent cx="3240634" cy="1607756"/>
                  <wp:effectExtent l="0" t="0" r="0" b="5715"/>
                  <wp:docPr id="2139356651" name="image72.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139356651" name="image72.png" descr="Chart, line chart&#10;&#10;Description automatically generated"/>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3240634" cy="1607756"/>
                          </a:xfrm>
                          <a:prstGeom prst="rect">
                            <a:avLst/>
                          </a:prstGeom>
                          <a:ln/>
                        </pic:spPr>
                      </pic:pic>
                    </a:graphicData>
                  </a:graphic>
                </wp:inline>
              </w:drawing>
            </w:r>
          </w:p>
        </w:tc>
      </w:tr>
    </w:tbl>
    <w:p w14:paraId="5DC6F82D" w14:textId="77777777" w:rsidR="004C29E9" w:rsidRPr="00DA325E" w:rsidRDefault="004C29E9" w:rsidP="004C29E9">
      <w:pPr>
        <w:rPr>
          <w:highlight w:val="white"/>
        </w:rPr>
      </w:pPr>
    </w:p>
    <w:p w14:paraId="352BCACA" w14:textId="613A4338" w:rsidR="004C29E9" w:rsidRPr="00DA325E" w:rsidRDefault="004C29E9" w:rsidP="009E4981">
      <w:pPr>
        <w:pStyle w:val="Heading1"/>
        <w:rPr>
          <w:highlight w:val="white"/>
        </w:rPr>
      </w:pPr>
      <w:r w:rsidRPr="00DA325E">
        <w:rPr>
          <w:highlight w:val="white"/>
        </w:rPr>
        <w:t>2</w:t>
      </w:r>
      <w:r w:rsidR="009E4981">
        <w:rPr>
          <w:highlight w:val="white"/>
        </w:rPr>
        <w:t>.</w:t>
      </w:r>
      <w:r w:rsidRPr="00DA325E">
        <w:rPr>
          <w:highlight w:val="white"/>
        </w:rPr>
        <w:t xml:space="preserve"> Brake Wear </w:t>
      </w:r>
    </w:p>
    <w:p w14:paraId="6C0F6532" w14:textId="77777777" w:rsidR="004C29E9" w:rsidRPr="00DA325E" w:rsidRDefault="004C29E9" w:rsidP="004C29E9">
      <w:pPr>
        <w:rPr>
          <w:highlight w:val="white"/>
        </w:rPr>
      </w:pPr>
      <w:r w:rsidRPr="00DA325E">
        <w:rPr>
          <w:highlight w:val="white"/>
        </w:rPr>
        <w:t>The equation for brake wear is the same as tyre wear and has only a few differences in parameters.</w:t>
      </w:r>
    </w:p>
    <w:p w14:paraId="25AA29C0" w14:textId="77777777" w:rsidR="004C29E9" w:rsidRPr="00363FFE" w:rsidRDefault="00BA5902" w:rsidP="004C29E9">
      <w:pPr>
        <w:pStyle w:val="ListParagraph"/>
        <w:ind w:leftChars="0" w:left="720"/>
        <w:jc w:val="center"/>
        <w:rPr>
          <w:i/>
          <w:highlight w:val="white"/>
        </w:rPr>
      </w:pPr>
      <m:oMathPara>
        <m:oMath>
          <m:sSub>
            <m:sSubPr>
              <m:ctrlPr>
                <w:rPr>
                  <w:rFonts w:ascii="Cambria Math" w:hAnsi="Cambria Math"/>
                  <w:i/>
                </w:rPr>
              </m:ctrlPr>
            </m:sSubPr>
            <m:e>
              <m:r>
                <m:rPr>
                  <m:nor/>
                </m:rPr>
                <w:rPr>
                  <w:rFonts w:ascii="Cambria Math" w:hAnsi="Cambria Math"/>
                </w:rPr>
                <m:t>NEE</m:t>
              </m:r>
              <m:ctrlPr>
                <w:rPr>
                  <w:rFonts w:ascii="Cambria Math" w:hAnsi="Cambria Math"/>
                </w:rPr>
              </m:ctrlPr>
            </m:e>
            <m:sub>
              <m:r>
                <m:rPr>
                  <m:nor/>
                </m:rPr>
                <w:rPr>
                  <w:rFonts w:ascii="Cambria Math" w:hAnsi="Cambria Math"/>
                </w:rPr>
                <m:t>Brake</m:t>
              </m:r>
            </m:sub>
          </m:sSub>
          <m:r>
            <m:rPr>
              <m:nor/>
            </m:rPr>
            <w:rPr>
              <w:rFonts w:ascii="Cambria Math" w:hAnsi="Cambria Math"/>
            </w:rPr>
            <m:t>=</m:t>
          </m:r>
          <m:nary>
            <m:naryPr>
              <m:chr m:val="∑"/>
              <m:limLoc m:val="undOvr"/>
              <m:ctrlPr>
                <w:rPr>
                  <w:rFonts w:ascii="Cambria Math" w:hAnsi="Cambria Math"/>
                  <w:i/>
                </w:rPr>
              </m:ctrlPr>
            </m:naryPr>
            <m:sub>
              <m:r>
                <m:rPr>
                  <m:nor/>
                </m:rPr>
                <w:rPr>
                  <w:rFonts w:ascii="Cambria Math" w:hAnsi="Cambria Math"/>
                </w:rPr>
                <m:t>i=1</m:t>
              </m:r>
            </m:sub>
            <m:sup>
              <m:r>
                <m:rPr>
                  <m:nor/>
                </m:rPr>
                <w:rPr>
                  <w:rFonts w:ascii="Cambria Math" w:hAnsi="Cambria Math"/>
                </w:rPr>
                <m:t>n</m:t>
              </m:r>
            </m:sup>
            <m:e>
              <m:sSub>
                <m:sSubPr>
                  <m:ctrlPr>
                    <w:rPr>
                      <w:rFonts w:ascii="Cambria Math" w:hAnsi="Cambria Math"/>
                      <w:i/>
                    </w:rPr>
                  </m:ctrlPr>
                </m:sSubPr>
                <m:e>
                  <m:r>
                    <m:rPr>
                      <m:nor/>
                    </m:rPr>
                    <w:rPr>
                      <w:rFonts w:ascii="Cambria Math" w:hAnsi="Cambria Math"/>
                    </w:rPr>
                    <m:t>N</m:t>
                  </m:r>
                </m:e>
                <m:sub>
                  <m:r>
                    <m:rPr>
                      <m:nor/>
                    </m:rPr>
                    <w:rPr>
                      <w:rFonts w:ascii="Cambria Math" w:hAnsi="Cambria Math"/>
                    </w:rPr>
                    <m:t>j</m:t>
                  </m:r>
                </m:sub>
              </m:sSub>
            </m:e>
          </m:nary>
          <m:sSub>
            <m:sSubPr>
              <m:ctrlPr>
                <w:rPr>
                  <w:rFonts w:ascii="Cambria Math" w:hAnsi="Cambria Math"/>
                  <w:i/>
                </w:rPr>
              </m:ctrlPr>
            </m:sSubPr>
            <m:e>
              <m:r>
                <m:rPr>
                  <m:nor/>
                </m:rPr>
                <w:rPr>
                  <w:rFonts w:ascii="Cambria Math" w:hAnsi="Cambria Math"/>
                </w:rPr>
                <m:t>×M</m:t>
              </m:r>
              <m:ctrlPr>
                <w:rPr>
                  <w:rFonts w:ascii="Cambria Math" w:hAnsi="Cambria Math"/>
                </w:rPr>
              </m:ctrlPr>
            </m:e>
            <m:sub>
              <m:r>
                <m:rPr>
                  <m:nor/>
                </m:rPr>
                <w:rPr>
                  <w:rFonts w:ascii="Cambria Math" w:hAnsi="Cambria Math"/>
                </w:rPr>
                <m:t>j</m:t>
              </m:r>
            </m:sub>
          </m:sSub>
          <m:r>
            <m:rPr>
              <m:nor/>
            </m:rPr>
            <w:rPr>
              <w:rFonts w:ascii="Cambria Math" w:hAnsi="Cambria Math"/>
            </w:rPr>
            <m:t>×</m:t>
          </m:r>
          <m:sSub>
            <m:sSubPr>
              <m:ctrlPr>
                <w:rPr>
                  <w:rFonts w:ascii="Cambria Math" w:hAnsi="Cambria Math"/>
                  <w:i/>
                </w:rPr>
              </m:ctrlPr>
            </m:sSubPr>
            <m:e>
              <m:sSub>
                <m:sSubPr>
                  <m:ctrlPr>
                    <w:rPr>
                      <w:rFonts w:ascii="Cambria Math" w:hAnsi="Cambria Math"/>
                      <w:i/>
                    </w:rPr>
                  </m:ctrlPr>
                </m:sSubPr>
                <m:e>
                  <m:r>
                    <m:rPr>
                      <m:nor/>
                    </m:rPr>
                    <w:rPr>
                      <w:rFonts w:ascii="Cambria Math" w:hAnsi="Cambria Math"/>
                    </w:rPr>
                    <m:t>EF</m:t>
                  </m:r>
                  <m:ctrlPr>
                    <w:rPr>
                      <w:rFonts w:ascii="Cambria Math" w:eastAsia="Cambria Math" w:hAnsi="Cambria Math" w:cs="Cambria Math"/>
                      <w:i/>
                    </w:rPr>
                  </m:ctrlPr>
                </m:e>
                <m:sub>
                  <m:r>
                    <m:rPr>
                      <m:nor/>
                    </m:rPr>
                    <w:rPr>
                      <w:rFonts w:ascii="Cambria Math" w:hAnsi="Cambria Math"/>
                    </w:rPr>
                    <m:t>Br,j</m:t>
                  </m:r>
                </m:sub>
              </m:sSub>
              <m:r>
                <m:rPr>
                  <m:nor/>
                </m:rPr>
                <w:rPr>
                  <w:rFonts w:ascii="Cambria Math" w:hAnsi="Cambria Math"/>
                </w:rPr>
                <m:t>×F</m:t>
              </m:r>
              <m:ctrlPr>
                <w:rPr>
                  <w:rFonts w:ascii="Cambria Math" w:eastAsia="Cambria Math" w:hAnsi="Cambria Math" w:cs="Cambria Math"/>
                  <w:i/>
                </w:rPr>
              </m:ctrlPr>
            </m:e>
            <m:sub>
              <m:r>
                <m:rPr>
                  <m:nor/>
                </m:rPr>
                <w:rPr>
                  <w:rFonts w:ascii="Cambria Math" w:hAnsi="Cambria Math"/>
                </w:rPr>
                <m:t>s,i</m:t>
              </m:r>
            </m:sub>
          </m:sSub>
          <m:r>
            <m:rPr>
              <m:nor/>
            </m:rPr>
            <w:rPr>
              <w:rFonts w:ascii="Cambria Math" w:hAnsi="Cambria Math"/>
            </w:rPr>
            <m:t>×S</m:t>
          </m:r>
          <m:d>
            <m:dPr>
              <m:ctrlPr>
                <w:rPr>
                  <w:rFonts w:ascii="Cambria Math" w:hAnsi="Cambria Math"/>
                  <w:i/>
                </w:rPr>
              </m:ctrlPr>
            </m:dPr>
            <m:e>
              <m:r>
                <m:rPr>
                  <m:nor/>
                </m:rPr>
                <w:rPr>
                  <w:rFonts w:ascii="Cambria Math" w:hAnsi="Cambria Math"/>
                </w:rPr>
                <m:t>V</m:t>
              </m:r>
            </m:e>
          </m:d>
        </m:oMath>
      </m:oMathPara>
    </w:p>
    <w:p w14:paraId="0C106486" w14:textId="77777777" w:rsidR="004C29E9" w:rsidRPr="008764FA" w:rsidRDefault="004C29E9" w:rsidP="004C29E9">
      <w:pPr>
        <w:pStyle w:val="ListParagraph"/>
        <w:numPr>
          <w:ilvl w:val="0"/>
          <w:numId w:val="1"/>
        </w:numPr>
        <w:pBdr>
          <w:top w:val="nil"/>
          <w:left w:val="nil"/>
          <w:bottom w:val="nil"/>
          <w:right w:val="nil"/>
          <w:between w:val="nil"/>
        </w:pBdr>
        <w:spacing w:after="0"/>
        <w:ind w:leftChars="0"/>
        <w:jc w:val="left"/>
        <w:rPr>
          <w:rFonts w:eastAsia="Times New Roman"/>
          <w:color w:val="000000"/>
          <w:highlight w:val="white"/>
        </w:rPr>
      </w:pPr>
      <w:proofErr w:type="spellStart"/>
      <w:r>
        <w:rPr>
          <w:rFonts w:eastAsia="Times New Roman"/>
          <w:color w:val="000000"/>
          <w:highlight w:val="white"/>
        </w:rPr>
        <w:t>NE</w:t>
      </w:r>
      <w:r w:rsidRPr="008764FA">
        <w:rPr>
          <w:rFonts w:eastAsia="Times New Roman"/>
          <w:color w:val="000000"/>
          <w:highlight w:val="white"/>
        </w:rPr>
        <w:t>E</w:t>
      </w:r>
      <w:r w:rsidRPr="008764FA">
        <w:rPr>
          <w:rFonts w:eastAsia="Times New Roman"/>
          <w:color w:val="000000"/>
          <w:highlight w:val="white"/>
          <w:vertAlign w:val="subscript"/>
        </w:rPr>
        <w:t>Brake</w:t>
      </w:r>
      <w:proofErr w:type="spellEnd"/>
      <w:r w:rsidRPr="008764FA">
        <w:rPr>
          <w:rFonts w:eastAsia="Times New Roman"/>
          <w:color w:val="000000"/>
          <w:highlight w:val="white"/>
        </w:rPr>
        <w:t xml:space="preserve">: Total </w:t>
      </w:r>
      <w:r w:rsidRPr="008764FA">
        <w:rPr>
          <w:rFonts w:eastAsia="Times New Roman"/>
          <w:iCs/>
          <w:color w:val="000000"/>
          <w:highlight w:val="white"/>
        </w:rPr>
        <w:t>emissions</w:t>
      </w:r>
      <w:r w:rsidRPr="008764FA">
        <w:rPr>
          <w:rFonts w:eastAsia="Times New Roman"/>
          <w:color w:val="000000"/>
          <w:highlight w:val="white"/>
        </w:rPr>
        <w:t xml:space="preserve"> for the defined time and spatial boundary (g/km)</w:t>
      </w:r>
    </w:p>
    <w:p w14:paraId="6BED1DE0" w14:textId="77777777" w:rsidR="004C29E9" w:rsidRPr="008764FA" w:rsidRDefault="004C29E9" w:rsidP="004C29E9">
      <w:pPr>
        <w:pStyle w:val="ListParagraph"/>
        <w:numPr>
          <w:ilvl w:val="0"/>
          <w:numId w:val="1"/>
        </w:numPr>
        <w:pBdr>
          <w:top w:val="nil"/>
          <w:left w:val="nil"/>
          <w:bottom w:val="nil"/>
          <w:right w:val="nil"/>
          <w:between w:val="nil"/>
        </w:pBdr>
        <w:spacing w:after="0"/>
        <w:ind w:leftChars="0"/>
        <w:rPr>
          <w:rFonts w:eastAsia="Times New Roman"/>
          <w:color w:val="000000"/>
          <w:highlight w:val="white"/>
        </w:rPr>
      </w:pPr>
      <w:r w:rsidRPr="008764FA">
        <w:rPr>
          <w:rFonts w:eastAsia="Times New Roman"/>
          <w:color w:val="000000"/>
          <w:highlight w:val="white"/>
        </w:rPr>
        <w:t>N</w:t>
      </w:r>
      <w:r w:rsidRPr="008764FA">
        <w:rPr>
          <w:rFonts w:eastAsia="Times New Roman"/>
          <w:color w:val="000000"/>
          <w:highlight w:val="white"/>
          <w:vertAlign w:val="subscript"/>
        </w:rPr>
        <w:t>j</w:t>
      </w:r>
      <w:r w:rsidRPr="008764FA">
        <w:rPr>
          <w:rFonts w:eastAsia="Times New Roman"/>
          <w:color w:val="000000"/>
          <w:highlight w:val="white"/>
        </w:rPr>
        <w:t>: Number of vehicles in category j within the defined spatial boundary</w:t>
      </w:r>
    </w:p>
    <w:p w14:paraId="02A0193C" w14:textId="77777777" w:rsidR="004C29E9" w:rsidRPr="008764FA" w:rsidRDefault="004C29E9" w:rsidP="004C29E9">
      <w:pPr>
        <w:pStyle w:val="ListParagraph"/>
        <w:numPr>
          <w:ilvl w:val="0"/>
          <w:numId w:val="1"/>
        </w:numPr>
        <w:pBdr>
          <w:top w:val="nil"/>
          <w:left w:val="nil"/>
          <w:bottom w:val="nil"/>
          <w:right w:val="nil"/>
          <w:between w:val="nil"/>
        </w:pBdr>
        <w:spacing w:after="0"/>
        <w:ind w:leftChars="0"/>
        <w:rPr>
          <w:rFonts w:eastAsia="Times New Roman"/>
          <w:iCs/>
          <w:color w:val="000000"/>
          <w:highlight w:val="white"/>
        </w:rPr>
      </w:pPr>
      <w:proofErr w:type="spellStart"/>
      <w:r w:rsidRPr="008764FA">
        <w:rPr>
          <w:rFonts w:eastAsia="Times New Roman"/>
          <w:iCs/>
          <w:color w:val="000000"/>
          <w:highlight w:val="white"/>
        </w:rPr>
        <w:lastRenderedPageBreak/>
        <w:t>M</w:t>
      </w:r>
      <w:r w:rsidRPr="008764FA">
        <w:rPr>
          <w:rFonts w:eastAsia="Times New Roman"/>
          <w:iCs/>
          <w:color w:val="000000"/>
          <w:highlight w:val="white"/>
          <w:vertAlign w:val="subscript"/>
        </w:rPr>
        <w:t>j</w:t>
      </w:r>
      <w:proofErr w:type="spellEnd"/>
      <w:r w:rsidRPr="008764FA">
        <w:rPr>
          <w:rFonts w:eastAsia="Times New Roman"/>
          <w:iCs/>
          <w:color w:val="000000"/>
          <w:highlight w:val="white"/>
        </w:rPr>
        <w:t xml:space="preserve">: </w:t>
      </w:r>
      <w:r w:rsidRPr="00BB3947">
        <w:rPr>
          <w:rFonts w:eastAsia="Times New Roman"/>
          <w:color w:val="000000"/>
          <w:highlight w:val="white"/>
        </w:rPr>
        <w:t>Mileage</w:t>
      </w:r>
      <w:r w:rsidRPr="008764FA">
        <w:rPr>
          <w:rFonts w:eastAsia="Times New Roman"/>
          <w:iCs/>
          <w:color w:val="000000"/>
          <w:highlight w:val="white"/>
        </w:rPr>
        <w:t xml:space="preserve"> (km) driven by each vehicle in category j during the defined time (not used)</w:t>
      </w:r>
    </w:p>
    <w:p w14:paraId="52F4B3D7" w14:textId="77777777" w:rsidR="004C29E9" w:rsidRPr="00DA325E" w:rsidRDefault="004C29E9" w:rsidP="004C29E9">
      <w:pPr>
        <w:pStyle w:val="ListParagraph"/>
        <w:numPr>
          <w:ilvl w:val="0"/>
          <w:numId w:val="1"/>
        </w:numPr>
        <w:pBdr>
          <w:top w:val="nil"/>
          <w:left w:val="nil"/>
          <w:bottom w:val="nil"/>
          <w:right w:val="nil"/>
          <w:between w:val="nil"/>
        </w:pBdr>
        <w:spacing w:after="0"/>
        <w:ind w:leftChars="0"/>
        <w:rPr>
          <w:rFonts w:eastAsia="Times New Roman"/>
          <w:color w:val="000000"/>
          <w:highlight w:val="white"/>
        </w:rPr>
      </w:pPr>
      <w:proofErr w:type="spellStart"/>
      <w:proofErr w:type="gramStart"/>
      <w:r w:rsidRPr="00DA325E">
        <w:rPr>
          <w:rFonts w:eastAsia="Times New Roman"/>
          <w:color w:val="000000"/>
          <w:highlight w:val="white"/>
        </w:rPr>
        <w:t>EF</w:t>
      </w:r>
      <w:r w:rsidRPr="00DA325E">
        <w:rPr>
          <w:rFonts w:eastAsia="Times New Roman"/>
          <w:color w:val="000000"/>
          <w:highlight w:val="white"/>
          <w:vertAlign w:val="subscript"/>
        </w:rPr>
        <w:t>Br,j</w:t>
      </w:r>
      <w:proofErr w:type="spellEnd"/>
      <w:proofErr w:type="gramEnd"/>
      <w:r w:rsidRPr="00DA325E">
        <w:rPr>
          <w:rFonts w:eastAsia="Times New Roman"/>
          <w:color w:val="000000"/>
          <w:highlight w:val="white"/>
        </w:rPr>
        <w:t>: TSP mass emission factor from road wear for vehicles in category j (g/km)</w:t>
      </w:r>
    </w:p>
    <w:p w14:paraId="10A41CEC" w14:textId="77777777" w:rsidR="004C29E9" w:rsidRPr="00DA325E" w:rsidRDefault="004C29E9" w:rsidP="004C29E9">
      <w:pPr>
        <w:pStyle w:val="ListParagraph"/>
        <w:numPr>
          <w:ilvl w:val="0"/>
          <w:numId w:val="1"/>
        </w:numPr>
        <w:pBdr>
          <w:top w:val="nil"/>
          <w:left w:val="nil"/>
          <w:bottom w:val="nil"/>
          <w:right w:val="nil"/>
          <w:between w:val="nil"/>
        </w:pBdr>
        <w:spacing w:after="0"/>
        <w:ind w:leftChars="0"/>
        <w:rPr>
          <w:rFonts w:eastAsia="Times New Roman"/>
          <w:color w:val="000000"/>
          <w:highlight w:val="white"/>
        </w:rPr>
      </w:pPr>
      <w:proofErr w:type="spellStart"/>
      <w:proofErr w:type="gramStart"/>
      <w:r w:rsidRPr="00DA325E">
        <w:rPr>
          <w:rFonts w:eastAsia="Times New Roman"/>
          <w:color w:val="000000"/>
          <w:highlight w:val="white"/>
        </w:rPr>
        <w:t>F</w:t>
      </w:r>
      <w:r w:rsidRPr="00DA325E">
        <w:rPr>
          <w:rFonts w:eastAsia="Times New Roman"/>
          <w:color w:val="000000"/>
          <w:highlight w:val="white"/>
          <w:vertAlign w:val="subscript"/>
        </w:rPr>
        <w:t>s,i</w:t>
      </w:r>
      <w:proofErr w:type="spellEnd"/>
      <w:proofErr w:type="gramEnd"/>
      <w:r w:rsidRPr="00DA325E">
        <w:rPr>
          <w:rFonts w:eastAsia="Times New Roman"/>
          <w:color w:val="000000"/>
          <w:highlight w:val="white"/>
        </w:rPr>
        <w:t xml:space="preserve">: </w:t>
      </w:r>
      <w:r w:rsidRPr="00BB3947">
        <w:rPr>
          <w:rFonts w:eastAsia="Times New Roman"/>
          <w:color w:val="000000"/>
          <w:highlight w:val="white"/>
        </w:rPr>
        <w:t>Mass</w:t>
      </w:r>
      <w:r w:rsidRPr="00DA325E">
        <w:rPr>
          <w:rFonts w:eastAsia="Times New Roman"/>
          <w:color w:val="000000"/>
          <w:highlight w:val="white"/>
        </w:rPr>
        <w:t xml:space="preserve"> fraction of TSP that can be attributed to particle size class </w:t>
      </w:r>
      <w:proofErr w:type="spellStart"/>
      <w:r w:rsidRPr="00DA325E">
        <w:rPr>
          <w:rFonts w:eastAsia="Times New Roman"/>
          <w:color w:val="000000"/>
          <w:highlight w:val="white"/>
        </w:rPr>
        <w:t>i</w:t>
      </w:r>
      <w:proofErr w:type="spellEnd"/>
    </w:p>
    <w:p w14:paraId="02F63DBD" w14:textId="77777777" w:rsidR="004C29E9" w:rsidRPr="00BB3947" w:rsidRDefault="004C29E9" w:rsidP="004C29E9">
      <w:pPr>
        <w:pStyle w:val="ListParagraph"/>
        <w:numPr>
          <w:ilvl w:val="0"/>
          <w:numId w:val="1"/>
        </w:numPr>
        <w:pBdr>
          <w:top w:val="nil"/>
          <w:left w:val="nil"/>
          <w:bottom w:val="nil"/>
          <w:right w:val="nil"/>
          <w:between w:val="nil"/>
        </w:pBdr>
        <w:ind w:leftChars="0"/>
        <w:rPr>
          <w:rFonts w:eastAsia="Times New Roman"/>
          <w:color w:val="000000"/>
          <w:highlight w:val="white"/>
        </w:rPr>
      </w:pPr>
      <w:r w:rsidRPr="00BB3947">
        <w:rPr>
          <w:rFonts w:eastAsia="Times New Roman"/>
          <w:color w:val="000000"/>
          <w:highlight w:val="white"/>
        </w:rPr>
        <w:t>S(V): Correction factor for a mean vehicle travelling speed V</w:t>
      </w:r>
    </w:p>
    <w:p w14:paraId="3BAB3162" w14:textId="77777777" w:rsidR="004C29E9" w:rsidRPr="00DA325E" w:rsidRDefault="004C29E9" w:rsidP="004C29E9">
      <w:pPr>
        <w:rPr>
          <w:highlight w:val="white"/>
        </w:rPr>
      </w:pPr>
      <w:r w:rsidRPr="00DA325E">
        <w:rPr>
          <w:highlight w:val="white"/>
        </w:rPr>
        <w:t xml:space="preserve">As mentioned in the </w:t>
      </w:r>
      <w:r>
        <w:rPr>
          <w:highlight w:val="white"/>
        </w:rPr>
        <w:t>t</w:t>
      </w:r>
      <w:r w:rsidRPr="00DA325E">
        <w:rPr>
          <w:highlight w:val="white"/>
        </w:rPr>
        <w:t xml:space="preserve">yre </w:t>
      </w:r>
      <w:r>
        <w:rPr>
          <w:highlight w:val="white"/>
        </w:rPr>
        <w:t>w</w:t>
      </w:r>
      <w:r w:rsidRPr="00DA325E">
        <w:rPr>
          <w:highlight w:val="white"/>
        </w:rPr>
        <w:t xml:space="preserve">ear </w:t>
      </w:r>
      <w:r>
        <w:rPr>
          <w:highlight w:val="white"/>
        </w:rPr>
        <w:t>equation</w:t>
      </w:r>
      <w:r w:rsidRPr="00DA325E">
        <w:rPr>
          <w:highlight w:val="white"/>
        </w:rPr>
        <w:t xml:space="preserve">, emission factors for passenger cars must fit a unit set in the virtual environment. Thus, the </w:t>
      </w:r>
      <w:proofErr w:type="spellStart"/>
      <w:proofErr w:type="gramStart"/>
      <w:r w:rsidRPr="00DA325E">
        <w:rPr>
          <w:highlight w:val="white"/>
        </w:rPr>
        <w:t>EF</w:t>
      </w:r>
      <w:r w:rsidRPr="00DA325E">
        <w:rPr>
          <w:highlight w:val="white"/>
          <w:vertAlign w:val="subscript"/>
        </w:rPr>
        <w:t>Br,j</w:t>
      </w:r>
      <w:proofErr w:type="spellEnd"/>
      <w:proofErr w:type="gramEnd"/>
      <w:r w:rsidRPr="00DA325E">
        <w:rPr>
          <w:highlight w:val="white"/>
        </w:rPr>
        <w:t xml:space="preserve"> value of .0075 (g/km) converts to 21.5 (µg/patch). The size distribution of PM</w:t>
      </w:r>
      <w:r w:rsidRPr="00DA325E">
        <w:rPr>
          <w:highlight w:val="white"/>
          <w:vertAlign w:val="subscript"/>
        </w:rPr>
        <w:t>10</w:t>
      </w:r>
      <w:r w:rsidRPr="00DA325E">
        <w:rPr>
          <w:highlight w:val="white"/>
        </w:rPr>
        <w:t xml:space="preserve"> is 0.98. The brake wear, particularly from the linings, are worn out quickly when the driver accelerates and decelerates frequently, and this tends to happen when the traffic volume is high.</w:t>
      </w:r>
      <w:r>
        <w:rPr>
          <w:highlight w:val="white"/>
        </w:rPr>
        <w:t xml:space="preserve"> </w:t>
      </w:r>
      <w:r>
        <w:t>Again, mileage (</w:t>
      </w:r>
      <w:proofErr w:type="spellStart"/>
      <w:r>
        <w:t>Mj</w:t>
      </w:r>
      <w:proofErr w:type="spellEnd"/>
      <w:r>
        <w:t>) was not used for this study as this study focuses on the emission and the immediate dispersion of particles, not the activity of vehicles.</w:t>
      </w:r>
    </w:p>
    <w:p w14:paraId="31925F83" w14:textId="60CD835E" w:rsidR="004C29E9" w:rsidRPr="00363FFE" w:rsidRDefault="004C29E9" w:rsidP="004C29E9">
      <w:pPr>
        <w:pStyle w:val="CapTable"/>
      </w:pPr>
      <w:r>
        <w:t xml:space="preserve">Table </w:t>
      </w:r>
      <w:r>
        <w:fldChar w:fldCharType="begin"/>
      </w:r>
      <w:r>
        <w:instrText xml:space="preserve"> SEQ Table \* ARABIC </w:instrText>
      </w:r>
      <w:r>
        <w:fldChar w:fldCharType="separate"/>
      </w:r>
      <w:r w:rsidR="00A866D8">
        <w:rPr>
          <w:noProof/>
        </w:rPr>
        <w:t>4</w:t>
      </w:r>
      <w:r>
        <w:fldChar w:fldCharType="end"/>
      </w:r>
      <w:r>
        <w:t xml:space="preserve"> </w:t>
      </w:r>
      <w:r w:rsidRPr="00363FFE">
        <w:t xml:space="preserve">TSP (Total Suspended Particles) emission factors for source category road vehicle brake wear </w:t>
      </w:r>
      <w:r>
        <w:fldChar w:fldCharType="begin" w:fldLock="1"/>
      </w:r>
      <w:r w:rsidR="00204F96">
        <w:instrText>ADDIN CSL_CITATION {"citationItems":[{"id":"ITEM-1","itemData":{"author":[{"dropping-particle":"","family":"EMEP/EEA","given":"","non-dropping-particle":"","parse-names":false,"suffix":""}],"id":"ITEM-1","issued":{"date-parts":[["2019"]]},"title":"EMEP/EEA Air Pollutant Emission Inventory Guidebook 2019","type":"report"},"uris":["http://www.mendeley.com/documents/?uuid=0bb72285-78df-4a33-9afe-f58ed09ed1bd"]}],"mendeley":{"formattedCitation":"(EMEP/EEA, 2019)","plainTextFormattedCitation":"(EMEP/EEA, 2019)","previouslyFormattedCitation":"(EMEP/EEA, 2019)"},"properties":{"noteIndex":0},"schema":"https://github.com/citation-style-language/schema/raw/master/csl-citation.json"}</w:instrText>
      </w:r>
      <w:r>
        <w:fldChar w:fldCharType="separate"/>
      </w:r>
      <w:r w:rsidR="00CF264F" w:rsidRPr="00CF264F">
        <w:rPr>
          <w:noProof/>
        </w:rPr>
        <w:t>(EMEP/EEA, 2019)</w:t>
      </w:r>
      <w:r>
        <w:fldChar w:fldCharType="end"/>
      </w:r>
      <w:r w:rsidRPr="00363FFE">
        <w:t>. Here, this study only considers passenger cars.</w:t>
      </w:r>
    </w:p>
    <w:tbl>
      <w:tblPr>
        <w:tblStyle w:val="PlainTable5"/>
        <w:tblW w:w="0" w:type="auto"/>
        <w:jc w:val="center"/>
        <w:tblLook w:val="04A0" w:firstRow="1" w:lastRow="0" w:firstColumn="1" w:lastColumn="0" w:noHBand="0" w:noVBand="1"/>
      </w:tblPr>
      <w:tblGrid>
        <w:gridCol w:w="1977"/>
        <w:gridCol w:w="2384"/>
        <w:gridCol w:w="1637"/>
      </w:tblGrid>
      <w:tr w:rsidR="004C29E9" w:rsidRPr="00DF5655" w14:paraId="2EBE51DA" w14:textId="77777777" w:rsidTr="0041246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0" w:type="auto"/>
          </w:tcPr>
          <w:p w14:paraId="5766E613" w14:textId="77777777" w:rsidR="004C29E9" w:rsidRPr="00DF5655" w:rsidRDefault="004C29E9" w:rsidP="00412469">
            <w:pPr>
              <w:pBdr>
                <w:top w:val="nil"/>
                <w:left w:val="nil"/>
                <w:bottom w:val="nil"/>
                <w:right w:val="nil"/>
                <w:between w:val="nil"/>
              </w:pBdr>
              <w:rPr>
                <w:rFonts w:ascii="Arial" w:eastAsia="Arial" w:hAnsi="Arial" w:cs="Arial"/>
                <w:i w:val="0"/>
                <w:iCs w:val="0"/>
                <w:color w:val="000000"/>
                <w:sz w:val="18"/>
                <w:szCs w:val="18"/>
              </w:rPr>
            </w:pPr>
            <w:r w:rsidRPr="00DF5655">
              <w:rPr>
                <w:rFonts w:ascii="Arial" w:eastAsia="Arial" w:hAnsi="Arial" w:cs="Arial"/>
                <w:i w:val="0"/>
                <w:iCs w:val="0"/>
                <w:color w:val="000000"/>
                <w:sz w:val="18"/>
                <w:szCs w:val="18"/>
              </w:rPr>
              <w:t>Vehicle class (j)</w:t>
            </w:r>
          </w:p>
        </w:tc>
        <w:tc>
          <w:tcPr>
            <w:tcW w:w="0" w:type="auto"/>
          </w:tcPr>
          <w:p w14:paraId="21955DAA" w14:textId="77777777" w:rsidR="004C29E9" w:rsidRPr="00DF5655" w:rsidRDefault="004C29E9" w:rsidP="00412469">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i w:val="0"/>
                <w:iCs w:val="0"/>
                <w:color w:val="000000"/>
                <w:sz w:val="18"/>
                <w:szCs w:val="18"/>
              </w:rPr>
            </w:pPr>
            <w:r w:rsidRPr="00DF5655">
              <w:rPr>
                <w:rFonts w:ascii="Arial" w:eastAsia="Arial" w:hAnsi="Arial" w:cs="Arial"/>
                <w:i w:val="0"/>
                <w:iCs w:val="0"/>
                <w:color w:val="000000"/>
                <w:sz w:val="18"/>
                <w:szCs w:val="18"/>
              </w:rPr>
              <w:t>TSP emission factor (g/km)</w:t>
            </w:r>
          </w:p>
        </w:tc>
        <w:tc>
          <w:tcPr>
            <w:tcW w:w="0" w:type="auto"/>
          </w:tcPr>
          <w:p w14:paraId="7A3718C6" w14:textId="77777777" w:rsidR="004C29E9" w:rsidRPr="00DF5655" w:rsidRDefault="004C29E9" w:rsidP="00412469">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i w:val="0"/>
                <w:iCs w:val="0"/>
                <w:color w:val="000000"/>
                <w:sz w:val="18"/>
                <w:szCs w:val="18"/>
              </w:rPr>
            </w:pPr>
            <w:r w:rsidRPr="00DF5655">
              <w:rPr>
                <w:rFonts w:ascii="Arial" w:eastAsia="Arial" w:hAnsi="Arial" w:cs="Arial"/>
                <w:i w:val="0"/>
                <w:iCs w:val="0"/>
                <w:color w:val="000000"/>
                <w:sz w:val="18"/>
                <w:szCs w:val="18"/>
              </w:rPr>
              <w:t>Uncertainty range</w:t>
            </w:r>
          </w:p>
        </w:tc>
      </w:tr>
      <w:tr w:rsidR="004C29E9" w:rsidRPr="00DF5655" w14:paraId="5B4CC69F" w14:textId="77777777" w:rsidTr="0041246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5656DDA7" w14:textId="77777777" w:rsidR="004C29E9" w:rsidRPr="00DF5655" w:rsidRDefault="004C29E9" w:rsidP="00412469">
            <w:pPr>
              <w:pBdr>
                <w:top w:val="nil"/>
                <w:left w:val="nil"/>
                <w:bottom w:val="nil"/>
                <w:right w:val="nil"/>
                <w:between w:val="nil"/>
              </w:pBdr>
              <w:rPr>
                <w:rFonts w:ascii="Arial" w:eastAsia="Arial" w:hAnsi="Arial" w:cs="Arial"/>
                <w:i w:val="0"/>
                <w:iCs w:val="0"/>
                <w:color w:val="000000"/>
                <w:sz w:val="18"/>
                <w:szCs w:val="18"/>
              </w:rPr>
            </w:pPr>
            <w:r w:rsidRPr="00DF5655">
              <w:rPr>
                <w:rFonts w:ascii="Arial" w:eastAsia="Arial" w:hAnsi="Arial" w:cs="Arial"/>
                <w:i w:val="0"/>
                <w:iCs w:val="0"/>
                <w:color w:val="000000"/>
                <w:sz w:val="18"/>
                <w:szCs w:val="18"/>
              </w:rPr>
              <w:t>Two-wheeled vehicles</w:t>
            </w:r>
          </w:p>
        </w:tc>
        <w:tc>
          <w:tcPr>
            <w:tcW w:w="0" w:type="auto"/>
          </w:tcPr>
          <w:p w14:paraId="5D82381E" w14:textId="77777777" w:rsidR="004C29E9" w:rsidRPr="00DF5655"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DF5655">
              <w:rPr>
                <w:rFonts w:ascii="Arial" w:eastAsia="Arial" w:hAnsi="Arial" w:cs="Arial"/>
                <w:color w:val="000000"/>
                <w:sz w:val="18"/>
                <w:szCs w:val="18"/>
              </w:rPr>
              <w:t>0.0037</w:t>
            </w:r>
          </w:p>
        </w:tc>
        <w:tc>
          <w:tcPr>
            <w:tcW w:w="0" w:type="auto"/>
          </w:tcPr>
          <w:p w14:paraId="67AFB8AE" w14:textId="77777777" w:rsidR="004C29E9" w:rsidRPr="00DF5655"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DF5655">
              <w:rPr>
                <w:rFonts w:ascii="Arial" w:eastAsia="Arial" w:hAnsi="Arial" w:cs="Arial"/>
                <w:sz w:val="18"/>
                <w:szCs w:val="18"/>
              </w:rPr>
              <w:t>0</w:t>
            </w:r>
            <w:r w:rsidRPr="00DF5655">
              <w:rPr>
                <w:rFonts w:ascii="Arial" w:eastAsia="Arial" w:hAnsi="Arial" w:cs="Arial"/>
                <w:color w:val="000000"/>
                <w:sz w:val="18"/>
                <w:szCs w:val="18"/>
              </w:rPr>
              <w:t>.0022 - 0.0050</w:t>
            </w:r>
          </w:p>
        </w:tc>
      </w:tr>
      <w:tr w:rsidR="004C29E9" w:rsidRPr="00DF5655" w14:paraId="789B140F" w14:textId="77777777" w:rsidTr="00412469">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2B6CB2AE" w14:textId="77777777" w:rsidR="004C29E9" w:rsidRPr="00DF5655" w:rsidRDefault="004C29E9" w:rsidP="00412469">
            <w:pPr>
              <w:pBdr>
                <w:top w:val="nil"/>
                <w:left w:val="nil"/>
                <w:bottom w:val="nil"/>
                <w:right w:val="nil"/>
                <w:between w:val="nil"/>
              </w:pBdr>
              <w:rPr>
                <w:rFonts w:ascii="Arial" w:eastAsia="Arial" w:hAnsi="Arial" w:cs="Arial"/>
                <w:i w:val="0"/>
                <w:iCs w:val="0"/>
                <w:color w:val="000000"/>
                <w:sz w:val="18"/>
                <w:szCs w:val="18"/>
              </w:rPr>
            </w:pPr>
            <w:r w:rsidRPr="00DF5655">
              <w:rPr>
                <w:rFonts w:ascii="Arial" w:eastAsia="Arial" w:hAnsi="Arial" w:cs="Arial"/>
                <w:i w:val="0"/>
                <w:iCs w:val="0"/>
                <w:color w:val="000000"/>
                <w:sz w:val="18"/>
                <w:szCs w:val="18"/>
              </w:rPr>
              <w:t>Passenger cars</w:t>
            </w:r>
          </w:p>
        </w:tc>
        <w:tc>
          <w:tcPr>
            <w:tcW w:w="0" w:type="auto"/>
          </w:tcPr>
          <w:p w14:paraId="040F8CCA" w14:textId="77777777" w:rsidR="004C29E9" w:rsidRPr="00DF5655"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DF5655">
              <w:rPr>
                <w:rFonts w:ascii="Arial" w:eastAsia="Arial" w:hAnsi="Arial" w:cs="Arial"/>
                <w:color w:val="000000"/>
                <w:sz w:val="18"/>
                <w:szCs w:val="18"/>
              </w:rPr>
              <w:t>0.0075</w:t>
            </w:r>
          </w:p>
        </w:tc>
        <w:tc>
          <w:tcPr>
            <w:tcW w:w="0" w:type="auto"/>
          </w:tcPr>
          <w:p w14:paraId="6398D11C" w14:textId="77777777" w:rsidR="004C29E9" w:rsidRPr="00DF5655"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DF5655">
              <w:rPr>
                <w:rFonts w:ascii="Arial" w:eastAsia="Arial" w:hAnsi="Arial" w:cs="Arial"/>
                <w:sz w:val="18"/>
                <w:szCs w:val="18"/>
              </w:rPr>
              <w:t>0</w:t>
            </w:r>
            <w:r w:rsidRPr="00DF5655">
              <w:rPr>
                <w:rFonts w:ascii="Arial" w:eastAsia="Arial" w:hAnsi="Arial" w:cs="Arial"/>
                <w:color w:val="000000"/>
                <w:sz w:val="18"/>
                <w:szCs w:val="18"/>
              </w:rPr>
              <w:t>.0044 - 0.0010</w:t>
            </w:r>
          </w:p>
        </w:tc>
      </w:tr>
      <w:tr w:rsidR="004C29E9" w:rsidRPr="00DF5655" w14:paraId="2202CD1E" w14:textId="77777777" w:rsidTr="0041246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705D6B13" w14:textId="77777777" w:rsidR="004C29E9" w:rsidRPr="00DF5655" w:rsidRDefault="004C29E9" w:rsidP="00412469">
            <w:pPr>
              <w:pBdr>
                <w:top w:val="nil"/>
                <w:left w:val="nil"/>
                <w:bottom w:val="nil"/>
                <w:right w:val="nil"/>
                <w:between w:val="nil"/>
              </w:pBdr>
              <w:rPr>
                <w:rFonts w:ascii="Arial" w:eastAsia="Arial" w:hAnsi="Arial" w:cs="Arial"/>
                <w:i w:val="0"/>
                <w:iCs w:val="0"/>
                <w:color w:val="000000"/>
                <w:sz w:val="18"/>
                <w:szCs w:val="18"/>
              </w:rPr>
            </w:pPr>
            <w:r w:rsidRPr="00DF5655">
              <w:rPr>
                <w:rFonts w:ascii="Arial" w:eastAsia="Arial" w:hAnsi="Arial" w:cs="Arial"/>
                <w:i w:val="0"/>
                <w:iCs w:val="0"/>
                <w:color w:val="000000"/>
                <w:sz w:val="18"/>
                <w:szCs w:val="18"/>
              </w:rPr>
              <w:t>Light-duty trucks</w:t>
            </w:r>
          </w:p>
        </w:tc>
        <w:tc>
          <w:tcPr>
            <w:tcW w:w="0" w:type="auto"/>
          </w:tcPr>
          <w:p w14:paraId="4AE199D5" w14:textId="77777777" w:rsidR="004C29E9" w:rsidRPr="00DF5655"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DF5655">
              <w:rPr>
                <w:rFonts w:ascii="Arial" w:eastAsia="Arial" w:hAnsi="Arial" w:cs="Arial"/>
                <w:color w:val="000000"/>
                <w:sz w:val="18"/>
                <w:szCs w:val="18"/>
              </w:rPr>
              <w:t>0.0117</w:t>
            </w:r>
          </w:p>
        </w:tc>
        <w:tc>
          <w:tcPr>
            <w:tcW w:w="0" w:type="auto"/>
          </w:tcPr>
          <w:p w14:paraId="4BD769CD" w14:textId="77777777" w:rsidR="004C29E9" w:rsidRPr="00DF5655"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DF5655">
              <w:rPr>
                <w:rFonts w:ascii="Arial" w:eastAsia="Arial" w:hAnsi="Arial" w:cs="Arial"/>
                <w:sz w:val="18"/>
                <w:szCs w:val="18"/>
              </w:rPr>
              <w:t>0</w:t>
            </w:r>
            <w:r w:rsidRPr="00DF5655">
              <w:rPr>
                <w:rFonts w:ascii="Arial" w:eastAsia="Arial" w:hAnsi="Arial" w:cs="Arial"/>
                <w:color w:val="000000"/>
                <w:sz w:val="18"/>
                <w:szCs w:val="18"/>
              </w:rPr>
              <w:t>.0088 - 0.0145</w:t>
            </w:r>
          </w:p>
        </w:tc>
      </w:tr>
      <w:tr w:rsidR="004C29E9" w:rsidRPr="00DF5655" w14:paraId="1721F764" w14:textId="77777777" w:rsidTr="00412469">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6083C419" w14:textId="77777777" w:rsidR="004C29E9" w:rsidRPr="00DF5655" w:rsidRDefault="004C29E9" w:rsidP="00412469">
            <w:pPr>
              <w:pBdr>
                <w:top w:val="nil"/>
                <w:left w:val="nil"/>
                <w:bottom w:val="nil"/>
                <w:right w:val="nil"/>
                <w:between w:val="nil"/>
              </w:pBdr>
              <w:rPr>
                <w:rFonts w:ascii="Arial" w:eastAsia="Arial" w:hAnsi="Arial" w:cs="Arial"/>
                <w:i w:val="0"/>
                <w:iCs w:val="0"/>
                <w:color w:val="000000"/>
                <w:sz w:val="18"/>
                <w:szCs w:val="18"/>
              </w:rPr>
            </w:pPr>
            <w:r w:rsidRPr="00DF5655">
              <w:rPr>
                <w:rFonts w:ascii="Arial" w:eastAsia="Arial" w:hAnsi="Arial" w:cs="Arial"/>
                <w:i w:val="0"/>
                <w:iCs w:val="0"/>
                <w:color w:val="000000"/>
                <w:sz w:val="18"/>
                <w:szCs w:val="18"/>
              </w:rPr>
              <w:t>Heavy-duty vehicles</w:t>
            </w:r>
          </w:p>
        </w:tc>
        <w:tc>
          <w:tcPr>
            <w:tcW w:w="0" w:type="auto"/>
          </w:tcPr>
          <w:p w14:paraId="3A06E8DF" w14:textId="77777777" w:rsidR="004C29E9" w:rsidRPr="00DF5655"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DF5655">
              <w:rPr>
                <w:rFonts w:ascii="Arial" w:eastAsia="Arial" w:hAnsi="Arial" w:cs="Arial"/>
                <w:color w:val="000000"/>
                <w:sz w:val="18"/>
                <w:szCs w:val="18"/>
              </w:rPr>
              <w:t xml:space="preserve">Separate </w:t>
            </w:r>
            <w:r w:rsidRPr="00DF5655">
              <w:rPr>
                <w:rFonts w:ascii="Arial" w:eastAsia="Arial" w:hAnsi="Arial" w:cs="Arial"/>
                <w:sz w:val="18"/>
                <w:szCs w:val="18"/>
              </w:rPr>
              <w:t>e</w:t>
            </w:r>
            <w:r w:rsidRPr="00DF5655">
              <w:rPr>
                <w:rFonts w:ascii="Arial" w:eastAsia="Arial" w:hAnsi="Arial" w:cs="Arial"/>
                <w:color w:val="000000"/>
                <w:sz w:val="18"/>
                <w:szCs w:val="18"/>
              </w:rPr>
              <w:t>quation</w:t>
            </w:r>
          </w:p>
        </w:tc>
        <w:tc>
          <w:tcPr>
            <w:tcW w:w="0" w:type="auto"/>
          </w:tcPr>
          <w:p w14:paraId="36207B2B" w14:textId="77777777" w:rsidR="004C29E9" w:rsidRPr="00DF5655"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DF5655">
              <w:rPr>
                <w:rFonts w:ascii="Arial" w:eastAsia="Arial" w:hAnsi="Arial" w:cs="Arial"/>
                <w:sz w:val="18"/>
                <w:szCs w:val="18"/>
              </w:rPr>
              <w:t>0</w:t>
            </w:r>
            <w:r w:rsidRPr="00DF5655">
              <w:rPr>
                <w:rFonts w:ascii="Arial" w:eastAsia="Arial" w:hAnsi="Arial" w:cs="Arial"/>
                <w:color w:val="000000"/>
                <w:sz w:val="18"/>
                <w:szCs w:val="18"/>
              </w:rPr>
              <w:t>.0235 - 0.0420</w:t>
            </w:r>
          </w:p>
        </w:tc>
      </w:tr>
    </w:tbl>
    <w:p w14:paraId="0D1C77D8" w14:textId="77777777" w:rsidR="004C29E9" w:rsidRPr="00DA325E" w:rsidRDefault="004C29E9" w:rsidP="004C29E9">
      <w:pPr>
        <w:rPr>
          <w:highlight w:val="white"/>
        </w:rPr>
      </w:pPr>
    </w:p>
    <w:p w14:paraId="182E5C02" w14:textId="45769F35" w:rsidR="004C29E9" w:rsidRDefault="004C29E9" w:rsidP="004C29E9">
      <w:pPr>
        <w:pStyle w:val="CapTable"/>
      </w:pPr>
      <w:r>
        <w:t xml:space="preserve">Table </w:t>
      </w:r>
      <w:r>
        <w:fldChar w:fldCharType="begin"/>
      </w:r>
      <w:r>
        <w:instrText xml:space="preserve"> SEQ Table \* ARABIC </w:instrText>
      </w:r>
      <w:r>
        <w:fldChar w:fldCharType="separate"/>
      </w:r>
      <w:r w:rsidR="00146F7F">
        <w:rPr>
          <w:noProof/>
        </w:rPr>
        <w:t>5</w:t>
      </w:r>
      <w:r>
        <w:fldChar w:fldCharType="end"/>
      </w:r>
      <w:r>
        <w:t xml:space="preserve"> </w:t>
      </w:r>
      <w:r w:rsidRPr="00C6505D">
        <w:t xml:space="preserve">Size distribution of brake wear particles </w:t>
      </w:r>
      <w:r>
        <w:fldChar w:fldCharType="begin" w:fldLock="1"/>
      </w:r>
      <w:r w:rsidR="00204F96">
        <w:instrText>ADDIN CSL_CITATION {"citationItems":[{"id":"ITEM-1","itemData":{"author":[{"dropping-particle":"","family":"EMEP/EEA","given":"","non-dropping-particle":"","parse-names":false,"suffix":""}],"id":"ITEM-1","issued":{"date-parts":[["2019"]]},"title":"EMEP/EEA Air Pollutant Emission Inventory Guidebook 2019","type":"report"},"uris":["http://www.mendeley.com/documents/?uuid=0bb72285-78df-4a33-9afe-f58ed09ed1bd"]}],"mendeley":{"formattedCitation":"(EMEP/EEA, 2019)","plainTextFormattedCitation":"(EMEP/EEA, 2019)","previouslyFormattedCitation":"(EMEP/EEA, 2019)"},"properties":{"noteIndex":0},"schema":"https://github.com/citation-style-language/schema/raw/master/csl-citation.json"}</w:instrText>
      </w:r>
      <w:r>
        <w:fldChar w:fldCharType="separate"/>
      </w:r>
      <w:r w:rsidR="00CF264F" w:rsidRPr="00CF264F">
        <w:rPr>
          <w:noProof/>
        </w:rPr>
        <w:t>(EMEP/EEA, 2019)</w:t>
      </w:r>
      <w:r>
        <w:fldChar w:fldCharType="end"/>
      </w:r>
    </w:p>
    <w:tbl>
      <w:tblPr>
        <w:tblStyle w:val="PlainTable5"/>
        <w:tblW w:w="4106" w:type="dxa"/>
        <w:jc w:val="center"/>
        <w:tblLayout w:type="fixed"/>
        <w:tblLook w:val="04A0" w:firstRow="1" w:lastRow="0" w:firstColumn="1" w:lastColumn="0" w:noHBand="0" w:noVBand="1"/>
      </w:tblPr>
      <w:tblGrid>
        <w:gridCol w:w="1980"/>
        <w:gridCol w:w="2126"/>
      </w:tblGrid>
      <w:tr w:rsidR="004C29E9" w:rsidRPr="00DF5655" w14:paraId="5592C515" w14:textId="77777777" w:rsidTr="0041246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1980" w:type="dxa"/>
          </w:tcPr>
          <w:p w14:paraId="458C7797" w14:textId="77777777" w:rsidR="004C29E9" w:rsidRPr="00DF5655" w:rsidRDefault="004C29E9" w:rsidP="00412469">
            <w:pPr>
              <w:pBdr>
                <w:top w:val="nil"/>
                <w:left w:val="nil"/>
                <w:bottom w:val="nil"/>
                <w:right w:val="nil"/>
                <w:between w:val="nil"/>
              </w:pBdr>
              <w:rPr>
                <w:rFonts w:ascii="Arial" w:eastAsia="Arial" w:hAnsi="Arial" w:cs="Arial"/>
                <w:i w:val="0"/>
                <w:color w:val="000000"/>
                <w:sz w:val="18"/>
                <w:szCs w:val="18"/>
              </w:rPr>
            </w:pPr>
            <w:r w:rsidRPr="00DF5655">
              <w:rPr>
                <w:rFonts w:ascii="Arial" w:eastAsia="Arial" w:hAnsi="Arial" w:cs="Arial"/>
                <w:i w:val="0"/>
                <w:color w:val="000000"/>
                <w:sz w:val="18"/>
                <w:szCs w:val="18"/>
              </w:rPr>
              <w:t>Particle size class (</w:t>
            </w:r>
            <w:proofErr w:type="spellStart"/>
            <w:r w:rsidRPr="00DF5655">
              <w:rPr>
                <w:rFonts w:ascii="Arial" w:eastAsia="Arial" w:hAnsi="Arial" w:cs="Arial"/>
                <w:i w:val="0"/>
                <w:color w:val="000000"/>
                <w:sz w:val="18"/>
                <w:szCs w:val="18"/>
              </w:rPr>
              <w:t>i</w:t>
            </w:r>
            <w:proofErr w:type="spellEnd"/>
            <w:r w:rsidRPr="00DF5655">
              <w:rPr>
                <w:rFonts w:ascii="Arial" w:eastAsia="Arial" w:hAnsi="Arial" w:cs="Arial"/>
                <w:i w:val="0"/>
                <w:color w:val="000000"/>
                <w:sz w:val="18"/>
                <w:szCs w:val="18"/>
              </w:rPr>
              <w:t>)</w:t>
            </w:r>
          </w:p>
        </w:tc>
        <w:tc>
          <w:tcPr>
            <w:tcW w:w="2126" w:type="dxa"/>
          </w:tcPr>
          <w:p w14:paraId="38D4C4E8" w14:textId="77777777" w:rsidR="004C29E9" w:rsidRPr="00DF5655" w:rsidRDefault="004C29E9" w:rsidP="00412469">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i w:val="0"/>
                <w:color w:val="000000"/>
                <w:sz w:val="18"/>
                <w:szCs w:val="18"/>
              </w:rPr>
            </w:pPr>
            <w:r w:rsidRPr="00DF5655">
              <w:rPr>
                <w:rFonts w:ascii="Arial" w:eastAsia="Arial" w:hAnsi="Arial" w:cs="Arial"/>
                <w:i w:val="0"/>
                <w:color w:val="000000"/>
                <w:sz w:val="18"/>
                <w:szCs w:val="18"/>
              </w:rPr>
              <w:t xml:space="preserve">Mass </w:t>
            </w:r>
            <w:r w:rsidRPr="00DF5655">
              <w:rPr>
                <w:rFonts w:ascii="Arial" w:eastAsia="Arial" w:hAnsi="Arial" w:cs="Arial"/>
                <w:i w:val="0"/>
                <w:sz w:val="18"/>
                <w:szCs w:val="18"/>
              </w:rPr>
              <w:t>f</w:t>
            </w:r>
            <w:r w:rsidRPr="00DF5655">
              <w:rPr>
                <w:rFonts w:ascii="Arial" w:eastAsia="Arial" w:hAnsi="Arial" w:cs="Arial"/>
                <w:i w:val="0"/>
                <w:color w:val="000000"/>
                <w:sz w:val="18"/>
                <w:szCs w:val="18"/>
              </w:rPr>
              <w:t>raction of TSP</w:t>
            </w:r>
          </w:p>
        </w:tc>
      </w:tr>
      <w:tr w:rsidR="004C29E9" w:rsidRPr="00DF5655" w14:paraId="1BE20B00" w14:textId="77777777" w:rsidTr="0041246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0" w:type="dxa"/>
          </w:tcPr>
          <w:p w14:paraId="7A9F976F" w14:textId="77777777" w:rsidR="004C29E9" w:rsidRPr="00DF5655" w:rsidRDefault="004C29E9" w:rsidP="00412469">
            <w:pPr>
              <w:pBdr>
                <w:top w:val="nil"/>
                <w:left w:val="nil"/>
                <w:bottom w:val="nil"/>
                <w:right w:val="nil"/>
                <w:between w:val="nil"/>
              </w:pBdr>
              <w:rPr>
                <w:rFonts w:ascii="Arial" w:eastAsia="Arial" w:hAnsi="Arial" w:cs="Arial"/>
                <w:i w:val="0"/>
                <w:color w:val="000000"/>
                <w:sz w:val="18"/>
                <w:szCs w:val="18"/>
              </w:rPr>
            </w:pPr>
            <w:r w:rsidRPr="00DF5655">
              <w:rPr>
                <w:rFonts w:ascii="Arial" w:eastAsia="Arial" w:hAnsi="Arial" w:cs="Arial"/>
                <w:i w:val="0"/>
                <w:color w:val="000000"/>
                <w:sz w:val="18"/>
                <w:szCs w:val="18"/>
              </w:rPr>
              <w:t>TSP</w:t>
            </w:r>
          </w:p>
        </w:tc>
        <w:tc>
          <w:tcPr>
            <w:tcW w:w="2126" w:type="dxa"/>
          </w:tcPr>
          <w:p w14:paraId="5781713D" w14:textId="77777777" w:rsidR="004C29E9" w:rsidRPr="00DF5655"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iCs/>
                <w:color w:val="000000"/>
                <w:sz w:val="18"/>
                <w:szCs w:val="18"/>
              </w:rPr>
            </w:pPr>
            <w:r w:rsidRPr="00DF5655">
              <w:rPr>
                <w:rFonts w:ascii="Arial" w:eastAsia="Arial" w:hAnsi="Arial" w:cs="Arial"/>
                <w:iCs/>
                <w:color w:val="000000"/>
                <w:sz w:val="18"/>
                <w:szCs w:val="18"/>
              </w:rPr>
              <w:t>1</w:t>
            </w:r>
          </w:p>
        </w:tc>
      </w:tr>
      <w:tr w:rsidR="004C29E9" w:rsidRPr="00DF5655" w14:paraId="0B2F729B" w14:textId="77777777" w:rsidTr="00412469">
        <w:trPr>
          <w:trHeight w:val="20"/>
          <w:jc w:val="center"/>
        </w:trPr>
        <w:tc>
          <w:tcPr>
            <w:cnfStyle w:val="001000000000" w:firstRow="0" w:lastRow="0" w:firstColumn="1" w:lastColumn="0" w:oddVBand="0" w:evenVBand="0" w:oddHBand="0" w:evenHBand="0" w:firstRowFirstColumn="0" w:firstRowLastColumn="0" w:lastRowFirstColumn="0" w:lastRowLastColumn="0"/>
            <w:tcW w:w="1980" w:type="dxa"/>
          </w:tcPr>
          <w:p w14:paraId="49CCD0AC" w14:textId="77777777" w:rsidR="004C29E9" w:rsidRPr="00DF5655" w:rsidRDefault="004C29E9" w:rsidP="00412469">
            <w:pPr>
              <w:pBdr>
                <w:top w:val="nil"/>
                <w:left w:val="nil"/>
                <w:bottom w:val="nil"/>
                <w:right w:val="nil"/>
                <w:between w:val="nil"/>
              </w:pBdr>
              <w:rPr>
                <w:rFonts w:ascii="Arial" w:eastAsia="Arial" w:hAnsi="Arial" w:cs="Arial"/>
                <w:i w:val="0"/>
                <w:color w:val="000000"/>
                <w:sz w:val="18"/>
                <w:szCs w:val="18"/>
              </w:rPr>
            </w:pPr>
            <w:r w:rsidRPr="00DF5655">
              <w:rPr>
                <w:rFonts w:ascii="Arial" w:eastAsia="Arial" w:hAnsi="Arial" w:cs="Arial"/>
                <w:i w:val="0"/>
                <w:color w:val="000000"/>
                <w:sz w:val="18"/>
                <w:szCs w:val="18"/>
              </w:rPr>
              <w:t>PM</w:t>
            </w:r>
            <w:r w:rsidRPr="00DF5655">
              <w:rPr>
                <w:rFonts w:ascii="Arial" w:eastAsia="Arial" w:hAnsi="Arial" w:cs="Arial"/>
                <w:i w:val="0"/>
                <w:color w:val="000000"/>
                <w:sz w:val="18"/>
                <w:szCs w:val="18"/>
                <w:vertAlign w:val="subscript"/>
              </w:rPr>
              <w:t>10</w:t>
            </w:r>
          </w:p>
        </w:tc>
        <w:tc>
          <w:tcPr>
            <w:tcW w:w="2126" w:type="dxa"/>
          </w:tcPr>
          <w:p w14:paraId="516E2FE0" w14:textId="77777777" w:rsidR="004C29E9" w:rsidRPr="00DF5655"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iCs/>
                <w:color w:val="000000"/>
                <w:sz w:val="18"/>
                <w:szCs w:val="18"/>
              </w:rPr>
            </w:pPr>
            <w:r w:rsidRPr="00DF5655">
              <w:rPr>
                <w:rFonts w:ascii="Arial" w:eastAsia="Arial" w:hAnsi="Arial" w:cs="Arial"/>
                <w:iCs/>
                <w:color w:val="000000"/>
                <w:sz w:val="18"/>
                <w:szCs w:val="18"/>
              </w:rPr>
              <w:t>0.98</w:t>
            </w:r>
          </w:p>
        </w:tc>
      </w:tr>
      <w:tr w:rsidR="004C29E9" w:rsidRPr="00DF5655" w14:paraId="44D61B3F" w14:textId="77777777" w:rsidTr="0041246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0" w:type="dxa"/>
          </w:tcPr>
          <w:p w14:paraId="364C49B3" w14:textId="77777777" w:rsidR="004C29E9" w:rsidRPr="00DF5655" w:rsidRDefault="004C29E9" w:rsidP="00412469">
            <w:pPr>
              <w:pBdr>
                <w:top w:val="nil"/>
                <w:left w:val="nil"/>
                <w:bottom w:val="nil"/>
                <w:right w:val="nil"/>
                <w:between w:val="nil"/>
              </w:pBdr>
              <w:rPr>
                <w:rFonts w:ascii="Arial" w:eastAsia="Arial" w:hAnsi="Arial" w:cs="Arial"/>
                <w:i w:val="0"/>
                <w:color w:val="000000"/>
                <w:sz w:val="18"/>
                <w:szCs w:val="18"/>
              </w:rPr>
            </w:pPr>
            <w:r w:rsidRPr="00DF5655">
              <w:rPr>
                <w:rFonts w:ascii="Arial" w:eastAsia="Arial" w:hAnsi="Arial" w:cs="Arial"/>
                <w:i w:val="0"/>
                <w:color w:val="000000"/>
                <w:sz w:val="18"/>
                <w:szCs w:val="18"/>
              </w:rPr>
              <w:t>PM</w:t>
            </w:r>
            <w:r w:rsidRPr="00DF5655">
              <w:rPr>
                <w:rFonts w:ascii="Arial" w:eastAsia="Arial" w:hAnsi="Arial" w:cs="Arial"/>
                <w:i w:val="0"/>
                <w:color w:val="000000"/>
                <w:sz w:val="18"/>
                <w:szCs w:val="18"/>
                <w:vertAlign w:val="subscript"/>
              </w:rPr>
              <w:t>2.5</w:t>
            </w:r>
          </w:p>
        </w:tc>
        <w:tc>
          <w:tcPr>
            <w:tcW w:w="2126" w:type="dxa"/>
          </w:tcPr>
          <w:p w14:paraId="27B42402" w14:textId="77777777" w:rsidR="004C29E9" w:rsidRPr="00DF5655"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iCs/>
                <w:color w:val="000000"/>
                <w:sz w:val="18"/>
                <w:szCs w:val="18"/>
              </w:rPr>
            </w:pPr>
            <w:r w:rsidRPr="00DF5655">
              <w:rPr>
                <w:rFonts w:ascii="Arial" w:eastAsia="Arial" w:hAnsi="Arial" w:cs="Arial"/>
                <w:iCs/>
                <w:color w:val="000000"/>
                <w:sz w:val="18"/>
                <w:szCs w:val="18"/>
              </w:rPr>
              <w:t>0.39</w:t>
            </w:r>
          </w:p>
        </w:tc>
      </w:tr>
      <w:tr w:rsidR="004C29E9" w:rsidRPr="00DF5655" w14:paraId="3B05B3AD" w14:textId="77777777" w:rsidTr="00412469">
        <w:trPr>
          <w:trHeight w:val="20"/>
          <w:jc w:val="center"/>
        </w:trPr>
        <w:tc>
          <w:tcPr>
            <w:cnfStyle w:val="001000000000" w:firstRow="0" w:lastRow="0" w:firstColumn="1" w:lastColumn="0" w:oddVBand="0" w:evenVBand="0" w:oddHBand="0" w:evenHBand="0" w:firstRowFirstColumn="0" w:firstRowLastColumn="0" w:lastRowFirstColumn="0" w:lastRowLastColumn="0"/>
            <w:tcW w:w="1980" w:type="dxa"/>
          </w:tcPr>
          <w:p w14:paraId="64E01467" w14:textId="77777777" w:rsidR="004C29E9" w:rsidRPr="00DF5655" w:rsidRDefault="004C29E9" w:rsidP="00412469">
            <w:pPr>
              <w:pBdr>
                <w:top w:val="nil"/>
                <w:left w:val="nil"/>
                <w:bottom w:val="nil"/>
                <w:right w:val="nil"/>
                <w:between w:val="nil"/>
              </w:pBdr>
              <w:rPr>
                <w:rFonts w:ascii="Arial" w:eastAsia="Arial" w:hAnsi="Arial" w:cs="Arial"/>
                <w:i w:val="0"/>
                <w:color w:val="000000"/>
                <w:sz w:val="18"/>
                <w:szCs w:val="18"/>
              </w:rPr>
            </w:pPr>
            <w:r w:rsidRPr="00DF5655">
              <w:rPr>
                <w:rFonts w:ascii="Arial" w:eastAsia="Arial" w:hAnsi="Arial" w:cs="Arial"/>
                <w:i w:val="0"/>
                <w:color w:val="000000"/>
                <w:sz w:val="18"/>
                <w:szCs w:val="18"/>
              </w:rPr>
              <w:t>PM</w:t>
            </w:r>
            <w:r w:rsidRPr="00DF5655">
              <w:rPr>
                <w:rFonts w:ascii="Arial" w:eastAsia="Arial" w:hAnsi="Arial" w:cs="Arial"/>
                <w:i w:val="0"/>
                <w:color w:val="000000"/>
                <w:sz w:val="18"/>
                <w:szCs w:val="18"/>
                <w:vertAlign w:val="subscript"/>
              </w:rPr>
              <w:t>1</w:t>
            </w:r>
          </w:p>
        </w:tc>
        <w:tc>
          <w:tcPr>
            <w:tcW w:w="2126" w:type="dxa"/>
          </w:tcPr>
          <w:p w14:paraId="037BAF6E" w14:textId="77777777" w:rsidR="004C29E9" w:rsidRPr="00DF5655"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iCs/>
                <w:color w:val="000000"/>
                <w:sz w:val="18"/>
                <w:szCs w:val="18"/>
              </w:rPr>
            </w:pPr>
            <w:r w:rsidRPr="00DF5655">
              <w:rPr>
                <w:rFonts w:ascii="Arial" w:eastAsia="Arial" w:hAnsi="Arial" w:cs="Arial"/>
                <w:iCs/>
                <w:color w:val="000000"/>
                <w:sz w:val="18"/>
                <w:szCs w:val="18"/>
              </w:rPr>
              <w:t>0.1</w:t>
            </w:r>
          </w:p>
        </w:tc>
      </w:tr>
      <w:tr w:rsidR="004C29E9" w:rsidRPr="00DF5655" w14:paraId="75C7CFD7" w14:textId="77777777" w:rsidTr="0041246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0" w:type="dxa"/>
          </w:tcPr>
          <w:p w14:paraId="64CACDD6" w14:textId="77777777" w:rsidR="004C29E9" w:rsidRPr="00DF5655" w:rsidRDefault="004C29E9" w:rsidP="00412469">
            <w:pPr>
              <w:pBdr>
                <w:top w:val="nil"/>
                <w:left w:val="nil"/>
                <w:bottom w:val="nil"/>
                <w:right w:val="nil"/>
                <w:between w:val="nil"/>
              </w:pBdr>
              <w:rPr>
                <w:rFonts w:ascii="Arial" w:eastAsia="Arial" w:hAnsi="Arial" w:cs="Arial"/>
                <w:i w:val="0"/>
                <w:color w:val="000000"/>
                <w:sz w:val="18"/>
                <w:szCs w:val="18"/>
              </w:rPr>
            </w:pPr>
            <w:r w:rsidRPr="00DF5655">
              <w:rPr>
                <w:rFonts w:ascii="Arial" w:eastAsia="Arial" w:hAnsi="Arial" w:cs="Arial"/>
                <w:i w:val="0"/>
                <w:color w:val="000000"/>
                <w:sz w:val="18"/>
                <w:szCs w:val="18"/>
              </w:rPr>
              <w:t>PM</w:t>
            </w:r>
            <w:r w:rsidRPr="00DF5655">
              <w:rPr>
                <w:rFonts w:ascii="Arial" w:eastAsia="Arial" w:hAnsi="Arial" w:cs="Arial"/>
                <w:i w:val="0"/>
                <w:color w:val="000000"/>
                <w:sz w:val="18"/>
                <w:szCs w:val="18"/>
                <w:vertAlign w:val="subscript"/>
              </w:rPr>
              <w:t>0.1</w:t>
            </w:r>
          </w:p>
        </w:tc>
        <w:tc>
          <w:tcPr>
            <w:tcW w:w="2126" w:type="dxa"/>
          </w:tcPr>
          <w:p w14:paraId="53476A5A" w14:textId="77777777" w:rsidR="004C29E9" w:rsidRPr="00DF5655"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iCs/>
                <w:color w:val="000000"/>
                <w:sz w:val="18"/>
                <w:szCs w:val="18"/>
              </w:rPr>
            </w:pPr>
            <w:r w:rsidRPr="00DF5655">
              <w:rPr>
                <w:rFonts w:ascii="Arial" w:eastAsia="Arial" w:hAnsi="Arial" w:cs="Arial"/>
                <w:iCs/>
                <w:color w:val="000000"/>
                <w:sz w:val="18"/>
                <w:szCs w:val="18"/>
              </w:rPr>
              <w:t>0.08</w:t>
            </w:r>
          </w:p>
        </w:tc>
      </w:tr>
    </w:tbl>
    <w:p w14:paraId="0D7D6072" w14:textId="77777777" w:rsidR="004C29E9" w:rsidRPr="00DA325E" w:rsidRDefault="004C29E9" w:rsidP="004C29E9">
      <w:pPr>
        <w:jc w:val="center"/>
        <w:rPr>
          <w:i/>
          <w:highlight w:val="white"/>
        </w:rPr>
      </w:pPr>
    </w:p>
    <w:p w14:paraId="1DE9BA47" w14:textId="48A7A799" w:rsidR="004C29E9" w:rsidRPr="00FB229E" w:rsidRDefault="004C29E9" w:rsidP="004C29E9">
      <w:pPr>
        <w:pStyle w:val="CapTable"/>
      </w:pPr>
      <w:r>
        <w:t xml:space="preserve">Table </w:t>
      </w:r>
      <w:r>
        <w:fldChar w:fldCharType="begin"/>
      </w:r>
      <w:r>
        <w:instrText xml:space="preserve"> SEQ Table \* ARABIC </w:instrText>
      </w:r>
      <w:r>
        <w:fldChar w:fldCharType="separate"/>
      </w:r>
      <w:r w:rsidR="00146F7F">
        <w:rPr>
          <w:noProof/>
        </w:rPr>
        <w:t>6</w:t>
      </w:r>
      <w:r>
        <w:fldChar w:fldCharType="end"/>
      </w:r>
      <w:r>
        <w:t xml:space="preserve"> Speed Correction </w:t>
      </w:r>
      <w:r>
        <w:fldChar w:fldCharType="begin" w:fldLock="1"/>
      </w:r>
      <w:r w:rsidR="00204F96">
        <w:instrText>ADDIN CSL_CITATION {"citationItems":[{"id":"ITEM-1","itemData":{"author":[{"dropping-particle":"","family":"EMEP/EEA","given":"","non-dropping-particle":"","parse-names":false,"suffix":""}],"id":"ITEM-1","issued":{"date-parts":[["2019"]]},"title":"EMEP/EEA Air Pollutant Emission Inventory Guidebook 2019","type":"report"},"uris":["http://www.mendeley.com/documents/?uuid=0bb72285-78df-4a33-9afe-f58ed09ed1bd"]}],"mendeley":{"formattedCitation":"(EMEP/EEA, 2019)","plainTextFormattedCitation":"(EMEP/EEA, 2019)","previouslyFormattedCitation":"(EMEP/EEA, 2019)"},"properties":{"noteIndex":0},"schema":"https://github.com/citation-style-language/schema/raw/master/csl-citation.json"}</w:instrText>
      </w:r>
      <w:r>
        <w:fldChar w:fldCharType="separate"/>
      </w:r>
      <w:r w:rsidR="00CF264F" w:rsidRPr="00CF264F">
        <w:rPr>
          <w:noProof/>
        </w:rPr>
        <w:t>(EMEP/EEA, 2019)</w:t>
      </w:r>
      <w:r>
        <w:fldChar w:fldCharType="end"/>
      </w:r>
    </w:p>
    <w:tbl>
      <w:tblPr>
        <w:tblStyle w:val="PlainTable5"/>
        <w:tblW w:w="5885" w:type="dxa"/>
        <w:jc w:val="center"/>
        <w:tblLayout w:type="fixed"/>
        <w:tblLook w:val="04A0" w:firstRow="1" w:lastRow="0" w:firstColumn="1" w:lastColumn="0" w:noHBand="0" w:noVBand="1"/>
      </w:tblPr>
      <w:tblGrid>
        <w:gridCol w:w="2687"/>
        <w:gridCol w:w="3198"/>
      </w:tblGrid>
      <w:tr w:rsidR="004C29E9" w:rsidRPr="00DF5655" w14:paraId="58C45718" w14:textId="77777777" w:rsidTr="0041246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2687" w:type="dxa"/>
          </w:tcPr>
          <w:p w14:paraId="2A9BE67F" w14:textId="77777777" w:rsidR="004C29E9" w:rsidRPr="00DF5655" w:rsidRDefault="004C29E9" w:rsidP="00412469">
            <w:pPr>
              <w:pBdr>
                <w:top w:val="nil"/>
                <w:left w:val="nil"/>
                <w:bottom w:val="nil"/>
                <w:right w:val="nil"/>
                <w:between w:val="nil"/>
              </w:pBdr>
              <w:rPr>
                <w:rFonts w:ascii="Arial" w:eastAsia="Arial" w:hAnsi="Arial" w:cs="Arial"/>
                <w:i w:val="0"/>
                <w:iCs w:val="0"/>
                <w:color w:val="000000"/>
                <w:sz w:val="18"/>
                <w:szCs w:val="18"/>
              </w:rPr>
            </w:pPr>
            <w:r w:rsidRPr="00DF5655">
              <w:rPr>
                <w:rFonts w:ascii="Arial" w:eastAsia="Arial" w:hAnsi="Arial" w:cs="Arial"/>
                <w:i w:val="0"/>
                <w:iCs w:val="0"/>
                <w:color w:val="000000"/>
                <w:sz w:val="18"/>
                <w:szCs w:val="18"/>
              </w:rPr>
              <w:t>Velocity (km/h)</w:t>
            </w:r>
          </w:p>
        </w:tc>
        <w:tc>
          <w:tcPr>
            <w:tcW w:w="3198" w:type="dxa"/>
          </w:tcPr>
          <w:p w14:paraId="39E67286" w14:textId="77777777" w:rsidR="004C29E9" w:rsidRPr="00DF5655" w:rsidRDefault="004C29E9" w:rsidP="00412469">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i w:val="0"/>
                <w:iCs w:val="0"/>
                <w:color w:val="000000"/>
                <w:sz w:val="18"/>
                <w:szCs w:val="18"/>
              </w:rPr>
            </w:pPr>
            <w:r w:rsidRPr="00DF5655">
              <w:rPr>
                <w:rFonts w:ascii="Arial" w:eastAsia="Arial" w:hAnsi="Arial" w:cs="Arial"/>
                <w:i w:val="0"/>
                <w:iCs w:val="0"/>
                <w:color w:val="000000"/>
                <w:sz w:val="18"/>
                <w:szCs w:val="18"/>
              </w:rPr>
              <w:t>Factors (V)</w:t>
            </w:r>
          </w:p>
        </w:tc>
      </w:tr>
      <w:tr w:rsidR="004C29E9" w:rsidRPr="00DF5655" w14:paraId="6A1FEA7E" w14:textId="77777777" w:rsidTr="0041246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687" w:type="dxa"/>
          </w:tcPr>
          <w:p w14:paraId="7F4E1A71" w14:textId="77777777" w:rsidR="004C29E9" w:rsidRPr="00DF5655" w:rsidRDefault="004C29E9" w:rsidP="00412469">
            <w:pPr>
              <w:pBdr>
                <w:top w:val="nil"/>
                <w:left w:val="nil"/>
                <w:bottom w:val="nil"/>
                <w:right w:val="nil"/>
                <w:between w:val="nil"/>
              </w:pBdr>
              <w:rPr>
                <w:rFonts w:ascii="Arial" w:eastAsia="Arial" w:hAnsi="Arial" w:cs="Arial"/>
                <w:i w:val="0"/>
                <w:iCs w:val="0"/>
                <w:color w:val="000000"/>
                <w:sz w:val="18"/>
                <w:szCs w:val="18"/>
              </w:rPr>
            </w:pPr>
            <w:r w:rsidRPr="00DF5655">
              <w:rPr>
                <w:rFonts w:ascii="Arial" w:eastAsia="Arial" w:hAnsi="Arial" w:cs="Arial"/>
                <w:i w:val="0"/>
                <w:iCs w:val="0"/>
                <w:color w:val="000000"/>
                <w:sz w:val="18"/>
                <w:szCs w:val="18"/>
              </w:rPr>
              <w:t>V &lt; 40</w:t>
            </w:r>
          </w:p>
        </w:tc>
        <w:tc>
          <w:tcPr>
            <w:tcW w:w="3198" w:type="dxa"/>
          </w:tcPr>
          <w:p w14:paraId="72596260" w14:textId="77777777" w:rsidR="004C29E9" w:rsidRPr="00DF5655"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DF5655">
              <w:rPr>
                <w:rFonts w:ascii="Arial" w:eastAsia="Arial" w:hAnsi="Arial" w:cs="Arial"/>
                <w:color w:val="000000"/>
                <w:sz w:val="18"/>
                <w:szCs w:val="18"/>
              </w:rPr>
              <w:t>1.67</w:t>
            </w:r>
          </w:p>
        </w:tc>
      </w:tr>
      <w:tr w:rsidR="004C29E9" w:rsidRPr="00DF5655" w14:paraId="2A598499" w14:textId="77777777" w:rsidTr="00412469">
        <w:trPr>
          <w:trHeight w:val="20"/>
          <w:jc w:val="center"/>
        </w:trPr>
        <w:tc>
          <w:tcPr>
            <w:cnfStyle w:val="001000000000" w:firstRow="0" w:lastRow="0" w:firstColumn="1" w:lastColumn="0" w:oddVBand="0" w:evenVBand="0" w:oddHBand="0" w:evenHBand="0" w:firstRowFirstColumn="0" w:firstRowLastColumn="0" w:lastRowFirstColumn="0" w:lastRowLastColumn="0"/>
            <w:tcW w:w="2687" w:type="dxa"/>
          </w:tcPr>
          <w:p w14:paraId="6573DA15" w14:textId="77777777" w:rsidR="004C29E9" w:rsidRPr="00DF5655" w:rsidRDefault="004C29E9" w:rsidP="00412469">
            <w:pPr>
              <w:pBdr>
                <w:top w:val="nil"/>
                <w:left w:val="nil"/>
                <w:bottom w:val="nil"/>
                <w:right w:val="nil"/>
                <w:between w:val="nil"/>
              </w:pBdr>
              <w:rPr>
                <w:rFonts w:ascii="Arial" w:eastAsia="Arial" w:hAnsi="Arial" w:cs="Arial"/>
                <w:i w:val="0"/>
                <w:iCs w:val="0"/>
                <w:color w:val="000000"/>
                <w:sz w:val="18"/>
                <w:szCs w:val="18"/>
              </w:rPr>
            </w:pPr>
            <w:r w:rsidRPr="00A83606">
              <w:rPr>
                <w:rFonts w:ascii="Arial" w:eastAsia="Arial" w:hAnsi="Arial" w:cs="Arial"/>
                <w:i w:val="0"/>
                <w:iCs w:val="0"/>
                <w:color w:val="000000"/>
                <w:sz w:val="18"/>
                <w:szCs w:val="18"/>
              </w:rPr>
              <w:t>40</w:t>
            </w:r>
            <w:r w:rsidRPr="00A83606">
              <w:rPr>
                <w:rFonts w:ascii="Arial" w:eastAsia="Arial" w:hAnsi="Arial" w:cs="Arial" w:hint="eastAsia"/>
                <w:i w:val="0"/>
                <w:iCs w:val="0"/>
                <w:color w:val="000000"/>
                <w:sz w:val="18"/>
                <w:szCs w:val="18"/>
              </w:rPr>
              <w:t xml:space="preserve"> ≤</w:t>
            </w:r>
            <w:r>
              <w:rPr>
                <w:rFonts w:ascii="Arial" w:eastAsiaTheme="minorEastAsia" w:hAnsi="Arial" w:cs="Arial" w:hint="eastAsia"/>
                <w:i w:val="0"/>
                <w:iCs w:val="0"/>
                <w:color w:val="000000"/>
                <w:sz w:val="18"/>
                <w:szCs w:val="18"/>
              </w:rPr>
              <w:t xml:space="preserve"> </w:t>
            </w:r>
            <w:r>
              <w:rPr>
                <w:rFonts w:ascii="Arial" w:eastAsiaTheme="minorEastAsia" w:hAnsi="Arial" w:cs="Arial"/>
                <w:i w:val="0"/>
                <w:iCs w:val="0"/>
                <w:color w:val="000000"/>
                <w:sz w:val="18"/>
                <w:szCs w:val="18"/>
              </w:rPr>
              <w:t xml:space="preserve">V </w:t>
            </w:r>
            <w:r w:rsidRPr="00A83606">
              <w:rPr>
                <w:rFonts w:ascii="Arial" w:eastAsia="Arial" w:hAnsi="Arial" w:cs="Arial" w:hint="eastAsia"/>
                <w:i w:val="0"/>
                <w:iCs w:val="0"/>
                <w:color w:val="000000"/>
                <w:sz w:val="18"/>
                <w:szCs w:val="18"/>
              </w:rPr>
              <w:t xml:space="preserve">≤ </w:t>
            </w:r>
            <w:r w:rsidRPr="00A83606">
              <w:rPr>
                <w:rFonts w:ascii="Arial" w:eastAsia="Arial" w:hAnsi="Arial" w:cs="Arial"/>
                <w:i w:val="0"/>
                <w:iCs w:val="0"/>
                <w:color w:val="000000"/>
                <w:sz w:val="18"/>
                <w:szCs w:val="18"/>
              </w:rPr>
              <w:t>9</w:t>
            </w:r>
            <w:r>
              <w:rPr>
                <w:rFonts w:ascii="Arial" w:eastAsia="Arial" w:hAnsi="Arial" w:cs="Arial"/>
                <w:i w:val="0"/>
                <w:iCs w:val="0"/>
                <w:color w:val="000000"/>
                <w:sz w:val="18"/>
                <w:szCs w:val="18"/>
              </w:rPr>
              <w:t>5</w:t>
            </w:r>
          </w:p>
        </w:tc>
        <w:tc>
          <w:tcPr>
            <w:tcW w:w="3198" w:type="dxa"/>
          </w:tcPr>
          <w:p w14:paraId="28825091" w14:textId="77777777" w:rsidR="004C29E9" w:rsidRPr="00DF5655"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DF5655">
              <w:rPr>
                <w:rFonts w:ascii="Arial" w:eastAsia="Arial" w:hAnsi="Arial" w:cs="Arial"/>
                <w:color w:val="000000"/>
                <w:sz w:val="18"/>
                <w:szCs w:val="18"/>
              </w:rPr>
              <w:t>-0.0270 * V + 2.75</w:t>
            </w:r>
          </w:p>
        </w:tc>
      </w:tr>
      <w:tr w:rsidR="004C29E9" w:rsidRPr="00DF5655" w14:paraId="7E431BCC" w14:textId="77777777" w:rsidTr="0041246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687" w:type="dxa"/>
          </w:tcPr>
          <w:p w14:paraId="4740A4B8" w14:textId="77777777" w:rsidR="004C29E9" w:rsidRPr="00DF5655" w:rsidRDefault="004C29E9" w:rsidP="00412469">
            <w:pPr>
              <w:pBdr>
                <w:top w:val="nil"/>
                <w:left w:val="nil"/>
                <w:bottom w:val="nil"/>
                <w:right w:val="nil"/>
                <w:between w:val="nil"/>
              </w:pBdr>
              <w:rPr>
                <w:rFonts w:ascii="Arial" w:eastAsia="Arial" w:hAnsi="Arial" w:cs="Arial"/>
                <w:i w:val="0"/>
                <w:iCs w:val="0"/>
                <w:color w:val="000000"/>
                <w:sz w:val="18"/>
                <w:szCs w:val="18"/>
              </w:rPr>
            </w:pPr>
            <w:r w:rsidRPr="00DF5655">
              <w:rPr>
                <w:rFonts w:ascii="Arial" w:eastAsia="Arial" w:hAnsi="Arial" w:cs="Arial"/>
                <w:i w:val="0"/>
                <w:iCs w:val="0"/>
                <w:color w:val="000000"/>
                <w:sz w:val="18"/>
                <w:szCs w:val="18"/>
              </w:rPr>
              <w:t>V &gt; 95</w:t>
            </w:r>
          </w:p>
        </w:tc>
        <w:tc>
          <w:tcPr>
            <w:tcW w:w="3198" w:type="dxa"/>
          </w:tcPr>
          <w:p w14:paraId="15FBF718" w14:textId="77777777" w:rsidR="004C29E9" w:rsidRPr="00DF5655"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DF5655">
              <w:rPr>
                <w:rFonts w:ascii="Arial" w:eastAsia="Arial" w:hAnsi="Arial" w:cs="Arial"/>
                <w:color w:val="000000"/>
                <w:sz w:val="18"/>
                <w:szCs w:val="18"/>
              </w:rPr>
              <w:t>0.185</w:t>
            </w:r>
          </w:p>
        </w:tc>
      </w:tr>
      <w:tr w:rsidR="004C29E9" w:rsidRPr="00DF5655" w14:paraId="42B6DD24" w14:textId="77777777" w:rsidTr="00412469">
        <w:trPr>
          <w:trHeight w:val="20"/>
          <w:jc w:val="center"/>
        </w:trPr>
        <w:tc>
          <w:tcPr>
            <w:cnfStyle w:val="001000000000" w:firstRow="0" w:lastRow="0" w:firstColumn="1" w:lastColumn="0" w:oddVBand="0" w:evenVBand="0" w:oddHBand="0" w:evenHBand="0" w:firstRowFirstColumn="0" w:firstRowLastColumn="0" w:lastRowFirstColumn="0" w:lastRowLastColumn="0"/>
            <w:tcW w:w="5885" w:type="dxa"/>
            <w:gridSpan w:val="2"/>
          </w:tcPr>
          <w:p w14:paraId="6F8E5745" w14:textId="77777777" w:rsidR="004C29E9" w:rsidRPr="00DF5655" w:rsidRDefault="004C29E9" w:rsidP="00412469">
            <w:pPr>
              <w:pBdr>
                <w:top w:val="nil"/>
                <w:left w:val="nil"/>
                <w:bottom w:val="nil"/>
                <w:right w:val="nil"/>
                <w:between w:val="nil"/>
              </w:pBdr>
              <w:rPr>
                <w:rFonts w:ascii="Arial" w:eastAsia="Arial" w:hAnsi="Arial" w:cs="Arial"/>
                <w:i w:val="0"/>
                <w:iCs w:val="0"/>
                <w:color w:val="000000"/>
                <w:sz w:val="18"/>
                <w:szCs w:val="18"/>
              </w:rPr>
            </w:pPr>
            <w:r w:rsidRPr="00DF5655">
              <w:rPr>
                <w:rFonts w:ascii="Arial" w:eastAsia="Arial" w:hAnsi="Arial" w:cs="Arial"/>
                <w:noProof/>
                <w:color w:val="000000"/>
                <w:sz w:val="18"/>
                <w:szCs w:val="18"/>
              </w:rPr>
              <w:drawing>
                <wp:inline distT="0" distB="0" distL="0" distR="0" wp14:anchorId="04497C43" wp14:editId="1230C207">
                  <wp:extent cx="3596985" cy="1917261"/>
                  <wp:effectExtent l="0" t="0" r="0" b="635"/>
                  <wp:docPr id="2139356653" name="image75.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139356653" name="image75.png" descr="Chart, line chart&#10;&#10;Description automatically generated"/>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3596985" cy="1917261"/>
                          </a:xfrm>
                          <a:prstGeom prst="rect">
                            <a:avLst/>
                          </a:prstGeom>
                          <a:ln/>
                        </pic:spPr>
                      </pic:pic>
                    </a:graphicData>
                  </a:graphic>
                </wp:inline>
              </w:drawing>
            </w:r>
          </w:p>
        </w:tc>
      </w:tr>
    </w:tbl>
    <w:p w14:paraId="7C4E7748" w14:textId="77777777" w:rsidR="004C29E9" w:rsidRPr="00DA325E" w:rsidRDefault="004C29E9" w:rsidP="004C29E9">
      <w:pPr>
        <w:rPr>
          <w:highlight w:val="white"/>
        </w:rPr>
      </w:pPr>
    </w:p>
    <w:p w14:paraId="6942F0C0" w14:textId="74CF88B8" w:rsidR="004C29E9" w:rsidRPr="00DA325E" w:rsidRDefault="004C29E9" w:rsidP="009E4981">
      <w:pPr>
        <w:pStyle w:val="Heading1"/>
        <w:rPr>
          <w:highlight w:val="white"/>
        </w:rPr>
      </w:pPr>
      <w:r w:rsidRPr="00DA325E">
        <w:rPr>
          <w:highlight w:val="white"/>
        </w:rPr>
        <w:t>3</w:t>
      </w:r>
      <w:r w:rsidR="009E4981">
        <w:rPr>
          <w:highlight w:val="white"/>
        </w:rPr>
        <w:t>.</w:t>
      </w:r>
      <w:r w:rsidRPr="00DA325E">
        <w:rPr>
          <w:highlight w:val="white"/>
        </w:rPr>
        <w:t xml:space="preserve"> Surface Wear (</w:t>
      </w:r>
      <w:proofErr w:type="gramStart"/>
      <w:r w:rsidRPr="00DA325E">
        <w:rPr>
          <w:highlight w:val="white"/>
        </w:rPr>
        <w:t>i.e.</w:t>
      </w:r>
      <w:proofErr w:type="gramEnd"/>
      <w:r w:rsidRPr="00DA325E">
        <w:rPr>
          <w:highlight w:val="white"/>
        </w:rPr>
        <w:t xml:space="preserve"> Road Abrasion)</w:t>
      </w:r>
    </w:p>
    <w:p w14:paraId="481AEFA8" w14:textId="77777777" w:rsidR="004C29E9" w:rsidRPr="00DA325E" w:rsidRDefault="004C29E9" w:rsidP="004C29E9">
      <w:pPr>
        <w:rPr>
          <w:highlight w:val="white"/>
        </w:rPr>
      </w:pPr>
      <w:r w:rsidRPr="00DA325E">
        <w:rPr>
          <w:highlight w:val="white"/>
        </w:rPr>
        <w:t>Road surface wear is caused by the appearance of wheel marks when the vehicle passes over the road or parts of the road are destroyed by heavy vehicles. The formula is as follows.</w:t>
      </w:r>
    </w:p>
    <w:p w14:paraId="4C68EE2D" w14:textId="77777777" w:rsidR="004C29E9" w:rsidRPr="00DA325E" w:rsidRDefault="00BA5902" w:rsidP="004C29E9">
      <w:pPr>
        <w:jc w:val="center"/>
        <w:rPr>
          <w:highlight w:val="white"/>
        </w:rPr>
      </w:pPr>
      <m:oMathPara>
        <m:oMath>
          <m:sSub>
            <m:sSubPr>
              <m:ctrlPr>
                <w:rPr>
                  <w:rFonts w:ascii="Cambria Math" w:hAnsi="Cambria Math"/>
                  <w:i/>
                </w:rPr>
              </m:ctrlPr>
            </m:sSubPr>
            <m:e>
              <m:r>
                <m:rPr>
                  <m:nor/>
                </m:rPr>
                <w:rPr>
                  <w:rFonts w:ascii="Cambria Math" w:hAnsi="Cambria Math"/>
                </w:rPr>
                <m:t>NEE</m:t>
              </m:r>
              <m:ctrlPr>
                <w:rPr>
                  <w:rFonts w:ascii="Cambria Math" w:hAnsi="Cambria Math"/>
                </w:rPr>
              </m:ctrlPr>
            </m:e>
            <m:sub>
              <m:r>
                <m:rPr>
                  <m:nor/>
                </m:rPr>
                <w:rPr>
                  <w:rFonts w:ascii="Cambria Math" w:hAnsi="Cambria Math"/>
                </w:rPr>
                <m:t>Surface</m:t>
              </m:r>
            </m:sub>
          </m:sSub>
          <m:r>
            <m:rPr>
              <m:nor/>
            </m:rPr>
            <w:rPr>
              <w:rFonts w:ascii="Cambria Math" w:hAnsi="Cambria Math"/>
            </w:rPr>
            <m:t>=</m:t>
          </m:r>
          <m:nary>
            <m:naryPr>
              <m:chr m:val="∑"/>
              <m:limLoc m:val="undOvr"/>
              <m:ctrlPr>
                <w:rPr>
                  <w:rFonts w:ascii="Cambria Math" w:hAnsi="Cambria Math"/>
                  <w:i/>
                </w:rPr>
              </m:ctrlPr>
            </m:naryPr>
            <m:sub>
              <m:r>
                <m:rPr>
                  <m:nor/>
                </m:rPr>
                <w:rPr>
                  <w:rFonts w:ascii="Cambria Math" w:hAnsi="Cambria Math"/>
                </w:rPr>
                <m:t>i=1</m:t>
              </m:r>
            </m:sub>
            <m:sup>
              <m:r>
                <m:rPr>
                  <m:nor/>
                </m:rPr>
                <w:rPr>
                  <w:rFonts w:ascii="Cambria Math" w:hAnsi="Cambria Math"/>
                </w:rPr>
                <m:t>n</m:t>
              </m:r>
            </m:sup>
            <m:e>
              <m:sSub>
                <m:sSubPr>
                  <m:ctrlPr>
                    <w:rPr>
                      <w:rFonts w:ascii="Cambria Math" w:hAnsi="Cambria Math"/>
                      <w:i/>
                    </w:rPr>
                  </m:ctrlPr>
                </m:sSubPr>
                <m:e>
                  <m:r>
                    <m:rPr>
                      <m:nor/>
                    </m:rPr>
                    <w:rPr>
                      <w:rFonts w:ascii="Cambria Math" w:hAnsi="Cambria Math"/>
                    </w:rPr>
                    <m:t>N</m:t>
                  </m:r>
                </m:e>
                <m:sub>
                  <m:r>
                    <m:rPr>
                      <m:nor/>
                    </m:rPr>
                    <w:rPr>
                      <w:rFonts w:ascii="Cambria Math" w:hAnsi="Cambria Math"/>
                    </w:rPr>
                    <m:t>j</m:t>
                  </m:r>
                </m:sub>
              </m:sSub>
            </m:e>
          </m:nary>
          <m:sSub>
            <m:sSubPr>
              <m:ctrlPr>
                <w:rPr>
                  <w:rFonts w:ascii="Cambria Math" w:hAnsi="Cambria Math"/>
                  <w:i/>
                </w:rPr>
              </m:ctrlPr>
            </m:sSubPr>
            <m:e>
              <m:r>
                <m:rPr>
                  <m:nor/>
                </m:rPr>
                <w:rPr>
                  <w:rFonts w:ascii="Cambria Math" w:hAnsi="Cambria Math"/>
                </w:rPr>
                <m:t>×M</m:t>
              </m:r>
              <m:ctrlPr>
                <w:rPr>
                  <w:rFonts w:ascii="Cambria Math" w:hAnsi="Cambria Math"/>
                </w:rPr>
              </m:ctrlPr>
            </m:e>
            <m:sub>
              <m:r>
                <m:rPr>
                  <m:nor/>
                </m:rPr>
                <w:rPr>
                  <w:rFonts w:ascii="Cambria Math" w:hAnsi="Cambria Math"/>
                </w:rPr>
                <m:t>j</m:t>
              </m:r>
            </m:sub>
          </m:sSub>
          <m:r>
            <m:rPr>
              <m:nor/>
            </m:rPr>
            <w:rPr>
              <w:rFonts w:ascii="Cambria Math" w:hAnsi="Cambria Math"/>
            </w:rPr>
            <m:t>×</m:t>
          </m:r>
          <m:sSub>
            <m:sSubPr>
              <m:ctrlPr>
                <w:rPr>
                  <w:rFonts w:ascii="Cambria Math" w:hAnsi="Cambria Math"/>
                  <w:i/>
                </w:rPr>
              </m:ctrlPr>
            </m:sSubPr>
            <m:e>
              <m:sSub>
                <m:sSubPr>
                  <m:ctrlPr>
                    <w:rPr>
                      <w:rFonts w:ascii="Cambria Math" w:hAnsi="Cambria Math"/>
                      <w:i/>
                    </w:rPr>
                  </m:ctrlPr>
                </m:sSubPr>
                <m:e>
                  <m:r>
                    <m:rPr>
                      <m:nor/>
                    </m:rPr>
                    <w:rPr>
                      <w:rFonts w:ascii="Cambria Math" w:hAnsi="Cambria Math"/>
                    </w:rPr>
                    <m:t>EF</m:t>
                  </m:r>
                  <m:ctrlPr>
                    <w:rPr>
                      <w:rFonts w:ascii="Cambria Math" w:eastAsia="Cambria Math" w:hAnsi="Cambria Math" w:cs="Cambria Math"/>
                      <w:i/>
                    </w:rPr>
                  </m:ctrlPr>
                </m:e>
                <m:sub>
                  <m:r>
                    <m:rPr>
                      <m:nor/>
                    </m:rPr>
                    <w:rPr>
                      <w:rFonts w:ascii="Cambria Math" w:hAnsi="Cambria Math"/>
                    </w:rPr>
                    <m:t>Sw,j</m:t>
                  </m:r>
                </m:sub>
              </m:sSub>
              <m:r>
                <m:rPr>
                  <m:nor/>
                </m:rPr>
                <w:rPr>
                  <w:rFonts w:ascii="Cambria Math" w:hAnsi="Cambria Math"/>
                </w:rPr>
                <m:t>×F</m:t>
              </m:r>
              <m:ctrlPr>
                <w:rPr>
                  <w:rFonts w:ascii="Cambria Math" w:eastAsia="Cambria Math" w:hAnsi="Cambria Math" w:cs="Cambria Math"/>
                  <w:i/>
                </w:rPr>
              </m:ctrlPr>
            </m:e>
            <m:sub>
              <m:r>
                <m:rPr>
                  <m:nor/>
                </m:rPr>
                <w:rPr>
                  <w:rFonts w:ascii="Cambria Math" w:hAnsi="Cambria Math"/>
                </w:rPr>
                <m:t>s,i</m:t>
              </m:r>
            </m:sub>
          </m:sSub>
        </m:oMath>
      </m:oMathPara>
    </w:p>
    <w:p w14:paraId="70860EA2" w14:textId="77777777" w:rsidR="004C29E9" w:rsidRPr="00DA325E" w:rsidRDefault="004C29E9" w:rsidP="004C29E9">
      <w:pPr>
        <w:pStyle w:val="ListParagraph"/>
        <w:numPr>
          <w:ilvl w:val="0"/>
          <w:numId w:val="1"/>
        </w:numPr>
        <w:pBdr>
          <w:top w:val="nil"/>
          <w:left w:val="nil"/>
          <w:bottom w:val="nil"/>
          <w:right w:val="nil"/>
          <w:between w:val="nil"/>
        </w:pBdr>
        <w:spacing w:after="0"/>
        <w:ind w:leftChars="0"/>
        <w:jc w:val="left"/>
        <w:rPr>
          <w:rFonts w:eastAsia="Times New Roman"/>
          <w:color w:val="000000"/>
          <w:highlight w:val="white"/>
        </w:rPr>
      </w:pPr>
      <w:proofErr w:type="spellStart"/>
      <w:r>
        <w:rPr>
          <w:rFonts w:eastAsia="Times New Roman"/>
          <w:color w:val="000000"/>
          <w:highlight w:val="white"/>
        </w:rPr>
        <w:lastRenderedPageBreak/>
        <w:t>NE</w:t>
      </w:r>
      <w:r w:rsidRPr="00DA325E">
        <w:rPr>
          <w:rFonts w:eastAsia="Times New Roman"/>
          <w:color w:val="000000"/>
          <w:highlight w:val="white"/>
        </w:rPr>
        <w:t>E</w:t>
      </w:r>
      <w:r w:rsidRPr="00DA325E">
        <w:rPr>
          <w:rFonts w:eastAsia="Times New Roman"/>
          <w:color w:val="000000"/>
          <w:highlight w:val="white"/>
          <w:vertAlign w:val="subscript"/>
        </w:rPr>
        <w:t>Surface</w:t>
      </w:r>
      <w:proofErr w:type="spellEnd"/>
      <w:r w:rsidRPr="00DA325E">
        <w:rPr>
          <w:rFonts w:eastAsia="Times New Roman"/>
          <w:color w:val="000000"/>
          <w:highlight w:val="white"/>
        </w:rPr>
        <w:t>: Total emissions for the defined time and spatial boundary (g)</w:t>
      </w:r>
    </w:p>
    <w:p w14:paraId="61EC5855" w14:textId="77777777" w:rsidR="004C29E9" w:rsidRPr="00BB3947" w:rsidRDefault="004C29E9" w:rsidP="004C29E9">
      <w:pPr>
        <w:pStyle w:val="ListParagraph"/>
        <w:numPr>
          <w:ilvl w:val="0"/>
          <w:numId w:val="1"/>
        </w:numPr>
        <w:pBdr>
          <w:top w:val="nil"/>
          <w:left w:val="nil"/>
          <w:bottom w:val="nil"/>
          <w:right w:val="nil"/>
          <w:between w:val="nil"/>
        </w:pBdr>
        <w:spacing w:after="0"/>
        <w:ind w:leftChars="0"/>
        <w:jc w:val="left"/>
        <w:rPr>
          <w:rFonts w:eastAsia="Times New Roman"/>
          <w:color w:val="000000"/>
          <w:highlight w:val="white"/>
        </w:rPr>
      </w:pPr>
      <w:r w:rsidRPr="00BB3947">
        <w:rPr>
          <w:rFonts w:eastAsia="Times New Roman"/>
          <w:color w:val="000000"/>
          <w:highlight w:val="white"/>
        </w:rPr>
        <w:t>N</w:t>
      </w:r>
      <w:r w:rsidRPr="00BB3947">
        <w:rPr>
          <w:rFonts w:eastAsia="Times New Roman"/>
          <w:color w:val="000000"/>
          <w:highlight w:val="white"/>
          <w:vertAlign w:val="subscript"/>
        </w:rPr>
        <w:t>j</w:t>
      </w:r>
      <w:r w:rsidRPr="00BB3947">
        <w:rPr>
          <w:rFonts w:eastAsia="Times New Roman"/>
          <w:color w:val="000000"/>
          <w:highlight w:val="white"/>
        </w:rPr>
        <w:t>: Number of vehicles in category j within the defined spatial boundary</w:t>
      </w:r>
    </w:p>
    <w:p w14:paraId="43059BE8" w14:textId="77777777" w:rsidR="004C29E9" w:rsidRPr="00DF2224" w:rsidRDefault="004C29E9" w:rsidP="004C29E9">
      <w:pPr>
        <w:pStyle w:val="ListParagraph"/>
        <w:numPr>
          <w:ilvl w:val="0"/>
          <w:numId w:val="1"/>
        </w:numPr>
        <w:pBdr>
          <w:top w:val="nil"/>
          <w:left w:val="nil"/>
          <w:bottom w:val="nil"/>
          <w:right w:val="nil"/>
          <w:between w:val="nil"/>
        </w:pBdr>
        <w:spacing w:after="0"/>
        <w:ind w:leftChars="0"/>
        <w:jc w:val="left"/>
        <w:rPr>
          <w:rFonts w:eastAsia="Times New Roman"/>
          <w:iCs/>
          <w:color w:val="000000"/>
          <w:highlight w:val="white"/>
        </w:rPr>
      </w:pPr>
      <w:proofErr w:type="spellStart"/>
      <w:r w:rsidRPr="00DF2224">
        <w:rPr>
          <w:rFonts w:eastAsia="Times New Roman"/>
          <w:iCs/>
          <w:color w:val="000000"/>
          <w:highlight w:val="white"/>
        </w:rPr>
        <w:t>M</w:t>
      </w:r>
      <w:r w:rsidRPr="00DF2224">
        <w:rPr>
          <w:rFonts w:eastAsia="Times New Roman"/>
          <w:iCs/>
          <w:color w:val="000000"/>
          <w:highlight w:val="white"/>
          <w:vertAlign w:val="subscript"/>
        </w:rPr>
        <w:t>j</w:t>
      </w:r>
      <w:proofErr w:type="spellEnd"/>
      <w:r w:rsidRPr="00DF2224">
        <w:rPr>
          <w:rFonts w:eastAsia="Times New Roman"/>
          <w:iCs/>
          <w:color w:val="000000"/>
          <w:highlight w:val="white"/>
        </w:rPr>
        <w:t xml:space="preserve">: </w:t>
      </w:r>
      <w:r w:rsidRPr="00DF2224">
        <w:rPr>
          <w:iCs/>
          <w:highlight w:val="white"/>
        </w:rPr>
        <w:t>M</w:t>
      </w:r>
      <w:r w:rsidRPr="00DF2224">
        <w:rPr>
          <w:rFonts w:eastAsia="Times New Roman"/>
          <w:iCs/>
          <w:color w:val="000000"/>
          <w:highlight w:val="white"/>
        </w:rPr>
        <w:t>ileage (km) driven by each vehicle in category j during the defined time (not used)</w:t>
      </w:r>
    </w:p>
    <w:p w14:paraId="493AE3C1" w14:textId="77777777" w:rsidR="004C29E9" w:rsidRPr="00BB3947" w:rsidRDefault="004C29E9" w:rsidP="004C29E9">
      <w:pPr>
        <w:pStyle w:val="ListParagraph"/>
        <w:numPr>
          <w:ilvl w:val="0"/>
          <w:numId w:val="1"/>
        </w:numPr>
        <w:pBdr>
          <w:top w:val="nil"/>
          <w:left w:val="nil"/>
          <w:bottom w:val="nil"/>
          <w:right w:val="nil"/>
          <w:between w:val="nil"/>
        </w:pBdr>
        <w:spacing w:after="0"/>
        <w:ind w:leftChars="0"/>
        <w:jc w:val="left"/>
        <w:rPr>
          <w:rFonts w:eastAsia="Times New Roman"/>
          <w:color w:val="000000"/>
          <w:highlight w:val="white"/>
        </w:rPr>
      </w:pPr>
      <w:proofErr w:type="spellStart"/>
      <w:proofErr w:type="gramStart"/>
      <w:r w:rsidRPr="00BB3947">
        <w:rPr>
          <w:rFonts w:eastAsia="Times New Roman"/>
          <w:color w:val="000000"/>
          <w:highlight w:val="white"/>
        </w:rPr>
        <w:t>EF</w:t>
      </w:r>
      <w:r w:rsidRPr="00BB3947">
        <w:rPr>
          <w:rFonts w:eastAsia="Times New Roman"/>
          <w:color w:val="000000"/>
          <w:highlight w:val="white"/>
          <w:vertAlign w:val="subscript"/>
        </w:rPr>
        <w:t>SW,j</w:t>
      </w:r>
      <w:proofErr w:type="spellEnd"/>
      <w:proofErr w:type="gramEnd"/>
      <w:r w:rsidRPr="00BB3947">
        <w:rPr>
          <w:rFonts w:eastAsia="Times New Roman"/>
          <w:color w:val="000000"/>
          <w:highlight w:val="white"/>
        </w:rPr>
        <w:t xml:space="preserve"> = TSP mass emission factor from surface wear for vehicles in category j (g/km)</w:t>
      </w:r>
    </w:p>
    <w:p w14:paraId="73404019" w14:textId="77777777" w:rsidR="004C29E9" w:rsidRPr="00A53900" w:rsidRDefault="004C29E9" w:rsidP="004C29E9">
      <w:pPr>
        <w:pStyle w:val="ListParagraph"/>
        <w:numPr>
          <w:ilvl w:val="0"/>
          <w:numId w:val="1"/>
        </w:numPr>
        <w:pBdr>
          <w:top w:val="nil"/>
          <w:left w:val="nil"/>
          <w:bottom w:val="nil"/>
          <w:right w:val="nil"/>
          <w:between w:val="nil"/>
        </w:pBdr>
        <w:ind w:leftChars="0"/>
        <w:jc w:val="left"/>
        <w:rPr>
          <w:rFonts w:eastAsia="Times New Roman"/>
          <w:color w:val="000000"/>
          <w:highlight w:val="white"/>
        </w:rPr>
      </w:pPr>
      <w:proofErr w:type="spellStart"/>
      <w:proofErr w:type="gramStart"/>
      <w:r w:rsidRPr="00BB3947">
        <w:rPr>
          <w:rFonts w:eastAsia="Times New Roman"/>
          <w:color w:val="000000"/>
          <w:highlight w:val="white"/>
        </w:rPr>
        <w:t>F</w:t>
      </w:r>
      <w:r w:rsidRPr="00BB3947">
        <w:rPr>
          <w:rFonts w:eastAsia="Times New Roman"/>
          <w:color w:val="000000"/>
          <w:highlight w:val="white"/>
          <w:vertAlign w:val="subscript"/>
        </w:rPr>
        <w:t>s,i</w:t>
      </w:r>
      <w:proofErr w:type="spellEnd"/>
      <w:proofErr w:type="gramEnd"/>
      <w:r w:rsidRPr="00BB3947">
        <w:rPr>
          <w:rFonts w:eastAsia="Times New Roman"/>
          <w:color w:val="000000"/>
          <w:highlight w:val="white"/>
        </w:rPr>
        <w:t xml:space="preserve"> = </w:t>
      </w:r>
      <w:r w:rsidRPr="00BB3947">
        <w:rPr>
          <w:highlight w:val="white"/>
        </w:rPr>
        <w:t>M</w:t>
      </w:r>
      <w:r w:rsidRPr="00BB3947">
        <w:rPr>
          <w:rFonts w:eastAsia="Times New Roman"/>
          <w:color w:val="000000"/>
          <w:highlight w:val="white"/>
        </w:rPr>
        <w:t xml:space="preserve">ass fraction of TSP that can be attributed to particle size class </w:t>
      </w:r>
      <w:proofErr w:type="spellStart"/>
      <w:r w:rsidRPr="00BB3947">
        <w:rPr>
          <w:rFonts w:eastAsia="Times New Roman"/>
          <w:color w:val="000000"/>
          <w:highlight w:val="white"/>
        </w:rPr>
        <w:t>i</w:t>
      </w:r>
      <w:proofErr w:type="spellEnd"/>
    </w:p>
    <w:p w14:paraId="02E7E8E3" w14:textId="425A0D34" w:rsidR="004C29E9" w:rsidRPr="00A53900" w:rsidRDefault="004C29E9" w:rsidP="004C29E9">
      <w:pPr>
        <w:pStyle w:val="CapTable"/>
      </w:pPr>
      <w:r>
        <w:t xml:space="preserve">Table </w:t>
      </w:r>
      <w:r>
        <w:fldChar w:fldCharType="begin"/>
      </w:r>
      <w:r>
        <w:instrText xml:space="preserve"> SEQ Table \* ARABIC </w:instrText>
      </w:r>
      <w:r>
        <w:fldChar w:fldCharType="separate"/>
      </w:r>
      <w:r w:rsidR="00146F7F">
        <w:rPr>
          <w:noProof/>
        </w:rPr>
        <w:t>7</w:t>
      </w:r>
      <w:r>
        <w:fldChar w:fldCharType="end"/>
      </w:r>
      <w:r>
        <w:t xml:space="preserve"> </w:t>
      </w:r>
      <w:r w:rsidRPr="00A53900">
        <w:t>TSP emission factors from road surface wear</w:t>
      </w:r>
    </w:p>
    <w:tbl>
      <w:tblPr>
        <w:tblStyle w:val="PlainTable5"/>
        <w:tblW w:w="0" w:type="auto"/>
        <w:jc w:val="center"/>
        <w:tblLook w:val="04A0" w:firstRow="1" w:lastRow="0" w:firstColumn="1" w:lastColumn="0" w:noHBand="0" w:noVBand="1"/>
      </w:tblPr>
      <w:tblGrid>
        <w:gridCol w:w="1977"/>
        <w:gridCol w:w="2384"/>
      </w:tblGrid>
      <w:tr w:rsidR="004C29E9" w:rsidRPr="00A53900" w14:paraId="1F2FAA67" w14:textId="77777777" w:rsidTr="0041246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0" w:type="auto"/>
          </w:tcPr>
          <w:p w14:paraId="15DDEBDD" w14:textId="77777777" w:rsidR="004C29E9" w:rsidRPr="00A53900" w:rsidRDefault="004C29E9" w:rsidP="00412469">
            <w:pPr>
              <w:pBdr>
                <w:top w:val="nil"/>
                <w:left w:val="nil"/>
                <w:bottom w:val="nil"/>
                <w:right w:val="nil"/>
                <w:between w:val="nil"/>
              </w:pBdr>
              <w:rPr>
                <w:rFonts w:ascii="Arial" w:eastAsia="Arial" w:hAnsi="Arial" w:cs="Arial"/>
                <w:i w:val="0"/>
                <w:iCs w:val="0"/>
                <w:color w:val="000000"/>
                <w:sz w:val="18"/>
                <w:szCs w:val="18"/>
              </w:rPr>
            </w:pPr>
            <w:r w:rsidRPr="00A53900">
              <w:rPr>
                <w:rFonts w:ascii="Arial" w:eastAsia="Arial" w:hAnsi="Arial" w:cs="Arial"/>
                <w:i w:val="0"/>
                <w:iCs w:val="0"/>
                <w:color w:val="000000"/>
                <w:sz w:val="18"/>
                <w:szCs w:val="18"/>
              </w:rPr>
              <w:t>Vehicle class (j)</w:t>
            </w:r>
          </w:p>
        </w:tc>
        <w:tc>
          <w:tcPr>
            <w:tcW w:w="0" w:type="auto"/>
          </w:tcPr>
          <w:p w14:paraId="7DAE34E1" w14:textId="77777777" w:rsidR="004C29E9" w:rsidRPr="00A53900" w:rsidRDefault="004C29E9" w:rsidP="00412469">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i w:val="0"/>
                <w:iCs w:val="0"/>
                <w:color w:val="000000"/>
                <w:sz w:val="18"/>
                <w:szCs w:val="18"/>
              </w:rPr>
            </w:pPr>
            <w:r w:rsidRPr="00A53900">
              <w:rPr>
                <w:rFonts w:ascii="Arial" w:eastAsia="Arial" w:hAnsi="Arial" w:cs="Arial"/>
                <w:i w:val="0"/>
                <w:iCs w:val="0"/>
                <w:color w:val="000000"/>
                <w:sz w:val="18"/>
                <w:szCs w:val="18"/>
              </w:rPr>
              <w:t>TSP emission factor (g/km)</w:t>
            </w:r>
          </w:p>
        </w:tc>
      </w:tr>
      <w:tr w:rsidR="004C29E9" w:rsidRPr="00A53900" w14:paraId="741B0671" w14:textId="77777777" w:rsidTr="0041246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02A90544" w14:textId="77777777" w:rsidR="004C29E9" w:rsidRPr="00A53900" w:rsidRDefault="004C29E9" w:rsidP="00412469">
            <w:pPr>
              <w:pBdr>
                <w:top w:val="nil"/>
                <w:left w:val="nil"/>
                <w:bottom w:val="nil"/>
                <w:right w:val="nil"/>
                <w:between w:val="nil"/>
              </w:pBdr>
              <w:rPr>
                <w:rFonts w:ascii="Arial" w:eastAsia="Arial" w:hAnsi="Arial" w:cs="Arial"/>
                <w:i w:val="0"/>
                <w:iCs w:val="0"/>
                <w:color w:val="000000"/>
                <w:sz w:val="18"/>
                <w:szCs w:val="18"/>
              </w:rPr>
            </w:pPr>
            <w:r w:rsidRPr="00A53900">
              <w:rPr>
                <w:rFonts w:ascii="Arial" w:eastAsia="Arial" w:hAnsi="Arial" w:cs="Arial"/>
                <w:i w:val="0"/>
                <w:iCs w:val="0"/>
                <w:sz w:val="18"/>
                <w:szCs w:val="18"/>
              </w:rPr>
              <w:t>Two-wheeled</w:t>
            </w:r>
            <w:r w:rsidRPr="00A53900">
              <w:rPr>
                <w:rFonts w:ascii="Arial" w:eastAsia="Arial" w:hAnsi="Arial" w:cs="Arial"/>
                <w:i w:val="0"/>
                <w:iCs w:val="0"/>
                <w:color w:val="000000"/>
                <w:sz w:val="18"/>
                <w:szCs w:val="18"/>
              </w:rPr>
              <w:t xml:space="preserve"> vehicles</w:t>
            </w:r>
          </w:p>
        </w:tc>
        <w:tc>
          <w:tcPr>
            <w:tcW w:w="0" w:type="auto"/>
          </w:tcPr>
          <w:p w14:paraId="293BBEFF" w14:textId="77777777" w:rsidR="004C29E9" w:rsidRPr="00A53900"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A53900">
              <w:rPr>
                <w:rFonts w:ascii="Arial" w:eastAsia="Arial" w:hAnsi="Arial" w:cs="Arial"/>
                <w:color w:val="000000"/>
                <w:sz w:val="18"/>
                <w:szCs w:val="18"/>
              </w:rPr>
              <w:t>0.006</w:t>
            </w:r>
          </w:p>
        </w:tc>
      </w:tr>
      <w:tr w:rsidR="004C29E9" w:rsidRPr="00A53900" w14:paraId="7F7ACCE4" w14:textId="77777777" w:rsidTr="00412469">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4BD30AAC" w14:textId="77777777" w:rsidR="004C29E9" w:rsidRPr="00A53900" w:rsidRDefault="004C29E9" w:rsidP="00412469">
            <w:pPr>
              <w:pBdr>
                <w:top w:val="nil"/>
                <w:left w:val="nil"/>
                <w:bottom w:val="nil"/>
                <w:right w:val="nil"/>
                <w:between w:val="nil"/>
              </w:pBdr>
              <w:rPr>
                <w:rFonts w:ascii="Arial" w:eastAsia="Arial" w:hAnsi="Arial" w:cs="Arial"/>
                <w:i w:val="0"/>
                <w:iCs w:val="0"/>
                <w:color w:val="000000"/>
                <w:sz w:val="18"/>
                <w:szCs w:val="18"/>
              </w:rPr>
            </w:pPr>
            <w:r w:rsidRPr="00A53900">
              <w:rPr>
                <w:rFonts w:ascii="Arial" w:eastAsia="Arial" w:hAnsi="Arial" w:cs="Arial"/>
                <w:i w:val="0"/>
                <w:iCs w:val="0"/>
                <w:color w:val="000000"/>
                <w:sz w:val="18"/>
                <w:szCs w:val="18"/>
              </w:rPr>
              <w:t>Passenger cars</w:t>
            </w:r>
          </w:p>
        </w:tc>
        <w:tc>
          <w:tcPr>
            <w:tcW w:w="0" w:type="auto"/>
          </w:tcPr>
          <w:p w14:paraId="7A4D386E" w14:textId="77777777" w:rsidR="004C29E9" w:rsidRPr="00A53900"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A53900">
              <w:rPr>
                <w:rFonts w:ascii="Arial" w:eastAsia="Arial" w:hAnsi="Arial" w:cs="Arial"/>
                <w:color w:val="000000"/>
                <w:sz w:val="18"/>
                <w:szCs w:val="18"/>
              </w:rPr>
              <w:t>0.015</w:t>
            </w:r>
          </w:p>
        </w:tc>
      </w:tr>
      <w:tr w:rsidR="004C29E9" w:rsidRPr="00A53900" w14:paraId="3C978068" w14:textId="77777777" w:rsidTr="0041246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25134DA0" w14:textId="77777777" w:rsidR="004C29E9" w:rsidRPr="00A53900" w:rsidRDefault="004C29E9" w:rsidP="00412469">
            <w:pPr>
              <w:pBdr>
                <w:top w:val="nil"/>
                <w:left w:val="nil"/>
                <w:bottom w:val="nil"/>
                <w:right w:val="nil"/>
                <w:between w:val="nil"/>
              </w:pBdr>
              <w:rPr>
                <w:rFonts w:ascii="Arial" w:eastAsia="Arial" w:hAnsi="Arial" w:cs="Arial"/>
                <w:i w:val="0"/>
                <w:iCs w:val="0"/>
                <w:color w:val="000000"/>
                <w:sz w:val="18"/>
                <w:szCs w:val="18"/>
              </w:rPr>
            </w:pPr>
            <w:r w:rsidRPr="00A53900">
              <w:rPr>
                <w:rFonts w:ascii="Arial" w:eastAsia="Arial" w:hAnsi="Arial" w:cs="Arial"/>
                <w:i w:val="0"/>
                <w:iCs w:val="0"/>
                <w:color w:val="000000"/>
                <w:sz w:val="18"/>
                <w:szCs w:val="18"/>
              </w:rPr>
              <w:t>Light-duty trucks</w:t>
            </w:r>
          </w:p>
        </w:tc>
        <w:tc>
          <w:tcPr>
            <w:tcW w:w="0" w:type="auto"/>
          </w:tcPr>
          <w:p w14:paraId="7095C445" w14:textId="77777777" w:rsidR="004C29E9" w:rsidRPr="00A53900"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A53900">
              <w:rPr>
                <w:rFonts w:ascii="Arial" w:eastAsia="Arial" w:hAnsi="Arial" w:cs="Arial"/>
                <w:color w:val="000000"/>
                <w:sz w:val="18"/>
                <w:szCs w:val="18"/>
              </w:rPr>
              <w:t>0.015</w:t>
            </w:r>
          </w:p>
        </w:tc>
      </w:tr>
      <w:tr w:rsidR="004C29E9" w:rsidRPr="00A53900" w14:paraId="6E234253" w14:textId="77777777" w:rsidTr="00412469">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1B25DAA5" w14:textId="77777777" w:rsidR="004C29E9" w:rsidRPr="00A53900" w:rsidRDefault="004C29E9" w:rsidP="00412469">
            <w:pPr>
              <w:pBdr>
                <w:top w:val="nil"/>
                <w:left w:val="nil"/>
                <w:bottom w:val="nil"/>
                <w:right w:val="nil"/>
                <w:between w:val="nil"/>
              </w:pBdr>
              <w:rPr>
                <w:rFonts w:ascii="Arial" w:eastAsia="Arial" w:hAnsi="Arial" w:cs="Arial"/>
                <w:i w:val="0"/>
                <w:iCs w:val="0"/>
                <w:color w:val="000000"/>
                <w:sz w:val="18"/>
                <w:szCs w:val="18"/>
              </w:rPr>
            </w:pPr>
            <w:r w:rsidRPr="00A53900">
              <w:rPr>
                <w:rFonts w:ascii="Arial" w:eastAsia="Arial" w:hAnsi="Arial" w:cs="Arial"/>
                <w:i w:val="0"/>
                <w:iCs w:val="0"/>
                <w:color w:val="000000"/>
                <w:sz w:val="18"/>
                <w:szCs w:val="18"/>
              </w:rPr>
              <w:t>Heavy-duty vehicles</w:t>
            </w:r>
          </w:p>
        </w:tc>
        <w:tc>
          <w:tcPr>
            <w:tcW w:w="0" w:type="auto"/>
          </w:tcPr>
          <w:p w14:paraId="16419CA6" w14:textId="77777777" w:rsidR="004C29E9" w:rsidRPr="00A53900"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A53900">
              <w:rPr>
                <w:rFonts w:ascii="Arial" w:eastAsia="Arial" w:hAnsi="Arial" w:cs="Arial"/>
                <w:color w:val="000000"/>
                <w:sz w:val="18"/>
                <w:szCs w:val="18"/>
              </w:rPr>
              <w:t>0.076</w:t>
            </w:r>
          </w:p>
        </w:tc>
      </w:tr>
    </w:tbl>
    <w:p w14:paraId="59B468EE" w14:textId="77777777" w:rsidR="004C29E9" w:rsidRPr="00DA325E" w:rsidRDefault="004C29E9" w:rsidP="004C29E9">
      <w:pPr>
        <w:jc w:val="center"/>
        <w:rPr>
          <w:highlight w:val="white"/>
        </w:rPr>
      </w:pPr>
    </w:p>
    <w:p w14:paraId="792A592F" w14:textId="6A3F7E1D" w:rsidR="004C29E9" w:rsidRDefault="004C29E9" w:rsidP="004C29E9">
      <w:pPr>
        <w:pStyle w:val="CapTable"/>
      </w:pPr>
      <w:r>
        <w:t xml:space="preserve">Table </w:t>
      </w:r>
      <w:r>
        <w:fldChar w:fldCharType="begin"/>
      </w:r>
      <w:r>
        <w:instrText xml:space="preserve"> SEQ Table \* ARABIC </w:instrText>
      </w:r>
      <w:r>
        <w:fldChar w:fldCharType="separate"/>
      </w:r>
      <w:r w:rsidR="00146F7F">
        <w:rPr>
          <w:noProof/>
        </w:rPr>
        <w:t>8</w:t>
      </w:r>
      <w:r>
        <w:fldChar w:fldCharType="end"/>
      </w:r>
      <w:r>
        <w:t xml:space="preserve"> </w:t>
      </w:r>
      <w:r w:rsidRPr="00A53900">
        <w:t>Size distribution of road surface wear particles</w:t>
      </w:r>
    </w:p>
    <w:tbl>
      <w:tblPr>
        <w:tblStyle w:val="PlainTable5"/>
        <w:tblW w:w="0" w:type="auto"/>
        <w:jc w:val="center"/>
        <w:tblLook w:val="04A0" w:firstRow="1" w:lastRow="0" w:firstColumn="1" w:lastColumn="0" w:noHBand="0" w:noVBand="1"/>
      </w:tblPr>
      <w:tblGrid>
        <w:gridCol w:w="1857"/>
        <w:gridCol w:w="2384"/>
      </w:tblGrid>
      <w:tr w:rsidR="004C29E9" w:rsidRPr="00A53900" w14:paraId="765F83B8" w14:textId="77777777" w:rsidTr="0041246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0" w:type="auto"/>
          </w:tcPr>
          <w:p w14:paraId="68AC6166" w14:textId="77777777" w:rsidR="004C29E9" w:rsidRPr="00A53900" w:rsidRDefault="004C29E9" w:rsidP="00412469">
            <w:pPr>
              <w:pBdr>
                <w:top w:val="nil"/>
                <w:left w:val="nil"/>
                <w:bottom w:val="nil"/>
                <w:right w:val="nil"/>
                <w:between w:val="nil"/>
              </w:pBdr>
              <w:rPr>
                <w:rFonts w:ascii="Arial" w:eastAsia="Arial" w:hAnsi="Arial" w:cs="Arial"/>
                <w:i w:val="0"/>
                <w:iCs w:val="0"/>
                <w:color w:val="000000"/>
                <w:sz w:val="18"/>
                <w:szCs w:val="18"/>
              </w:rPr>
            </w:pPr>
            <w:r w:rsidRPr="00A53900">
              <w:rPr>
                <w:rFonts w:ascii="Arial" w:eastAsia="Arial" w:hAnsi="Arial" w:cs="Arial"/>
                <w:i w:val="0"/>
                <w:iCs w:val="0"/>
                <w:color w:val="000000"/>
                <w:sz w:val="18"/>
                <w:szCs w:val="18"/>
              </w:rPr>
              <w:t>Particle size class (</w:t>
            </w:r>
            <w:proofErr w:type="spellStart"/>
            <w:r w:rsidRPr="00A53900">
              <w:rPr>
                <w:rFonts w:ascii="Arial" w:eastAsia="Arial" w:hAnsi="Arial" w:cs="Arial"/>
                <w:i w:val="0"/>
                <w:iCs w:val="0"/>
                <w:color w:val="000000"/>
                <w:sz w:val="18"/>
                <w:szCs w:val="18"/>
              </w:rPr>
              <w:t>i</w:t>
            </w:r>
            <w:proofErr w:type="spellEnd"/>
            <w:r w:rsidRPr="00A53900">
              <w:rPr>
                <w:rFonts w:ascii="Arial" w:eastAsia="Arial" w:hAnsi="Arial" w:cs="Arial"/>
                <w:i w:val="0"/>
                <w:iCs w:val="0"/>
                <w:color w:val="000000"/>
                <w:sz w:val="18"/>
                <w:szCs w:val="18"/>
              </w:rPr>
              <w:t>)</w:t>
            </w:r>
          </w:p>
        </w:tc>
        <w:tc>
          <w:tcPr>
            <w:tcW w:w="0" w:type="auto"/>
          </w:tcPr>
          <w:p w14:paraId="382173AD" w14:textId="77777777" w:rsidR="004C29E9" w:rsidRPr="00A53900" w:rsidRDefault="004C29E9" w:rsidP="00412469">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i w:val="0"/>
                <w:iCs w:val="0"/>
                <w:color w:val="000000"/>
                <w:sz w:val="18"/>
                <w:szCs w:val="18"/>
              </w:rPr>
            </w:pPr>
            <w:r w:rsidRPr="00A53900">
              <w:rPr>
                <w:rFonts w:ascii="Arial" w:eastAsia="Arial" w:hAnsi="Arial" w:cs="Arial"/>
                <w:i w:val="0"/>
                <w:iCs w:val="0"/>
                <w:color w:val="000000"/>
                <w:sz w:val="18"/>
                <w:szCs w:val="18"/>
              </w:rPr>
              <w:t>Mass fraction (</w:t>
            </w:r>
            <w:proofErr w:type="spellStart"/>
            <w:proofErr w:type="gramStart"/>
            <w:r w:rsidRPr="00A53900">
              <w:rPr>
                <w:rFonts w:ascii="Arial" w:eastAsia="Arial" w:hAnsi="Arial" w:cs="Arial"/>
                <w:i w:val="0"/>
                <w:iCs w:val="0"/>
                <w:color w:val="000000"/>
                <w:sz w:val="18"/>
                <w:szCs w:val="18"/>
              </w:rPr>
              <w:t>FR,i</w:t>
            </w:r>
            <w:proofErr w:type="spellEnd"/>
            <w:proofErr w:type="gramEnd"/>
            <w:r w:rsidRPr="00A53900">
              <w:rPr>
                <w:rFonts w:ascii="Arial" w:eastAsia="Arial" w:hAnsi="Arial" w:cs="Arial"/>
                <w:i w:val="0"/>
                <w:iCs w:val="0"/>
                <w:color w:val="000000"/>
                <w:sz w:val="18"/>
                <w:szCs w:val="18"/>
              </w:rPr>
              <w:t>) of TSP</w:t>
            </w:r>
          </w:p>
        </w:tc>
      </w:tr>
      <w:tr w:rsidR="004C29E9" w:rsidRPr="00A53900" w14:paraId="1E29B4F1" w14:textId="77777777" w:rsidTr="0041246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494D1BCF" w14:textId="77777777" w:rsidR="004C29E9" w:rsidRPr="00A53900" w:rsidRDefault="004C29E9" w:rsidP="00412469">
            <w:pPr>
              <w:pBdr>
                <w:top w:val="nil"/>
                <w:left w:val="nil"/>
                <w:bottom w:val="nil"/>
                <w:right w:val="nil"/>
                <w:between w:val="nil"/>
              </w:pBdr>
              <w:rPr>
                <w:rFonts w:ascii="Arial" w:eastAsia="Arial" w:hAnsi="Arial" w:cs="Arial"/>
                <w:i w:val="0"/>
                <w:iCs w:val="0"/>
                <w:color w:val="000000"/>
                <w:sz w:val="18"/>
                <w:szCs w:val="18"/>
              </w:rPr>
            </w:pPr>
            <w:r w:rsidRPr="00A53900">
              <w:rPr>
                <w:rFonts w:ascii="Arial" w:eastAsia="Arial" w:hAnsi="Arial" w:cs="Arial"/>
                <w:i w:val="0"/>
                <w:iCs w:val="0"/>
                <w:color w:val="000000"/>
                <w:sz w:val="18"/>
                <w:szCs w:val="18"/>
              </w:rPr>
              <w:t>TSP</w:t>
            </w:r>
          </w:p>
        </w:tc>
        <w:tc>
          <w:tcPr>
            <w:tcW w:w="0" w:type="auto"/>
          </w:tcPr>
          <w:p w14:paraId="2E30B8AE" w14:textId="77777777" w:rsidR="004C29E9" w:rsidRPr="00A53900"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A53900">
              <w:rPr>
                <w:rFonts w:ascii="Arial" w:eastAsia="Arial" w:hAnsi="Arial" w:cs="Arial"/>
                <w:color w:val="000000"/>
                <w:sz w:val="18"/>
                <w:szCs w:val="18"/>
              </w:rPr>
              <w:t>1</w:t>
            </w:r>
          </w:p>
        </w:tc>
      </w:tr>
      <w:tr w:rsidR="004C29E9" w:rsidRPr="00A53900" w14:paraId="4F8FE142" w14:textId="77777777" w:rsidTr="00412469">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410F5133" w14:textId="77777777" w:rsidR="004C29E9" w:rsidRPr="00A53900" w:rsidRDefault="004C29E9" w:rsidP="00412469">
            <w:pPr>
              <w:pBdr>
                <w:top w:val="nil"/>
                <w:left w:val="nil"/>
                <w:bottom w:val="nil"/>
                <w:right w:val="nil"/>
                <w:between w:val="nil"/>
              </w:pBdr>
              <w:rPr>
                <w:rFonts w:ascii="Arial" w:eastAsia="Arial" w:hAnsi="Arial" w:cs="Arial"/>
                <w:i w:val="0"/>
                <w:iCs w:val="0"/>
                <w:color w:val="000000"/>
                <w:sz w:val="18"/>
                <w:szCs w:val="18"/>
              </w:rPr>
            </w:pPr>
            <w:r w:rsidRPr="00A53900">
              <w:rPr>
                <w:rFonts w:ascii="Arial" w:eastAsia="Arial" w:hAnsi="Arial" w:cs="Arial"/>
                <w:i w:val="0"/>
                <w:iCs w:val="0"/>
                <w:color w:val="000000"/>
                <w:sz w:val="18"/>
                <w:szCs w:val="18"/>
              </w:rPr>
              <w:t>PM</w:t>
            </w:r>
            <w:r w:rsidRPr="00A53900">
              <w:rPr>
                <w:rFonts w:ascii="Arial" w:eastAsia="Arial" w:hAnsi="Arial" w:cs="Arial"/>
                <w:i w:val="0"/>
                <w:iCs w:val="0"/>
                <w:color w:val="000000"/>
                <w:sz w:val="18"/>
                <w:szCs w:val="18"/>
                <w:vertAlign w:val="subscript"/>
              </w:rPr>
              <w:t>10</w:t>
            </w:r>
          </w:p>
        </w:tc>
        <w:tc>
          <w:tcPr>
            <w:tcW w:w="0" w:type="auto"/>
          </w:tcPr>
          <w:p w14:paraId="03AAEE98" w14:textId="77777777" w:rsidR="004C29E9" w:rsidRPr="00A53900"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A53900">
              <w:rPr>
                <w:rFonts w:ascii="Arial" w:eastAsia="Arial" w:hAnsi="Arial" w:cs="Arial"/>
                <w:color w:val="000000"/>
                <w:sz w:val="18"/>
                <w:szCs w:val="18"/>
              </w:rPr>
              <w:t>0.5</w:t>
            </w:r>
          </w:p>
        </w:tc>
      </w:tr>
      <w:tr w:rsidR="004C29E9" w:rsidRPr="00A53900" w14:paraId="6B55754E" w14:textId="77777777" w:rsidTr="0041246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14:paraId="5DC188FA" w14:textId="77777777" w:rsidR="004C29E9" w:rsidRPr="00A53900" w:rsidRDefault="004C29E9" w:rsidP="00412469">
            <w:pPr>
              <w:pBdr>
                <w:top w:val="nil"/>
                <w:left w:val="nil"/>
                <w:bottom w:val="nil"/>
                <w:right w:val="nil"/>
                <w:between w:val="nil"/>
              </w:pBdr>
              <w:rPr>
                <w:rFonts w:ascii="Arial" w:eastAsia="Arial" w:hAnsi="Arial" w:cs="Arial"/>
                <w:i w:val="0"/>
                <w:iCs w:val="0"/>
                <w:color w:val="000000"/>
                <w:sz w:val="18"/>
                <w:szCs w:val="18"/>
              </w:rPr>
            </w:pPr>
            <w:r w:rsidRPr="00A53900">
              <w:rPr>
                <w:rFonts w:ascii="Arial" w:eastAsia="Arial" w:hAnsi="Arial" w:cs="Arial"/>
                <w:i w:val="0"/>
                <w:iCs w:val="0"/>
                <w:color w:val="000000"/>
                <w:sz w:val="18"/>
                <w:szCs w:val="18"/>
              </w:rPr>
              <w:t>PM</w:t>
            </w:r>
            <w:r w:rsidRPr="00A53900">
              <w:rPr>
                <w:rFonts w:ascii="Arial" w:eastAsia="Arial" w:hAnsi="Arial" w:cs="Arial"/>
                <w:i w:val="0"/>
                <w:iCs w:val="0"/>
                <w:color w:val="000000"/>
                <w:sz w:val="18"/>
                <w:szCs w:val="18"/>
                <w:vertAlign w:val="subscript"/>
              </w:rPr>
              <w:t>2.5</w:t>
            </w:r>
          </w:p>
        </w:tc>
        <w:tc>
          <w:tcPr>
            <w:tcW w:w="0" w:type="auto"/>
          </w:tcPr>
          <w:p w14:paraId="64B0BD27" w14:textId="77777777" w:rsidR="004C29E9" w:rsidRPr="00A53900"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A53900">
              <w:rPr>
                <w:rFonts w:ascii="Arial" w:eastAsia="Arial" w:hAnsi="Arial" w:cs="Arial"/>
                <w:color w:val="000000"/>
                <w:sz w:val="18"/>
                <w:szCs w:val="18"/>
              </w:rPr>
              <w:t>0.27</w:t>
            </w:r>
          </w:p>
        </w:tc>
      </w:tr>
    </w:tbl>
    <w:p w14:paraId="48822001" w14:textId="77777777" w:rsidR="004C29E9" w:rsidRPr="00DA325E" w:rsidRDefault="004C29E9" w:rsidP="004C29E9">
      <w:pPr>
        <w:rPr>
          <w:highlight w:val="white"/>
        </w:rPr>
      </w:pPr>
    </w:p>
    <w:p w14:paraId="4312AB24" w14:textId="64A750BA" w:rsidR="004C29E9" w:rsidRPr="00DA325E" w:rsidRDefault="004C29E9" w:rsidP="009E4981">
      <w:pPr>
        <w:pStyle w:val="Heading1"/>
        <w:rPr>
          <w:highlight w:val="white"/>
        </w:rPr>
      </w:pPr>
      <w:r w:rsidRPr="00DA325E">
        <w:rPr>
          <w:highlight w:val="white"/>
        </w:rPr>
        <w:t>4</w:t>
      </w:r>
      <w:r w:rsidR="009E4981">
        <w:rPr>
          <w:highlight w:val="white"/>
        </w:rPr>
        <w:t>.</w:t>
      </w:r>
      <w:r w:rsidRPr="00DA325E">
        <w:rPr>
          <w:highlight w:val="white"/>
        </w:rPr>
        <w:t xml:space="preserve"> Dispersion and Dilution</w:t>
      </w:r>
    </w:p>
    <w:p w14:paraId="3E3C69AE" w14:textId="66405027" w:rsidR="004C29E9" w:rsidRPr="00DA325E" w:rsidRDefault="004C29E9" w:rsidP="004C29E9">
      <w:pPr>
        <w:rPr>
          <w:highlight w:val="white"/>
        </w:rPr>
      </w:pPr>
      <w:r w:rsidRPr="00DA325E">
        <w:rPr>
          <w:highlight w:val="white"/>
        </w:rPr>
        <w:t>There are many dispersion models applicable for exhaust emissions, but according to early research</w:t>
      </w:r>
      <w:r>
        <w:rPr>
          <w:highlight w:val="white"/>
        </w:rPr>
        <w:t xml:space="preserve"> </w:t>
      </w:r>
      <w:r>
        <w:rPr>
          <w:highlight w:val="white"/>
        </w:rPr>
        <w:fldChar w:fldCharType="begin" w:fldLock="1"/>
      </w:r>
      <w:r w:rsidR="00204F96">
        <w:rPr>
          <w:highlight w:val="white"/>
        </w:rPr>
        <w:instrText>ADDIN CSL_CITATION {"citationItems":[{"id":"ITEM-1","itemData":{"DOI":"10.1016/j.atmosenv.2013.01.040","ISSN":"13522310","abstract":"In addition to industrial facilities, fuel combustion, forest fires and dust erosion, exhaust and non-exhaust vehicle emissions are an important source of ambient air respirable particulate matter (PM10). Non-exhaust vehicle emissions are formed from wear particles of vehicle components such as brakes, clutches, chassis and tires. Although the non-exhaust particles are relatively minor contributors to the overall ambient air particulate load, reliable exposure estimates are few. In this study, a global sampling program was conducted to quantify tire and road wear particles (TRWP) in the ambient air in order to understand potential human exposures and the overall contribution of these particles to the PM10. The sampling was conducted in Europe, the United States and Japan and the sampling locations were selected to represent a variety of settings including both rural and urban core; and within each residential, commercial and recreational receptors. The air samples were analyzed using validated chemical markers for rubber polymer based on a pyrolysis technique. Results indicated that TRWP concentrations in the PM10 fraction were low with averages ranging from 0.05 to 0.70 $μ$g m-3, representing an average PM10 contribution of 0.84{\\%}. The TRWP concentration in air was associated with traffic load and population density, but the trend was not statistically significant. Further, significant differences across days were not observed. This study provides a robust dataset to understand potential human exposures to airborne TRWP. ©2013 Elsevier Ltd.","author":[{"dropping-particle":"","family":"Panko","given":"Julie","non-dropping-particle":"","parse-names":false,"suffix":""},{"dropping-particle":"","family":"Chu","given":"Jennifer","non-dropping-particle":"","parse-names":false,"suffix":""},{"dropping-particle":"","family":"Kreider","given":"Marisa L","non-dropping-particle":"","parse-names":false,"suffix":""},{"dropping-particle":"","family":"Unice","given":"Ken M","non-dropping-particle":"","parse-names":false,"suffix":""}],"container-title":"Atmospheric Environment","id":"ITEM-1","issued":{"date-parts":[["2013"]]},"page":"192-199","publisher":"Elsevier Ltd","title":"Measurement of airborne concentrations of tire and road wear particles in urban and rural areas of France, Japan, and the United States","type":"article-journal","volume":"72"},"uris":["http://www.mendeley.com/documents/?uuid=cedbb622-6ae2-4183-a65d-8c25c5df6aba"]},{"id":"ITEM-2","itemData":{"DOI":"10.1038/jes.2013.6","ISBN":"1559-064X (Electronic)$\\backslash$r1559-0631 (Linking)","ISSN":"1559-064X","PMID":"23443237","abstract":"The London household survey has shown that people travel and are exposed to air pollutants differently. This argues for human exposure to be based upon space-time-activity data and spatio-temporal air quality predictions. For the latter, we have demonstrated the role that dispersion models can play by using two complimentary models, KCLurban, which gives source apportionment information, and Community Multi-scale Air Quality Model (CMAQ)-urban, which predicts hourly air quality. The KCLurban model is in close agreement with observations of NO(X), NO(2) and particulate matter (PM)(10/2.5), having a small normalised mean bias (-6{\\%} to 4{\\%}) and a large Index of Agreement (0.71-0.88). The temporal trends of NO(X) from the CMAQ-urban model are also in reasonable agreement with observations. Spatially, NO(2) predictions show that within 10's of metres of major roads, concentrations can range from approximately 10-20 p.p.b. up to 70 p.p.b. and that for PM(10/2.5) central London roadside concentrations are approximately double the suburban background concentrations. Exposure to different PM sources is important and we predict that brake wear-related PM(10) concentrations are approximately eight times greater near major roads than at suburban background locations. Temporally, we have shown that average NO(X) concentrations close to roads can range by a factor of approximately six between the early morning minimum and morning rush hour maximum periods. These results present strong arguments for the hybrid exposure model under development at King's and, in future, for in-building models and a model for the London Underground.","author":[{"dropping-particle":"","family":"Beevers","given":"Sean D","non-dropping-particle":"","parse-names":false,"suffix":""},{"dropping-particle":"","family":"Kitwiroon","given":"Nutthida","non-dropping-particle":"","parse-names":false,"suffix":""},{"dropping-particle":"","family":"Williams","given":"Martin L","non-dropping-particle":"","parse-names":false,"suffix":""},{"dropping-particle":"","family":"Kelly","given":"Frank J","non-dropping-particle":"","parse-names":false,"suffix":""},{"dropping-particle":"","family":"Ross Anderson","given":"H","non-dropping-particle":"","parse-names":false,"suffix":""},{"dropping-particle":"","family":"Carslaw","given":"David C","non-dropping-particle":"","parse-names":false,"suffix":""}],"container-title":"Journal of exposure science {\\&amp;} environmental epidemiology","id":"ITEM-2","issue":"6","issued":{"date-parts":[["2013"]]},"page":"647-653","publisher":"Nature Publishing Group","title":"Air pollution dispersion models for human exposure predictions in London.","type":"article-journal","volume":"23"},"uris":["http://www.mendeley.com/documents/?uuid=72be8ffd-adc7-49de-9c8a-94cd02da6efc"]}],"mendeley":{"formattedCitation":"(Beevers &lt;i&gt;et al.&lt;/i&gt;, 2013; Panko &lt;i&gt;et al.&lt;/i&gt;, 2013)","plainTextFormattedCitation":"(Beevers et al., 2013; Panko et al., 2013)","previouslyFormattedCitation":"(Beevers &lt;i&gt;et al.&lt;/i&gt;, 2013; Panko &lt;i&gt;et al.&lt;/i&gt;, 2013)"},"properties":{"noteIndex":0},"schema":"https://github.com/citation-style-language/schema/raw/master/csl-citation.json"}</w:instrText>
      </w:r>
      <w:r>
        <w:rPr>
          <w:highlight w:val="white"/>
        </w:rPr>
        <w:fldChar w:fldCharType="separate"/>
      </w:r>
      <w:r w:rsidR="00CF264F" w:rsidRPr="00CF264F">
        <w:rPr>
          <w:noProof/>
          <w:highlight w:val="white"/>
        </w:rPr>
        <w:t xml:space="preserve">(Beevers </w:t>
      </w:r>
      <w:r w:rsidR="00CF264F" w:rsidRPr="00CF264F">
        <w:rPr>
          <w:i/>
          <w:noProof/>
          <w:highlight w:val="white"/>
        </w:rPr>
        <w:t>et al.</w:t>
      </w:r>
      <w:r w:rsidR="00CF264F" w:rsidRPr="00CF264F">
        <w:rPr>
          <w:noProof/>
          <w:highlight w:val="white"/>
        </w:rPr>
        <w:t xml:space="preserve">, 2013; Panko </w:t>
      </w:r>
      <w:r w:rsidR="00CF264F" w:rsidRPr="00CF264F">
        <w:rPr>
          <w:i/>
          <w:noProof/>
          <w:highlight w:val="white"/>
        </w:rPr>
        <w:t>et al.</w:t>
      </w:r>
      <w:r w:rsidR="00CF264F" w:rsidRPr="00CF264F">
        <w:rPr>
          <w:noProof/>
          <w:highlight w:val="white"/>
        </w:rPr>
        <w:t>, 2013)</w:t>
      </w:r>
      <w:r>
        <w:rPr>
          <w:highlight w:val="white"/>
        </w:rPr>
        <w:fldChar w:fldCharType="end"/>
      </w:r>
      <w:r w:rsidRPr="00DA325E">
        <w:rPr>
          <w:highlight w:val="white"/>
        </w:rPr>
        <w:t>, many things related to non-exhaust dispersion remain unknown. The University of California, Riverside (UCR) team is conducting an ongoing project to understand the severity of non-exhaust emissions at nearer roads and is currently testing non-exhaust parameters in their existing dispersion model</w:t>
      </w:r>
      <w:r w:rsidRPr="00DA325E">
        <w:rPr>
          <w:highlight w:val="white"/>
          <w:vertAlign w:val="superscript"/>
        </w:rPr>
        <w:footnoteReference w:id="1"/>
      </w:r>
      <w:r w:rsidRPr="00DA325E">
        <w:rPr>
          <w:highlight w:val="white"/>
        </w:rPr>
        <w:t xml:space="preserve">. In line with the UCR project, this study also attempts to disperse pollution with a spread function, in-cone in </w:t>
      </w:r>
      <w:proofErr w:type="spellStart"/>
      <w:r w:rsidRPr="00DA325E">
        <w:rPr>
          <w:highlight w:val="white"/>
        </w:rPr>
        <w:t>NetLogo</w:t>
      </w:r>
      <w:proofErr w:type="spellEnd"/>
      <w:r w:rsidRPr="00DA325E">
        <w:rPr>
          <w:highlight w:val="white"/>
        </w:rPr>
        <w:t>, as a surrogate of dust resuspension.</w:t>
      </w:r>
    </w:p>
    <w:p w14:paraId="2EAF1DBD" w14:textId="2369717D" w:rsidR="004C29E9" w:rsidRPr="00DA325E" w:rsidRDefault="004C29E9" w:rsidP="004C29E9">
      <w:pPr>
        <w:rPr>
          <w:highlight w:val="white"/>
        </w:rPr>
      </w:pPr>
      <w:r w:rsidRPr="00DA325E">
        <w:rPr>
          <w:highlight w:val="white"/>
        </w:rPr>
        <w:t xml:space="preserve">Dilution with non-combustible dust varies by meteorological or ventilation conditions. Less road dust would be generated on rainy days due to the additional weight that is deposited by the particle substances on the ground, and during night hours when there is less traffic. Cities like Seoul have employed water spraying trucks to spray moisture on the roads on dry days, which adheres </w:t>
      </w:r>
      <w:r>
        <w:rPr>
          <w:highlight w:val="white"/>
        </w:rPr>
        <w:t xml:space="preserve">to </w:t>
      </w:r>
      <w:r w:rsidRPr="00DA325E">
        <w:rPr>
          <w:highlight w:val="white"/>
        </w:rPr>
        <w:t>the particles on the ground as well as keeps the resuspension low as possible. Since this study does not consider humidity or rain effects, the model will use the case from</w:t>
      </w:r>
      <w:r>
        <w:rPr>
          <w:highlight w:val="white"/>
        </w:rPr>
        <w:t xml:space="preserve"> </w:t>
      </w:r>
      <w:r>
        <w:rPr>
          <w:highlight w:val="white"/>
        </w:rPr>
        <w:fldChar w:fldCharType="begin" w:fldLock="1"/>
      </w:r>
      <w:r w:rsidR="00204F96">
        <w:rPr>
          <w:highlight w:val="white"/>
        </w:rPr>
        <w:instrText>ADDIN CSL_CITATION {"citationItems":[{"id":"ITEM-1","itemData":{"author":[{"dropping-particle":"","family":"Nikolova","given":"Irina","non-dropping-particle":"","parse-names":false,"suffix":""},{"dropping-particle":"","family":"Janssen","given":"Stijn","non-dropping-particle":"","parse-names":false,"suffix":""},{"dropping-particle":"","family":"Vos","given":"Peter","non-dropping-particle":"","parse-names":false,"suffix":""},{"dropping-particle":"","family":"Berghmans","given":"Patrick","non-dropping-particle":"","parse-names":false,"suffix":""}],"container-title":"Aerosol Air Qual. Res","id":"ITEM-1","issue":"1","issued":{"date-parts":[["2014"]]},"page":"145-155","title":"Modelling the mixing of size resolved traffic induced and background ultrafine particles from an urban street canyon to adjacent backyards","type":"article-journal","volume":"14"},"uris":["http://www.mendeley.com/documents/?uuid=5b020359-977c-4d0e-bb14-25730ebb6b9e"]}],"mendeley":{"formattedCitation":"(Nikolova &lt;i&gt;et al.&lt;/i&gt;, 2014)","plainTextFormattedCitation":"(Nikolova et al., 2014)","previouslyFormattedCitation":"(Nikolova &lt;i&gt;et al.&lt;/i&gt;, 2014)"},"properties":{"noteIndex":0},"schema":"https://github.com/citation-style-language/schema/raw/master/csl-citation.json"}</w:instrText>
      </w:r>
      <w:r>
        <w:rPr>
          <w:highlight w:val="white"/>
        </w:rPr>
        <w:fldChar w:fldCharType="separate"/>
      </w:r>
      <w:r w:rsidR="00CF264F" w:rsidRPr="00CF264F">
        <w:rPr>
          <w:noProof/>
          <w:highlight w:val="white"/>
        </w:rPr>
        <w:t xml:space="preserve">(Nikolova </w:t>
      </w:r>
      <w:r w:rsidR="00CF264F" w:rsidRPr="00CF264F">
        <w:rPr>
          <w:i/>
          <w:noProof/>
          <w:highlight w:val="white"/>
        </w:rPr>
        <w:t>et al.</w:t>
      </w:r>
      <w:r w:rsidR="00CF264F" w:rsidRPr="00CF264F">
        <w:rPr>
          <w:noProof/>
          <w:highlight w:val="white"/>
        </w:rPr>
        <w:t>, 2014)</w:t>
      </w:r>
      <w:r>
        <w:rPr>
          <w:highlight w:val="white"/>
        </w:rPr>
        <w:fldChar w:fldCharType="end"/>
      </w:r>
      <w:r w:rsidRPr="00DA325E">
        <w:rPr>
          <w:highlight w:val="white"/>
        </w:rPr>
        <w:t xml:space="preserve">, where it takes 110 seconds to dilute completely. In </w:t>
      </w:r>
      <w:proofErr w:type="spellStart"/>
      <w:r w:rsidRPr="00DA325E">
        <w:rPr>
          <w:highlight w:val="white"/>
        </w:rPr>
        <w:t>NetLogo</w:t>
      </w:r>
      <w:proofErr w:type="spellEnd"/>
      <w:r w:rsidRPr="00DA325E">
        <w:rPr>
          <w:highlight w:val="white"/>
        </w:rPr>
        <w:t>, this is assigned as three random ticks – ranging between 0-2 minutes. This study further investigates the sensitivity of road PM</w:t>
      </w:r>
      <w:r w:rsidRPr="00DA325E">
        <w:rPr>
          <w:highlight w:val="white"/>
          <w:vertAlign w:val="subscript"/>
        </w:rPr>
        <w:t>10</w:t>
      </w:r>
      <w:r w:rsidRPr="00DA325E">
        <w:rPr>
          <w:highlight w:val="white"/>
        </w:rPr>
        <w:t xml:space="preserve"> by controlling both dispersion ranges and the extension of dilution.</w:t>
      </w:r>
    </w:p>
    <w:p w14:paraId="0F14BA39" w14:textId="77777777" w:rsidR="004C29E9" w:rsidRPr="00DA325E" w:rsidRDefault="004C29E9" w:rsidP="004C29E9">
      <w:pPr>
        <w:rPr>
          <w:b/>
          <w:highlight w:val="white"/>
        </w:rPr>
      </w:pPr>
      <w:r w:rsidRPr="00DA325E">
        <w:rPr>
          <w:b/>
          <w:highlight w:val="white"/>
        </w:rPr>
        <w:t>5) Application Inside the Simulation</w:t>
      </w:r>
    </w:p>
    <w:p w14:paraId="2938D907" w14:textId="1DDF1945" w:rsidR="004C29E9" w:rsidRPr="00DA325E" w:rsidRDefault="004C29E9" w:rsidP="004C29E9">
      <w:pPr>
        <w:rPr>
          <w:highlight w:val="white"/>
        </w:rPr>
      </w:pPr>
      <w:r w:rsidRPr="00DA325E">
        <w:rPr>
          <w:highlight w:val="white"/>
        </w:rPr>
        <w:t xml:space="preserve">It is worth mentioning that the units change inside the </w:t>
      </w:r>
      <w:proofErr w:type="gramStart"/>
      <w:r w:rsidRPr="00DA325E">
        <w:rPr>
          <w:i/>
          <w:highlight w:val="white"/>
        </w:rPr>
        <w:t>in silico</w:t>
      </w:r>
      <w:proofErr w:type="gramEnd"/>
      <w:r w:rsidRPr="00DA325E">
        <w:rPr>
          <w:highlight w:val="white"/>
        </w:rPr>
        <w:t xml:space="preserve"> environment. Since one patch is equivalent to 30 metres and one car represents 10 vehicles, a car moving from one patch to the next means 10 cars moving 30 metres. The vehicle speed inside the simulation is assigned in</w:t>
      </w:r>
      <w:r w:rsidR="00093C6D">
        <w:t xml:space="preserve"> </w:t>
      </w:r>
      <w:r w:rsidR="00093C6D">
        <w:fldChar w:fldCharType="begin"/>
      </w:r>
      <w:r w:rsidR="00093C6D">
        <w:instrText xml:space="preserve"> REF _Ref92801870 \h </w:instrText>
      </w:r>
      <w:r w:rsidR="00093C6D">
        <w:fldChar w:fldCharType="separate"/>
      </w:r>
      <w:r w:rsidR="00093C6D">
        <w:t xml:space="preserve">Table </w:t>
      </w:r>
      <w:r w:rsidR="00093C6D">
        <w:rPr>
          <w:noProof/>
        </w:rPr>
        <w:t>9</w:t>
      </w:r>
      <w:r w:rsidR="00093C6D">
        <w:fldChar w:fldCharType="end"/>
      </w:r>
      <w:r w:rsidRPr="00DA325E">
        <w:rPr>
          <w:highlight w:val="white"/>
        </w:rPr>
        <w:t>.</w:t>
      </w:r>
    </w:p>
    <w:p w14:paraId="04EA9D7D" w14:textId="70C22ED1" w:rsidR="004C29E9" w:rsidRDefault="004C29E9" w:rsidP="004C29E9">
      <w:pPr>
        <w:pStyle w:val="CapTable"/>
      </w:pPr>
      <w:bookmarkStart w:id="5" w:name="_heading=h.2b6jogx" w:colFirst="0" w:colLast="0"/>
      <w:bookmarkStart w:id="6" w:name="_Ref92801870"/>
      <w:bookmarkEnd w:id="5"/>
      <w:r>
        <w:t xml:space="preserve">Table </w:t>
      </w:r>
      <w:r>
        <w:fldChar w:fldCharType="begin"/>
      </w:r>
      <w:r>
        <w:instrText xml:space="preserve"> SEQ Table \* ARABIC </w:instrText>
      </w:r>
      <w:r>
        <w:fldChar w:fldCharType="separate"/>
      </w:r>
      <w:r w:rsidR="00093C6D">
        <w:rPr>
          <w:noProof/>
        </w:rPr>
        <w:t>9</w:t>
      </w:r>
      <w:r>
        <w:fldChar w:fldCharType="end"/>
      </w:r>
      <w:bookmarkEnd w:id="6"/>
      <w:r>
        <w:t xml:space="preserve"> </w:t>
      </w:r>
      <w:r w:rsidRPr="00DA325E">
        <w:rPr>
          <w:rFonts w:eastAsia="Times New Roman"/>
          <w:color w:val="000000"/>
          <w:sz w:val="18"/>
          <w:szCs w:val="18"/>
        </w:rPr>
        <w:t xml:space="preserve">Conversion of Vehicle Speed in </w:t>
      </w:r>
      <w:proofErr w:type="spellStart"/>
      <w:r w:rsidRPr="00DA325E">
        <w:rPr>
          <w:rFonts w:eastAsia="Times New Roman"/>
          <w:color w:val="000000"/>
          <w:sz w:val="18"/>
          <w:szCs w:val="18"/>
        </w:rPr>
        <w:t>NetLogo</w:t>
      </w:r>
      <w:proofErr w:type="spellEnd"/>
    </w:p>
    <w:tbl>
      <w:tblPr>
        <w:tblStyle w:val="PlainTable5"/>
        <w:tblW w:w="0" w:type="auto"/>
        <w:jc w:val="center"/>
        <w:tblLook w:val="04A0" w:firstRow="1" w:lastRow="0" w:firstColumn="1" w:lastColumn="0" w:noHBand="0" w:noVBand="1"/>
      </w:tblPr>
      <w:tblGrid>
        <w:gridCol w:w="837"/>
        <w:gridCol w:w="1057"/>
      </w:tblGrid>
      <w:tr w:rsidR="004C29E9" w:rsidRPr="007D635D" w14:paraId="36FC739C" w14:textId="77777777" w:rsidTr="004124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37A883E0" w14:textId="77777777" w:rsidR="004C29E9" w:rsidRPr="007D635D" w:rsidRDefault="004C29E9" w:rsidP="00412469">
            <w:pPr>
              <w:pBdr>
                <w:top w:val="nil"/>
                <w:left w:val="nil"/>
                <w:bottom w:val="nil"/>
                <w:right w:val="nil"/>
                <w:between w:val="nil"/>
              </w:pBdr>
              <w:rPr>
                <w:rFonts w:ascii="Arial" w:eastAsia="Arial" w:hAnsi="Arial" w:cs="Arial"/>
                <w:i w:val="0"/>
                <w:iCs w:val="0"/>
                <w:color w:val="000000"/>
                <w:sz w:val="18"/>
                <w:szCs w:val="18"/>
              </w:rPr>
            </w:pPr>
            <w:r w:rsidRPr="007D635D">
              <w:rPr>
                <w:rFonts w:ascii="Arial" w:eastAsia="Arial" w:hAnsi="Arial" w:cs="Arial"/>
                <w:i w:val="0"/>
                <w:iCs w:val="0"/>
                <w:color w:val="000000"/>
                <w:sz w:val="18"/>
                <w:szCs w:val="18"/>
              </w:rPr>
              <w:t>Original</w:t>
            </w:r>
          </w:p>
        </w:tc>
        <w:tc>
          <w:tcPr>
            <w:tcW w:w="0" w:type="auto"/>
          </w:tcPr>
          <w:p w14:paraId="56D7FC72" w14:textId="77777777" w:rsidR="004C29E9" w:rsidRPr="007D635D" w:rsidRDefault="004C29E9" w:rsidP="00412469">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i w:val="0"/>
                <w:iCs w:val="0"/>
                <w:color w:val="000000"/>
                <w:sz w:val="18"/>
                <w:szCs w:val="18"/>
              </w:rPr>
            </w:pPr>
            <w:r w:rsidRPr="007D635D">
              <w:rPr>
                <w:rFonts w:ascii="Arial" w:eastAsia="Arial" w:hAnsi="Arial" w:cs="Arial"/>
                <w:i w:val="0"/>
                <w:iCs w:val="0"/>
                <w:color w:val="000000"/>
                <w:sz w:val="18"/>
                <w:szCs w:val="18"/>
              </w:rPr>
              <w:t>Simulation</w:t>
            </w:r>
          </w:p>
        </w:tc>
      </w:tr>
      <w:tr w:rsidR="004C29E9" w:rsidRPr="007D635D" w14:paraId="7B91772F" w14:textId="77777777" w:rsidTr="004124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DEC0B7B" w14:textId="77777777" w:rsidR="004C29E9" w:rsidRPr="007D635D" w:rsidRDefault="004C29E9" w:rsidP="00412469">
            <w:pPr>
              <w:pBdr>
                <w:top w:val="nil"/>
                <w:left w:val="nil"/>
                <w:bottom w:val="nil"/>
                <w:right w:val="nil"/>
                <w:between w:val="nil"/>
              </w:pBdr>
              <w:rPr>
                <w:rFonts w:ascii="Arial" w:eastAsia="Arial" w:hAnsi="Arial" w:cs="Arial"/>
                <w:i w:val="0"/>
                <w:iCs w:val="0"/>
                <w:color w:val="000000"/>
                <w:sz w:val="18"/>
                <w:szCs w:val="18"/>
              </w:rPr>
            </w:pPr>
            <w:r w:rsidRPr="007D635D">
              <w:rPr>
                <w:rFonts w:ascii="Arial" w:eastAsia="Arial" w:hAnsi="Arial" w:cs="Arial"/>
                <w:i w:val="0"/>
                <w:iCs w:val="0"/>
                <w:color w:val="000000"/>
                <w:sz w:val="18"/>
                <w:szCs w:val="18"/>
              </w:rPr>
              <w:t>5km/h</w:t>
            </w:r>
          </w:p>
        </w:tc>
        <w:tc>
          <w:tcPr>
            <w:tcW w:w="0" w:type="auto"/>
          </w:tcPr>
          <w:p w14:paraId="33811F10" w14:textId="77777777" w:rsidR="004C29E9" w:rsidRPr="007D635D"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7D635D">
              <w:rPr>
                <w:rFonts w:ascii="Arial" w:eastAsia="Arial" w:hAnsi="Arial" w:cs="Arial"/>
                <w:color w:val="000000"/>
                <w:sz w:val="18"/>
                <w:szCs w:val="18"/>
              </w:rPr>
              <w:t>0.25</w:t>
            </w:r>
          </w:p>
        </w:tc>
      </w:tr>
      <w:tr w:rsidR="004C29E9" w:rsidRPr="007D635D" w14:paraId="792331B5" w14:textId="77777777" w:rsidTr="0041246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6964621" w14:textId="77777777" w:rsidR="004C29E9" w:rsidRPr="007D635D" w:rsidRDefault="004C29E9" w:rsidP="00412469">
            <w:pPr>
              <w:pBdr>
                <w:top w:val="nil"/>
                <w:left w:val="nil"/>
                <w:bottom w:val="nil"/>
                <w:right w:val="nil"/>
                <w:between w:val="nil"/>
              </w:pBdr>
              <w:rPr>
                <w:rFonts w:ascii="Arial" w:eastAsia="Arial" w:hAnsi="Arial" w:cs="Arial"/>
                <w:i w:val="0"/>
                <w:iCs w:val="0"/>
                <w:color w:val="000000"/>
                <w:sz w:val="18"/>
                <w:szCs w:val="18"/>
              </w:rPr>
            </w:pPr>
            <w:r w:rsidRPr="007D635D">
              <w:rPr>
                <w:rFonts w:ascii="Arial" w:eastAsia="Arial" w:hAnsi="Arial" w:cs="Arial"/>
                <w:i w:val="0"/>
                <w:iCs w:val="0"/>
                <w:color w:val="000000"/>
                <w:sz w:val="18"/>
                <w:szCs w:val="18"/>
              </w:rPr>
              <w:t>10km/h</w:t>
            </w:r>
          </w:p>
        </w:tc>
        <w:tc>
          <w:tcPr>
            <w:tcW w:w="0" w:type="auto"/>
          </w:tcPr>
          <w:p w14:paraId="1E0D23CD" w14:textId="77777777" w:rsidR="004C29E9" w:rsidRPr="007D635D"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7D635D">
              <w:rPr>
                <w:rFonts w:ascii="Arial" w:eastAsia="Arial" w:hAnsi="Arial" w:cs="Arial"/>
                <w:color w:val="000000"/>
                <w:sz w:val="18"/>
                <w:szCs w:val="18"/>
              </w:rPr>
              <w:t>0.5</w:t>
            </w:r>
          </w:p>
        </w:tc>
      </w:tr>
      <w:tr w:rsidR="004C29E9" w:rsidRPr="007D635D" w14:paraId="63305A29" w14:textId="77777777" w:rsidTr="004124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636DC79" w14:textId="77777777" w:rsidR="004C29E9" w:rsidRPr="007D635D" w:rsidRDefault="004C29E9" w:rsidP="00412469">
            <w:pPr>
              <w:pBdr>
                <w:top w:val="nil"/>
                <w:left w:val="nil"/>
                <w:bottom w:val="nil"/>
                <w:right w:val="nil"/>
                <w:between w:val="nil"/>
              </w:pBdr>
              <w:rPr>
                <w:rFonts w:ascii="Arial" w:eastAsia="Arial" w:hAnsi="Arial" w:cs="Arial"/>
                <w:i w:val="0"/>
                <w:iCs w:val="0"/>
                <w:color w:val="000000"/>
                <w:sz w:val="18"/>
                <w:szCs w:val="18"/>
              </w:rPr>
            </w:pPr>
            <w:r w:rsidRPr="007D635D">
              <w:rPr>
                <w:rFonts w:ascii="Arial" w:eastAsia="Arial" w:hAnsi="Arial" w:cs="Arial"/>
                <w:i w:val="0"/>
                <w:iCs w:val="0"/>
                <w:color w:val="000000"/>
                <w:sz w:val="18"/>
                <w:szCs w:val="18"/>
              </w:rPr>
              <w:t>20km/h</w:t>
            </w:r>
          </w:p>
        </w:tc>
        <w:tc>
          <w:tcPr>
            <w:tcW w:w="0" w:type="auto"/>
          </w:tcPr>
          <w:p w14:paraId="11B4E135" w14:textId="77777777" w:rsidR="004C29E9" w:rsidRPr="007D635D" w:rsidRDefault="004C29E9" w:rsidP="00412469">
            <w:pPr>
              <w:pBdr>
                <w:top w:val="nil"/>
                <w:left w:val="nil"/>
                <w:bottom w:val="nil"/>
                <w:right w:val="nil"/>
                <w:between w:val="nil"/>
              </w:pBdr>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szCs w:val="18"/>
              </w:rPr>
            </w:pPr>
            <w:r w:rsidRPr="007D635D">
              <w:rPr>
                <w:rFonts w:ascii="Arial" w:eastAsia="Arial" w:hAnsi="Arial" w:cs="Arial"/>
                <w:color w:val="000000"/>
                <w:sz w:val="18"/>
                <w:szCs w:val="18"/>
              </w:rPr>
              <w:t>1</w:t>
            </w:r>
          </w:p>
        </w:tc>
      </w:tr>
      <w:tr w:rsidR="004C29E9" w:rsidRPr="007D635D" w14:paraId="167E97C7" w14:textId="77777777" w:rsidTr="0041246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0FFC1AB" w14:textId="77777777" w:rsidR="004C29E9" w:rsidRPr="007D635D" w:rsidRDefault="004C29E9" w:rsidP="00412469">
            <w:pPr>
              <w:pBdr>
                <w:top w:val="nil"/>
                <w:left w:val="nil"/>
                <w:bottom w:val="nil"/>
                <w:right w:val="nil"/>
                <w:between w:val="nil"/>
              </w:pBdr>
              <w:rPr>
                <w:rFonts w:ascii="Arial" w:eastAsia="Arial" w:hAnsi="Arial" w:cs="Arial"/>
                <w:i w:val="0"/>
                <w:iCs w:val="0"/>
                <w:color w:val="000000"/>
                <w:sz w:val="18"/>
                <w:szCs w:val="18"/>
              </w:rPr>
            </w:pPr>
            <w:r w:rsidRPr="007D635D">
              <w:rPr>
                <w:rFonts w:ascii="Arial" w:eastAsia="Arial" w:hAnsi="Arial" w:cs="Arial"/>
                <w:i w:val="0"/>
                <w:iCs w:val="0"/>
                <w:color w:val="000000"/>
                <w:sz w:val="18"/>
                <w:szCs w:val="18"/>
              </w:rPr>
              <w:t>40km/h</w:t>
            </w:r>
          </w:p>
        </w:tc>
        <w:tc>
          <w:tcPr>
            <w:tcW w:w="0" w:type="auto"/>
          </w:tcPr>
          <w:p w14:paraId="7EB590BD" w14:textId="77777777" w:rsidR="004C29E9" w:rsidRPr="007D635D" w:rsidRDefault="004C29E9" w:rsidP="00412469">
            <w:pPr>
              <w:pBdr>
                <w:top w:val="nil"/>
                <w:left w:val="nil"/>
                <w:bottom w:val="nil"/>
                <w:right w:val="nil"/>
                <w:between w:val="nil"/>
              </w:pBd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szCs w:val="18"/>
              </w:rPr>
            </w:pPr>
            <w:r w:rsidRPr="007D635D">
              <w:rPr>
                <w:rFonts w:ascii="Arial" w:eastAsia="Arial" w:hAnsi="Arial" w:cs="Arial"/>
                <w:color w:val="000000"/>
                <w:sz w:val="18"/>
                <w:szCs w:val="18"/>
              </w:rPr>
              <w:t>2</w:t>
            </w:r>
          </w:p>
        </w:tc>
      </w:tr>
    </w:tbl>
    <w:p w14:paraId="11915D2D" w14:textId="77777777" w:rsidR="004C29E9" w:rsidRPr="00DA325E" w:rsidRDefault="004C29E9" w:rsidP="004C29E9"/>
    <w:p w14:paraId="61D4D44E" w14:textId="42D1270C" w:rsidR="00F5253E" w:rsidRDefault="004C29E9">
      <w:pPr>
        <w:rPr>
          <w:highlight w:val="white"/>
        </w:rPr>
      </w:pPr>
      <w:r w:rsidRPr="00DA325E">
        <w:rPr>
          <w:highlight w:val="white"/>
        </w:rPr>
        <w:t>In published studies, the emissions are calculated by g/km based on the total distance of which the car has travelled</w:t>
      </w:r>
      <w:r>
        <w:rPr>
          <w:highlight w:val="white"/>
        </w:rPr>
        <w:t xml:space="preserve"> </w:t>
      </w:r>
      <w:r>
        <w:rPr>
          <w:highlight w:val="white"/>
        </w:rPr>
        <w:fldChar w:fldCharType="begin" w:fldLock="1"/>
      </w:r>
      <w:r w:rsidR="00204F96">
        <w:rPr>
          <w:highlight w:val="white"/>
        </w:rPr>
        <w:instrText>ADDIN CSL_CITATION {"citationItems":[{"id":"ITEM-1","itemData":{"DOI":"https://doi.org/10.5094/APR.2010.024","ISSN":"1309-1042","abstract":"This paper presents analysis and interpretation of diurnal, weekly and seasonal cycles of 1–h average particulate matter (PM10, PM2.5 and PM1) concentrations measured near an urban roadway in Chennai city, India, between November 2007 and May 2008. The PM data analysis showed clear diurnal, weekly and seasonal cycles at the study site. In diurnal cycle, highest PM concentrations were observed during weekday's peak hour traffic and lowest PM concentrations were found during trickle traffic (afternoon and nighttime). The seasonal PM data analysis showed highest concentrations during post monsoon season (PM10 = 189, PM2.5 = 84, PM1 = 66$μ$g/m3) compared to winter (PM10 = 135, PM2.5 = 73, PM1 = 59$μ$g/m3) and summer (PM10 = 102, PM2.5 = 50, PM1 = 34$μ$g/m3) seasons. The particle size distribution during post-monsoon, winter and summer seasons showed two distinct modes viz. accumulation (mean diameter, d = 2.2$μ$m; distribution = 40{\\%}) and coarse (d = 7.1$μ$m, distribution = 60{\\%}). The frequency distribution of PM10 concentrations during post–monsoon and winter seasons indicated that the PM10 values at the study site fall under moderate to poor categories. During post–monsoon and winter seasons, it was found that more than 50{\\%} of the time the 24–h average PM10 concentrations were violating the Indian national ambient air quality standards (NAAQS) (100$μ$g/m3) and world health organization (WHO) standard (50$μ$g/m3). The 24–h average PM2.5 concentrations were also exceeding the NAAQS (60$μ$g/m3) and WHO standards (25$μ$g/m3) by 75{\\%} of time, irrespective of seasons.","author":[{"dropping-particle":"","family":"Srimuruganandam","given":"Bathmanabhan","non-dropping-particle":"","parse-names":false,"suffix":""},{"dropping-particle":"","family":"Shiva Nagendra","given":"Saragur Madanayak","non-dropping-particle":"","parse-names":false,"suffix":""}],"container-title":"Atmospheric Pollution Research","id":"ITEM-1","issue":"3","issued":{"date-parts":[["2010"]]},"page":"184-194","title":"Analysis and interpretation of particulate matter – PM10, PM2.5 and PM1 emissions from the heterogeneous traffic near an urban roadway","type":"article-journal","volume":"1"},"uris":["http://www.mendeley.com/documents/?uuid=ebdf4285-8b03-44a6-b94f-2d4af195137a"]},{"id":"ITEM-2","itemData":{"DOI":"10.1016/j.atmosenv.2015.08.037","ISSN":"18732844","abstract":"PM10 concentrations exceed the guidelines in some Swedish cities and the limit values will likely be further reduced in the future. In order to gain more knowledge of emission factors for road traffic and concentrations of PM10 and PM2.5, existing monitoring stations in two cities, Gothenburg and Umeå, with international E-road thoroughfares, were complemented with some PM2.5 measurements. Emission factors for PM10 and PM2.5 were estimated using NOX as a tracer. Monitoring data from kerbside and urban background sites in Gothenburg during 2006-2010 and in Umeåduring 2006-2012 were used. NOX emissions were estimated from the traffic flow and emission factors calculated from the HBEFA3.1 model. PM2.5 constitutes the finer part of PM10. Emissions of the coarser part of PM10 (PM10-PM2.5) are suppressed when roads are wet and show a maximum during spring when the roads dry up and studded tyres are still used. Less than 1{\\%} of the road wear caused by studded tyres give rise to airborne PM2.5-10 particles. The NOX emission factors decrease with time in the used model, due to the renewal of the vehicle fleet. However, the NOX concentrations resulting from the roads show no clear trend. The air dispersion is an important factor controlling the PM concentration near the road. The dispersion has a minimum in winter and during midnight. The average street level concentrations of PM10 and PM2.5 in Gothenburg were 21 ± 20 and 8 ± 6 {\\$}\\mu{\\$}g m-3 respectively, which is 36{\\%} and 22{\\%} higher than the urban background concentrations. Despite the four times lower traffic flow in Umeåcompared to Gothenburg, the average particle concentrations were very similar; 21 ± 31 and 7 ± 5 {\\$}\\mu{\\$}g m-3 for PM10 and PM2.5 respectively. These concentrations were, however, 108{\\%} and 55{\\%} higher than the urban background concentrations in Umeå. The emission factors for PM10 decreased with time, and the average factor was 0.06 g km-1 vehichle-1. The emission factors for PM2.5 are very uncertain due to the small increments in PM2.5 concentration at the thoroughfares, and were on average 0.02 g km-1 vehichle-1.","author":[{"dropping-particle":"","family":"Ferm","given":"Martin","non-dropping-particle":"","parse-names":false,"suffix":""},{"dropping-particle":"","family":"Sjöberg","given":"Karin","non-dropping-particle":"","parse-names":false,"suffix":""}],"container-title":"Atmospheric Environment","id":"ITEM-2","issued":{"date-parts":[["2015"]]},"page":"211-219","title":"Concentrations and emission factors for PM2.5 and PM10 from road traffic in Sweden","type":"article-journal","volume":"119"},"uris":["http://www.mendeley.com/documents/?uuid=1026d3c5-d978-4569-b43d-9ed3af5e22ea"]}],"mendeley":{"formattedCitation":"(Srimuruganandam and Shiva Nagendra, 2010; Ferm and Sjöberg, 2015)","plainTextFormattedCitation":"(Srimuruganandam and Shiva Nagendra, 2010; Ferm and Sjöberg, 2015)","previouslyFormattedCitation":"(Srimuruganandam and Shiva Nagendra, 2010; Ferm and Sjöberg, 2015)"},"properties":{"noteIndex":0},"schema":"https://github.com/citation-style-language/schema/raw/master/csl-citation.json"}</w:instrText>
      </w:r>
      <w:r>
        <w:rPr>
          <w:highlight w:val="white"/>
        </w:rPr>
        <w:fldChar w:fldCharType="separate"/>
      </w:r>
      <w:r w:rsidR="00CF264F" w:rsidRPr="00CF264F">
        <w:rPr>
          <w:noProof/>
          <w:highlight w:val="white"/>
        </w:rPr>
        <w:t>(Srimuruganandam and Shiva Nagendra, 2010; Ferm and Sjöberg, 2015)</w:t>
      </w:r>
      <w:r>
        <w:rPr>
          <w:highlight w:val="white"/>
        </w:rPr>
        <w:fldChar w:fldCharType="end"/>
      </w:r>
      <w:r w:rsidRPr="00DA325E">
        <w:rPr>
          <w:highlight w:val="white"/>
        </w:rPr>
        <w:t xml:space="preserve">. </w:t>
      </w:r>
      <w:r>
        <w:rPr>
          <w:highlight w:val="white"/>
        </w:rPr>
        <w:fldChar w:fldCharType="begin" w:fldLock="1"/>
      </w:r>
      <w:r w:rsidR="009E4981">
        <w:rPr>
          <w:highlight w:val="white"/>
        </w:rPr>
        <w:instrText>ADDIN CSL_CITATION {"citationItems":[{"id":"ITEM-1","itemData":{"DOI":"10.1016/j.atmosenv.2010.05.022","ISSN":"13522310","abstract":"Road transport is often the main source of air pollution in urban areas, and there is an increasing need to estimate its contribution precisely so that pollution-reduction measures (e.g. emission standards, scrapage programs, traffic management, ITS) are designed and implemented appropriately. This paper presents a meta-analysis of 50 studies dealing with the validation of various types of traffic emission model, including 'average speed', 'traffic situation', 'traffic variable', 'cycle variable', and 'modal' models. The validation studies employ measurements in tunnels, ambient concentration measurements, remote sensing, laboratory tests, and mass-balance techniques. One major finding of the analysis is that several models are only partially validated or not validated at all. The mean prediction errors are generally within a factor of 1.3 of the observed values for CO2, within a factor of 2 for HC and NOx, and within a factor of 3 for CO and PM, although differences as high as a factor of 5 have been reported. A positive mean prediction error for NOx (i.e. overestimation) was established for all model types and practically all validation techniques. In the case of HC, model predictions have been moving from underestimation to overestimation since the 1980s. The large prediction error for PM may be associated with different PM definitions between models and observations (e.g. size, measurement principle, exhaust/non-exhaust contribution).Statistical analyses show that the mean prediction error is generally not significantly different (p{\\textless}0.05) when the data are categorised according to model type or validation technique. Thus, there is no conclusive evidence that demonstrates that more complex models systematically perform better in terms of prediction error than less complex models. In fact, less complex models appear to perform better for PM. Moreover, the choice of validation technique does not systematically affect the result, with the exception of a CO underprediction when the validation is based on ambient concentration measurements and inverse modelling. The analysis identified two vital elements currently lacking in traffic emissions modelling: 1) guidance on the allowable error margins for different applications/scales, and 2) estimates of prediction errors. It is recommended that current and future emission models incorporate the capability to quantify prediction errors, and that clear guidelines are developed internationally with res…","author":[{"dropping-particle":"","family":"Smit","given":"Robin","non-dropping-particle":"","parse-names":false,"suffix":""},{"dropping-particle":"","family":"Ntziachristos","given":"Leonidas","non-dropping-particle":"","parse-names":false,"suffix":""},{"dropping-particle":"","family":"Boulter","given":"Paul","non-dropping-particle":"","parse-names":false,"suffix":""}],"container-title":"Atmospheric Environment","id":"ITEM-1","issue":"25","issued":{"date-parts":[["2010"]]},"page":"2943-2953","publisher":"Elsevier Ltd","title":"Validation of road vehicle and traffic emission models - A review and meta-analysis","type":"article-journal","volume":"44"},"uris":["http://www.mendeley.com/documents/?uuid=9a773a9d-59bf-41ef-9c95-58359b872ac4"]}],"mendeley":{"formattedCitation":"(Smit, Ntziachristos and Boulter, 2010)","manualFormatting":"Smit, Ntziachristos and Boulter (2010)","plainTextFormattedCitation":"(Smit, Ntziachristos and Boulter, 2010)","previouslyFormattedCitation":"(Smit, Ntziachristos and Boulter, 2010)"},"properties":{"noteIndex":0},"schema":"https://github.com/citation-style-language/schema/raw/master/csl-citation.json"}</w:instrText>
      </w:r>
      <w:r>
        <w:rPr>
          <w:highlight w:val="white"/>
        </w:rPr>
        <w:fldChar w:fldCharType="separate"/>
      </w:r>
      <w:r w:rsidR="00CF264F" w:rsidRPr="00CF264F">
        <w:rPr>
          <w:noProof/>
          <w:highlight w:val="white"/>
        </w:rPr>
        <w:t xml:space="preserve">Smit, Ntziachristos and </w:t>
      </w:r>
      <w:r w:rsidR="00CF264F" w:rsidRPr="00CF264F">
        <w:rPr>
          <w:noProof/>
          <w:highlight w:val="white"/>
        </w:rPr>
        <w:lastRenderedPageBreak/>
        <w:t xml:space="preserve">Boulter </w:t>
      </w:r>
      <w:r w:rsidR="009E4981">
        <w:rPr>
          <w:noProof/>
          <w:highlight w:val="white"/>
        </w:rPr>
        <w:t>(</w:t>
      </w:r>
      <w:r w:rsidR="00CF264F" w:rsidRPr="00CF264F">
        <w:rPr>
          <w:noProof/>
          <w:highlight w:val="white"/>
        </w:rPr>
        <w:t>2010)</w:t>
      </w:r>
      <w:r>
        <w:rPr>
          <w:highlight w:val="white"/>
        </w:rPr>
        <w:fldChar w:fldCharType="end"/>
      </w:r>
      <w:r>
        <w:rPr>
          <w:highlight w:val="white"/>
        </w:rPr>
        <w:t xml:space="preserve"> </w:t>
      </w:r>
      <w:r w:rsidRPr="00DA325E">
        <w:rPr>
          <w:highlight w:val="white"/>
        </w:rPr>
        <w:t xml:space="preserve">argued that the atmospheric pollution is combined with emissions, humidity, wind, temperature, and other uncertain factors, and therefore the calibration process is normally tested in places where there are fewer confounding variables, </w:t>
      </w:r>
      <w:proofErr w:type="gramStart"/>
      <w:r w:rsidRPr="00DA325E">
        <w:rPr>
          <w:highlight w:val="white"/>
        </w:rPr>
        <w:t>e.g.</w:t>
      </w:r>
      <w:proofErr w:type="gramEnd"/>
      <w:r w:rsidRPr="00DA325E">
        <w:rPr>
          <w:highlight w:val="white"/>
        </w:rPr>
        <w:t xml:space="preserve"> tunnels. Calibration with observational values can be inaccurate, but more than 15 studies have chosen this method due to restricted conditions</w:t>
      </w:r>
      <w:r>
        <w:rPr>
          <w:highlight w:val="white"/>
        </w:rPr>
        <w:t xml:space="preserve"> </w:t>
      </w:r>
      <w:r>
        <w:rPr>
          <w:highlight w:val="white"/>
        </w:rPr>
        <w:fldChar w:fldCharType="begin" w:fldLock="1"/>
      </w:r>
      <w:r w:rsidR="00204F96">
        <w:rPr>
          <w:highlight w:val="white"/>
        </w:rPr>
        <w:instrText>ADDIN CSL_CITATION {"citationItems":[{"id":"ITEM-1","itemData":{"DOI":"10.1016/j.atmosenv.2010.05.022","ISSN":"13522310","abstract":"Road transport is often the main source of air pollution in urban areas, and there is an increasing need to estimate its contribution precisely so that pollution-reduction measures (e.g. emission standards, scrapage programs, traffic management, ITS) are designed and implemented appropriately. This paper presents a meta-analysis of 50 studies dealing with the validation of various types of traffic emission model, including 'average speed', 'traffic situation', 'traffic variable', 'cycle variable', and 'modal' models. The validation studies employ measurements in tunnels, ambient concentration measurements, remote sensing, laboratory tests, and mass-balance techniques. One major finding of the analysis is that several models are only partially validated or not validated at all. The mean prediction errors are generally within a factor of 1.3 of the observed values for CO2, within a factor of 2 for HC and NOx, and within a factor of 3 for CO and PM, although differences as high as a factor of 5 have been reported. A positive mean prediction error for NOx (i.e. overestimation) was established for all model types and practically all validation techniques. In the case of HC, model predictions have been moving from underestimation to overestimation since the 1980s. The large prediction error for PM may be associated with different PM definitions between models and observations (e.g. size, measurement principle, exhaust/non-exhaust contribution).Statistical analyses show that the mean prediction error is generally not significantly different (p{\\textless}0.05) when the data are categorised according to model type or validation technique. Thus, there is no conclusive evidence that demonstrates that more complex models systematically perform better in terms of prediction error than less complex models. In fact, less complex models appear to perform better for PM. Moreover, the choice of validation technique does not systematically affect the result, with the exception of a CO underprediction when the validation is based on ambient concentration measurements and inverse modelling. The analysis identified two vital elements currently lacking in traffic emissions modelling: 1) guidance on the allowable error margins for different applications/scales, and 2) estimates of prediction errors. It is recommended that current and future emission models incorporate the capability to quantify prediction errors, and that clear guidelines are developed internationally with res…","author":[{"dropping-particle":"","family":"Smit","given":"Robin","non-dropping-particle":"","parse-names":false,"suffix":""},{"dropping-particle":"","family":"Ntziachristos","given":"Leonidas","non-dropping-particle":"","parse-names":false,"suffix":""},{"dropping-particle":"","family":"Boulter","given":"Paul","non-dropping-particle":"","parse-names":false,"suffix":""}],"container-title":"Atmospheric Environment","id":"ITEM-1","issue":"25","issued":{"date-parts":[["2010"]]},"page":"2943-2953","publisher":"Elsevier Ltd","title":"Validation of road vehicle and traffic emission models - A review and meta-analysis","type":"article-journal","volume":"44"},"uris":["http://www.mendeley.com/documents/?uuid=9a773a9d-59bf-41ef-9c95-58359b872ac4"]}],"mendeley":{"formattedCitation":"(Smit, Ntziachristos and Boulter, 2010)","plainTextFormattedCitation":"(Smit, Ntziachristos and Boulter, 2010)","previouslyFormattedCitation":"(Smit, Ntziachristos and Boulter, 2010)"},"properties":{"noteIndex":0},"schema":"https://github.com/citation-style-language/schema/raw/master/csl-citation.json"}</w:instrText>
      </w:r>
      <w:r>
        <w:rPr>
          <w:highlight w:val="white"/>
        </w:rPr>
        <w:fldChar w:fldCharType="separate"/>
      </w:r>
      <w:r w:rsidR="00CF264F" w:rsidRPr="00CF264F">
        <w:rPr>
          <w:noProof/>
          <w:highlight w:val="white"/>
        </w:rPr>
        <w:t>(Smit, Ntziachristos and Boulter, 2010)</w:t>
      </w:r>
      <w:r>
        <w:rPr>
          <w:highlight w:val="white"/>
        </w:rPr>
        <w:fldChar w:fldCharType="end"/>
      </w:r>
      <w:r w:rsidRPr="00DA325E">
        <w:rPr>
          <w:highlight w:val="white"/>
        </w:rPr>
        <w:t>.</w:t>
      </w:r>
    </w:p>
    <w:p w14:paraId="6CD3D95E" w14:textId="1646CC1C" w:rsidR="009E4981" w:rsidRDefault="009E4981">
      <w:pPr>
        <w:rPr>
          <w:highlight w:val="white"/>
        </w:rPr>
      </w:pPr>
    </w:p>
    <w:p w14:paraId="35110372" w14:textId="77777777" w:rsidR="009E4981" w:rsidRDefault="009E4981">
      <w:pPr>
        <w:rPr>
          <w:rFonts w:hint="eastAsia"/>
          <w:highlight w:val="white"/>
        </w:rPr>
      </w:pPr>
    </w:p>
    <w:p w14:paraId="6E6E453B" w14:textId="0674DE4A" w:rsidR="00A866D8" w:rsidRDefault="00204F96" w:rsidP="00204F96">
      <w:pPr>
        <w:pStyle w:val="Heading1"/>
        <w:rPr>
          <w:highlight w:val="white"/>
        </w:rPr>
      </w:pPr>
      <w:r>
        <w:rPr>
          <w:rFonts w:hint="eastAsia"/>
          <w:highlight w:val="white"/>
        </w:rPr>
        <w:t>R</w:t>
      </w:r>
      <w:r>
        <w:rPr>
          <w:highlight w:val="white"/>
        </w:rPr>
        <w:t>eferences</w:t>
      </w:r>
    </w:p>
    <w:p w14:paraId="38FFD951" w14:textId="065EA379" w:rsidR="00204F96" w:rsidRPr="00204F96" w:rsidRDefault="00204F96" w:rsidP="00204F96">
      <w:pPr>
        <w:wordWrap/>
        <w:adjustRightInd w:val="0"/>
        <w:spacing w:line="240" w:lineRule="auto"/>
        <w:jc w:val="left"/>
        <w:rPr>
          <w:rFonts w:cs="Times New Roman"/>
          <w:noProof/>
          <w:kern w:val="0"/>
          <w:szCs w:val="24"/>
        </w:rPr>
      </w:pPr>
      <w:r>
        <w:rPr>
          <w:highlight w:val="white"/>
        </w:rPr>
        <w:fldChar w:fldCharType="begin" w:fldLock="1"/>
      </w:r>
      <w:r>
        <w:rPr>
          <w:highlight w:val="white"/>
        </w:rPr>
        <w:instrText xml:space="preserve">ADDIN Mendeley Bibliography CSL_BIBLIOGRAPHY </w:instrText>
      </w:r>
      <w:r>
        <w:rPr>
          <w:highlight w:val="white"/>
        </w:rPr>
        <w:fldChar w:fldCharType="separate"/>
      </w:r>
      <w:r w:rsidRPr="00204F96">
        <w:rPr>
          <w:rFonts w:cs="Times New Roman"/>
          <w:noProof/>
          <w:kern w:val="0"/>
          <w:szCs w:val="24"/>
        </w:rPr>
        <w:t xml:space="preserve">Air Quality Expert Group (2019) </w:t>
      </w:r>
      <w:r w:rsidRPr="00204F96">
        <w:rPr>
          <w:rFonts w:cs="Times New Roman"/>
          <w:i/>
          <w:iCs/>
          <w:noProof/>
          <w:kern w:val="0"/>
          <w:szCs w:val="24"/>
        </w:rPr>
        <w:t>Non-Exhaust Emissions from Road Traffic</w:t>
      </w:r>
      <w:r w:rsidRPr="00204F96">
        <w:rPr>
          <w:rFonts w:cs="Times New Roman"/>
          <w:noProof/>
          <w:kern w:val="0"/>
          <w:szCs w:val="24"/>
        </w:rPr>
        <w:t>.</w:t>
      </w:r>
    </w:p>
    <w:p w14:paraId="4A40CC0C" w14:textId="77777777" w:rsidR="00204F96" w:rsidRPr="00204F96" w:rsidRDefault="00204F96" w:rsidP="00204F96">
      <w:pPr>
        <w:wordWrap/>
        <w:adjustRightInd w:val="0"/>
        <w:spacing w:line="240" w:lineRule="auto"/>
        <w:jc w:val="left"/>
        <w:rPr>
          <w:rFonts w:cs="Times New Roman"/>
          <w:noProof/>
          <w:kern w:val="0"/>
          <w:szCs w:val="24"/>
        </w:rPr>
      </w:pPr>
      <w:r w:rsidRPr="00204F96">
        <w:rPr>
          <w:rFonts w:cs="Times New Roman"/>
          <w:noProof/>
          <w:kern w:val="0"/>
          <w:szCs w:val="24"/>
        </w:rPr>
        <w:t xml:space="preserve">Beevers, S. D. </w:t>
      </w:r>
      <w:r w:rsidRPr="00204F96">
        <w:rPr>
          <w:rFonts w:cs="Times New Roman"/>
          <w:i/>
          <w:iCs/>
          <w:noProof/>
          <w:kern w:val="0"/>
          <w:szCs w:val="24"/>
        </w:rPr>
        <w:t>et al.</w:t>
      </w:r>
      <w:r w:rsidRPr="00204F96">
        <w:rPr>
          <w:rFonts w:cs="Times New Roman"/>
          <w:noProof/>
          <w:kern w:val="0"/>
          <w:szCs w:val="24"/>
        </w:rPr>
        <w:t xml:space="preserve"> (2013) ‘Air pollution dispersion models for human exposure predictions in London.’, </w:t>
      </w:r>
      <w:r w:rsidRPr="00204F96">
        <w:rPr>
          <w:rFonts w:cs="Times New Roman"/>
          <w:i/>
          <w:iCs/>
          <w:noProof/>
          <w:kern w:val="0"/>
          <w:szCs w:val="24"/>
        </w:rPr>
        <w:t>Journal of exposure science {\&amp;} environmental epidemiology</w:t>
      </w:r>
      <w:r w:rsidRPr="00204F96">
        <w:rPr>
          <w:rFonts w:cs="Times New Roman"/>
          <w:noProof/>
          <w:kern w:val="0"/>
          <w:szCs w:val="24"/>
        </w:rPr>
        <w:t>, 23(6), pp. 647–653. doi: 10.1038/jes.2013.6.</w:t>
      </w:r>
    </w:p>
    <w:p w14:paraId="32E0B71C" w14:textId="77777777" w:rsidR="00204F96" w:rsidRPr="00204F96" w:rsidRDefault="00204F96" w:rsidP="00204F96">
      <w:pPr>
        <w:wordWrap/>
        <w:adjustRightInd w:val="0"/>
        <w:spacing w:line="240" w:lineRule="auto"/>
        <w:jc w:val="left"/>
        <w:rPr>
          <w:rFonts w:cs="Times New Roman"/>
          <w:noProof/>
          <w:kern w:val="0"/>
          <w:szCs w:val="24"/>
        </w:rPr>
      </w:pPr>
      <w:r w:rsidRPr="00204F96">
        <w:rPr>
          <w:rFonts w:cs="Times New Roman"/>
          <w:noProof/>
          <w:kern w:val="0"/>
          <w:szCs w:val="24"/>
        </w:rPr>
        <w:t xml:space="preserve">EMEP/EEA (2019) </w:t>
      </w:r>
      <w:r w:rsidRPr="00204F96">
        <w:rPr>
          <w:rFonts w:cs="Times New Roman"/>
          <w:i/>
          <w:iCs/>
          <w:noProof/>
          <w:kern w:val="0"/>
          <w:szCs w:val="24"/>
        </w:rPr>
        <w:t>EMEP/EEA Air Pollutant Emission Inventory Guidebook 2019</w:t>
      </w:r>
      <w:r w:rsidRPr="00204F96">
        <w:rPr>
          <w:rFonts w:cs="Times New Roman"/>
          <w:noProof/>
          <w:kern w:val="0"/>
          <w:szCs w:val="24"/>
        </w:rPr>
        <w:t>. Available at: https://www.eea.europa.eu/publications/emep-eea-guidebook-2019/part-b-sectoral-guidance-chapters/1-energy/1-a-combustion/1-a-3-b-vi/view.</w:t>
      </w:r>
    </w:p>
    <w:p w14:paraId="71DD8356" w14:textId="77777777" w:rsidR="00204F96" w:rsidRPr="00204F96" w:rsidRDefault="00204F96" w:rsidP="00204F96">
      <w:pPr>
        <w:wordWrap/>
        <w:adjustRightInd w:val="0"/>
        <w:spacing w:line="240" w:lineRule="auto"/>
        <w:jc w:val="left"/>
        <w:rPr>
          <w:rFonts w:cs="Times New Roman"/>
          <w:noProof/>
          <w:kern w:val="0"/>
          <w:szCs w:val="24"/>
        </w:rPr>
      </w:pPr>
      <w:r w:rsidRPr="00204F96">
        <w:rPr>
          <w:rFonts w:cs="Times New Roman"/>
          <w:noProof/>
          <w:kern w:val="0"/>
          <w:szCs w:val="24"/>
        </w:rPr>
        <w:t xml:space="preserve">Ferm, M. and Sjöberg, K. (2015) ‘Concentrations and emission factors for PM2.5 and PM10 from road traffic in Sweden’, </w:t>
      </w:r>
      <w:r w:rsidRPr="00204F96">
        <w:rPr>
          <w:rFonts w:cs="Times New Roman"/>
          <w:i/>
          <w:iCs/>
          <w:noProof/>
          <w:kern w:val="0"/>
          <w:szCs w:val="24"/>
        </w:rPr>
        <w:t>Atmospheric Environment</w:t>
      </w:r>
      <w:r w:rsidRPr="00204F96">
        <w:rPr>
          <w:rFonts w:cs="Times New Roman"/>
          <w:noProof/>
          <w:kern w:val="0"/>
          <w:szCs w:val="24"/>
        </w:rPr>
        <w:t>, 119, pp. 211–219. doi: 10.1016/j.atmosenv.2015.08.037.</w:t>
      </w:r>
    </w:p>
    <w:p w14:paraId="5A047619" w14:textId="77777777" w:rsidR="00204F96" w:rsidRPr="00204F96" w:rsidRDefault="00204F96" w:rsidP="00204F96">
      <w:pPr>
        <w:wordWrap/>
        <w:adjustRightInd w:val="0"/>
        <w:spacing w:line="240" w:lineRule="auto"/>
        <w:jc w:val="left"/>
        <w:rPr>
          <w:rFonts w:cs="Times New Roman"/>
          <w:noProof/>
          <w:kern w:val="0"/>
          <w:szCs w:val="24"/>
        </w:rPr>
      </w:pPr>
      <w:r w:rsidRPr="00204F96">
        <w:rPr>
          <w:rFonts w:cs="Times New Roman"/>
          <w:noProof/>
          <w:kern w:val="0"/>
          <w:szCs w:val="24"/>
        </w:rPr>
        <w:t xml:space="preserve">Nikolova, I. </w:t>
      </w:r>
      <w:r w:rsidRPr="00204F96">
        <w:rPr>
          <w:rFonts w:cs="Times New Roman"/>
          <w:i/>
          <w:iCs/>
          <w:noProof/>
          <w:kern w:val="0"/>
          <w:szCs w:val="24"/>
        </w:rPr>
        <w:t>et al.</w:t>
      </w:r>
      <w:r w:rsidRPr="00204F96">
        <w:rPr>
          <w:rFonts w:cs="Times New Roman"/>
          <w:noProof/>
          <w:kern w:val="0"/>
          <w:szCs w:val="24"/>
        </w:rPr>
        <w:t xml:space="preserve"> (2014) ‘Modelling the mixing of size resolved traffic induced and background ultrafine particles from an urban street canyon to adjacent backyards’, </w:t>
      </w:r>
      <w:r w:rsidRPr="00204F96">
        <w:rPr>
          <w:rFonts w:cs="Times New Roman"/>
          <w:i/>
          <w:iCs/>
          <w:noProof/>
          <w:kern w:val="0"/>
          <w:szCs w:val="24"/>
        </w:rPr>
        <w:t>Aerosol Air Qual. Res</w:t>
      </w:r>
      <w:r w:rsidRPr="00204F96">
        <w:rPr>
          <w:rFonts w:cs="Times New Roman"/>
          <w:noProof/>
          <w:kern w:val="0"/>
          <w:szCs w:val="24"/>
        </w:rPr>
        <w:t>, 14(1), pp. 145–155.</w:t>
      </w:r>
    </w:p>
    <w:p w14:paraId="783380A9" w14:textId="77777777" w:rsidR="00204F96" w:rsidRPr="00204F96" w:rsidRDefault="00204F96" w:rsidP="00204F96">
      <w:pPr>
        <w:wordWrap/>
        <w:adjustRightInd w:val="0"/>
        <w:spacing w:line="240" w:lineRule="auto"/>
        <w:jc w:val="left"/>
        <w:rPr>
          <w:rFonts w:cs="Times New Roman"/>
          <w:noProof/>
          <w:kern w:val="0"/>
          <w:szCs w:val="24"/>
        </w:rPr>
      </w:pPr>
      <w:r w:rsidRPr="00204F96">
        <w:rPr>
          <w:rFonts w:cs="Times New Roman"/>
          <w:noProof/>
          <w:kern w:val="0"/>
          <w:szCs w:val="24"/>
        </w:rPr>
        <w:t xml:space="preserve">Panko, J. </w:t>
      </w:r>
      <w:r w:rsidRPr="00204F96">
        <w:rPr>
          <w:rFonts w:cs="Times New Roman"/>
          <w:i/>
          <w:iCs/>
          <w:noProof/>
          <w:kern w:val="0"/>
          <w:szCs w:val="24"/>
        </w:rPr>
        <w:t>et al.</w:t>
      </w:r>
      <w:r w:rsidRPr="00204F96">
        <w:rPr>
          <w:rFonts w:cs="Times New Roman"/>
          <w:noProof/>
          <w:kern w:val="0"/>
          <w:szCs w:val="24"/>
        </w:rPr>
        <w:t xml:space="preserve"> (2013) ‘Measurement of airborne concentrations of tire and road wear particles in urban and rural areas of France, Japan, and the United States’, </w:t>
      </w:r>
      <w:r w:rsidRPr="00204F96">
        <w:rPr>
          <w:rFonts w:cs="Times New Roman"/>
          <w:i/>
          <w:iCs/>
          <w:noProof/>
          <w:kern w:val="0"/>
          <w:szCs w:val="24"/>
        </w:rPr>
        <w:t>Atmospheric Environment</w:t>
      </w:r>
      <w:r w:rsidRPr="00204F96">
        <w:rPr>
          <w:rFonts w:cs="Times New Roman"/>
          <w:noProof/>
          <w:kern w:val="0"/>
          <w:szCs w:val="24"/>
        </w:rPr>
        <w:t>, 72, pp. 192–199. doi: 10.1016/j.atmosenv.2013.01.040.</w:t>
      </w:r>
    </w:p>
    <w:p w14:paraId="6ADBBC97" w14:textId="77777777" w:rsidR="00204F96" w:rsidRPr="00204F96" w:rsidRDefault="00204F96" w:rsidP="00204F96">
      <w:pPr>
        <w:wordWrap/>
        <w:adjustRightInd w:val="0"/>
        <w:spacing w:line="240" w:lineRule="auto"/>
        <w:jc w:val="left"/>
        <w:rPr>
          <w:rFonts w:cs="Times New Roman"/>
          <w:noProof/>
          <w:kern w:val="0"/>
          <w:szCs w:val="24"/>
        </w:rPr>
      </w:pPr>
      <w:r w:rsidRPr="00204F96">
        <w:rPr>
          <w:rFonts w:cs="Times New Roman"/>
          <w:noProof/>
          <w:kern w:val="0"/>
          <w:szCs w:val="24"/>
        </w:rPr>
        <w:t xml:space="preserve">Smit, R., Ntziachristos, L. and Boulter, P. (2010) ‘Validation of road vehicle and traffic emission models - A review and meta-analysis’, </w:t>
      </w:r>
      <w:r w:rsidRPr="00204F96">
        <w:rPr>
          <w:rFonts w:cs="Times New Roman"/>
          <w:i/>
          <w:iCs/>
          <w:noProof/>
          <w:kern w:val="0"/>
          <w:szCs w:val="24"/>
        </w:rPr>
        <w:t>Atmospheric Environment</w:t>
      </w:r>
      <w:r w:rsidRPr="00204F96">
        <w:rPr>
          <w:rFonts w:cs="Times New Roman"/>
          <w:noProof/>
          <w:kern w:val="0"/>
          <w:szCs w:val="24"/>
        </w:rPr>
        <w:t>, 44(25), pp. 2943–2953. doi: 10.1016/j.atmosenv.2010.05.022.</w:t>
      </w:r>
    </w:p>
    <w:p w14:paraId="0ADEEDF6" w14:textId="77777777" w:rsidR="00204F96" w:rsidRPr="00204F96" w:rsidRDefault="00204F96" w:rsidP="00204F96">
      <w:pPr>
        <w:wordWrap/>
        <w:adjustRightInd w:val="0"/>
        <w:spacing w:line="240" w:lineRule="auto"/>
        <w:jc w:val="left"/>
        <w:rPr>
          <w:noProof/>
        </w:rPr>
      </w:pPr>
      <w:r w:rsidRPr="00204F96">
        <w:rPr>
          <w:rFonts w:cs="Times New Roman"/>
          <w:noProof/>
          <w:kern w:val="0"/>
          <w:szCs w:val="24"/>
        </w:rPr>
        <w:t xml:space="preserve">Srimuruganandam, B. and Shiva Nagendra, S. M. (2010) ‘Analysis and interpretation of particulate matter – PM10, PM2.5 and PM1 emissions from the heterogeneous traffic near an urban roadway’, </w:t>
      </w:r>
      <w:r w:rsidRPr="00204F96">
        <w:rPr>
          <w:rFonts w:cs="Times New Roman"/>
          <w:i/>
          <w:iCs/>
          <w:noProof/>
          <w:kern w:val="0"/>
          <w:szCs w:val="24"/>
        </w:rPr>
        <w:t>Atmospheric Pollution Research</w:t>
      </w:r>
      <w:r w:rsidRPr="00204F96">
        <w:rPr>
          <w:rFonts w:cs="Times New Roman"/>
          <w:noProof/>
          <w:kern w:val="0"/>
          <w:szCs w:val="24"/>
        </w:rPr>
        <w:t>, 1(3), pp. 184–194. doi: https://doi.org/10.5094/APR.2010.024.</w:t>
      </w:r>
    </w:p>
    <w:p w14:paraId="4C806CB0" w14:textId="62F2C137" w:rsidR="00204F96" w:rsidRPr="00204F96" w:rsidRDefault="00204F96" w:rsidP="00204F96">
      <w:pPr>
        <w:rPr>
          <w:highlight w:val="white"/>
        </w:rPr>
      </w:pPr>
      <w:r>
        <w:rPr>
          <w:highlight w:val="white"/>
        </w:rPr>
        <w:fldChar w:fldCharType="end"/>
      </w:r>
    </w:p>
    <w:sectPr w:rsidR="00204F96" w:rsidRPr="00204F9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82F3E" w14:textId="77777777" w:rsidR="00BA5902" w:rsidRDefault="00BA5902" w:rsidP="004C29E9">
      <w:pPr>
        <w:spacing w:after="0" w:line="240" w:lineRule="auto"/>
      </w:pPr>
      <w:r>
        <w:separator/>
      </w:r>
    </w:p>
  </w:endnote>
  <w:endnote w:type="continuationSeparator" w:id="0">
    <w:p w14:paraId="28F35B2B" w14:textId="77777777" w:rsidR="00BA5902" w:rsidRDefault="00BA5902" w:rsidP="004C2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제목 CS)">
    <w:altName w:val="바탕"/>
    <w:charset w:val="00"/>
    <w:family w:val="auto"/>
    <w:pitch w:val="variable"/>
    <w:sig w:usb0="E00002FF" w:usb1="5000205A" w:usb2="00000000" w:usb3="00000000" w:csb0="0000019F" w:csb1="00000000"/>
  </w:font>
  <w:font w:name="Times New Roman(본문 CS)">
    <w:altName w:val="바탕"/>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FD72B" w14:textId="77777777" w:rsidR="00BA5902" w:rsidRDefault="00BA5902" w:rsidP="004C29E9">
      <w:pPr>
        <w:spacing w:after="0" w:line="240" w:lineRule="auto"/>
      </w:pPr>
      <w:r>
        <w:separator/>
      </w:r>
    </w:p>
  </w:footnote>
  <w:footnote w:type="continuationSeparator" w:id="0">
    <w:p w14:paraId="024AF964" w14:textId="77777777" w:rsidR="00BA5902" w:rsidRDefault="00BA5902" w:rsidP="004C29E9">
      <w:pPr>
        <w:spacing w:after="0" w:line="240" w:lineRule="auto"/>
      </w:pPr>
      <w:r>
        <w:continuationSeparator/>
      </w:r>
    </w:p>
  </w:footnote>
  <w:footnote w:id="1">
    <w:p w14:paraId="7390360B" w14:textId="77777777" w:rsidR="004C29E9" w:rsidRDefault="004C29E9" w:rsidP="004C29E9">
      <w:pPr>
        <w:pBdr>
          <w:top w:val="nil"/>
          <w:left w:val="nil"/>
          <w:bottom w:val="nil"/>
          <w:right w:val="nil"/>
          <w:between w:val="nil"/>
        </w:pBdr>
        <w:spacing w:after="0" w:line="240" w:lineRule="auto"/>
        <w:rPr>
          <w:rFonts w:eastAsia="Times New Roman"/>
          <w:color w:val="000000"/>
          <w:sz w:val="18"/>
          <w:szCs w:val="18"/>
        </w:rPr>
      </w:pPr>
      <w:r>
        <w:rPr>
          <w:vertAlign w:val="superscript"/>
        </w:rPr>
        <w:footnoteRef/>
      </w:r>
      <w:r>
        <w:rPr>
          <w:rFonts w:eastAsia="Times New Roman"/>
          <w:color w:val="000000"/>
          <w:sz w:val="18"/>
          <w:szCs w:val="18"/>
        </w:rPr>
        <w:t xml:space="preserve"> </w:t>
      </w:r>
      <w:hyperlink r:id="rId1">
        <w:r>
          <w:rPr>
            <w:rFonts w:eastAsia="Times New Roman"/>
            <w:color w:val="0000FF"/>
            <w:sz w:val="18"/>
            <w:szCs w:val="18"/>
            <w:u w:val="single"/>
          </w:rPr>
          <w:t>https://ww2.arb.ca.gov/resources/documents/brake-tire-wear-emissions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A2D59"/>
    <w:multiLevelType w:val="hybridMultilevel"/>
    <w:tmpl w:val="353CC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0NjU3tTQ0MDA0tTRQ0lEKTi0uzszPAykwqgUAN5Q6dywAAAA="/>
  </w:docVars>
  <w:rsids>
    <w:rsidRoot w:val="00D05E71"/>
    <w:rsid w:val="00093C6D"/>
    <w:rsid w:val="00146F7F"/>
    <w:rsid w:val="00204F96"/>
    <w:rsid w:val="004C29E9"/>
    <w:rsid w:val="00671599"/>
    <w:rsid w:val="006B0EA0"/>
    <w:rsid w:val="008A4FD1"/>
    <w:rsid w:val="009E4981"/>
    <w:rsid w:val="00A866D8"/>
    <w:rsid w:val="00BA5902"/>
    <w:rsid w:val="00CF264F"/>
    <w:rsid w:val="00D05E71"/>
    <w:rsid w:val="00EC5E7A"/>
    <w:rsid w:val="00F525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DF02A"/>
  <w15:chartTrackingRefBased/>
  <w15:docId w15:val="{EDCC8FA3-8F27-46B1-9B97-49479145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9E9"/>
    <w:pPr>
      <w:widowControl w:val="0"/>
      <w:wordWrap w:val="0"/>
      <w:autoSpaceDE w:val="0"/>
      <w:autoSpaceDN w:val="0"/>
    </w:pPr>
    <w:rPr>
      <w:rFonts w:ascii="Garamond" w:hAnsi="Garamond"/>
      <w:sz w:val="22"/>
      <w:lang w:val="en-GB"/>
    </w:rPr>
  </w:style>
  <w:style w:type="paragraph" w:styleId="Heading1">
    <w:name w:val="heading 1"/>
    <w:basedOn w:val="Normal"/>
    <w:next w:val="Normal"/>
    <w:link w:val="Heading1Char"/>
    <w:uiPriority w:val="9"/>
    <w:qFormat/>
    <w:rsid w:val="009E4981"/>
    <w:pPr>
      <w:keepNext/>
      <w:outlineLvl w:val="0"/>
    </w:pPr>
    <w:rPr>
      <w:rFonts w:eastAsiaTheme="majorEastAsia" w:cstheme="majorBidi"/>
      <w:sz w:val="36"/>
      <w:szCs w:val="28"/>
    </w:rPr>
  </w:style>
  <w:style w:type="paragraph" w:styleId="Heading3">
    <w:name w:val="heading 3"/>
    <w:basedOn w:val="Normal"/>
    <w:next w:val="Normal"/>
    <w:link w:val="Heading3Char"/>
    <w:uiPriority w:val="9"/>
    <w:unhideWhenUsed/>
    <w:qFormat/>
    <w:rsid w:val="004C29E9"/>
    <w:pPr>
      <w:keepNext/>
      <w:ind w:left="200" w:hangingChars="200" w:hanging="200"/>
      <w:outlineLvl w:val="2"/>
    </w:pPr>
    <w:rPr>
      <w:rFonts w:ascii="Arial" w:eastAsiaTheme="majorEastAsia" w:hAnsi="Arial" w:cs="Times New Roman(제목 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9E9"/>
    <w:rPr>
      <w:rFonts w:ascii="Arial" w:eastAsiaTheme="majorEastAsia" w:hAnsi="Arial" w:cs="Times New Roman(제목 CS)"/>
      <w:sz w:val="22"/>
      <w:lang w:val="en-GB"/>
    </w:rPr>
  </w:style>
  <w:style w:type="paragraph" w:styleId="ListParagraph">
    <w:name w:val="List Paragraph"/>
    <w:basedOn w:val="Normal"/>
    <w:uiPriority w:val="34"/>
    <w:qFormat/>
    <w:rsid w:val="004C29E9"/>
    <w:pPr>
      <w:ind w:leftChars="400" w:left="800"/>
    </w:pPr>
  </w:style>
  <w:style w:type="paragraph" w:customStyle="1" w:styleId="CapFigure">
    <w:name w:val="Cap_Figure"/>
    <w:basedOn w:val="NoSpacing"/>
    <w:qFormat/>
    <w:rsid w:val="004C29E9"/>
    <w:pPr>
      <w:spacing w:after="240"/>
      <w:jc w:val="center"/>
    </w:pPr>
    <w:rPr>
      <w:rFonts w:cs="Times New Roman(본문 CS)"/>
      <w:sz w:val="20"/>
    </w:rPr>
  </w:style>
  <w:style w:type="table" w:styleId="PlainTable5">
    <w:name w:val="Plain Table 5"/>
    <w:basedOn w:val="TableNormal"/>
    <w:uiPriority w:val="45"/>
    <w:rsid w:val="004C29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apTable">
    <w:name w:val="Cap_Table"/>
    <w:basedOn w:val="CapFigure"/>
    <w:qFormat/>
    <w:rsid w:val="004C29E9"/>
    <w:pPr>
      <w:spacing w:after="0"/>
    </w:pPr>
  </w:style>
  <w:style w:type="paragraph" w:styleId="NoSpacing">
    <w:name w:val="No Spacing"/>
    <w:uiPriority w:val="1"/>
    <w:qFormat/>
    <w:rsid w:val="004C29E9"/>
    <w:pPr>
      <w:widowControl w:val="0"/>
      <w:wordWrap w:val="0"/>
      <w:autoSpaceDE w:val="0"/>
      <w:autoSpaceDN w:val="0"/>
      <w:spacing w:after="0" w:line="240" w:lineRule="auto"/>
    </w:pPr>
    <w:rPr>
      <w:rFonts w:ascii="Garamond" w:hAnsi="Garamond"/>
      <w:sz w:val="22"/>
      <w:lang w:val="en-GB"/>
    </w:rPr>
  </w:style>
  <w:style w:type="character" w:customStyle="1" w:styleId="Heading1Char">
    <w:name w:val="Heading 1 Char"/>
    <w:basedOn w:val="DefaultParagraphFont"/>
    <w:link w:val="Heading1"/>
    <w:uiPriority w:val="9"/>
    <w:rsid w:val="009E4981"/>
    <w:rPr>
      <w:rFonts w:ascii="Garamond" w:eastAsiaTheme="majorEastAsia" w:hAnsi="Garamond" w:cstheme="majorBidi"/>
      <w:sz w:val="36"/>
      <w:szCs w:val="28"/>
      <w:lang w:val="en-GB"/>
    </w:rPr>
  </w:style>
  <w:style w:type="paragraph" w:styleId="Header">
    <w:name w:val="header"/>
    <w:basedOn w:val="Normal"/>
    <w:link w:val="HeaderChar"/>
    <w:uiPriority w:val="99"/>
    <w:unhideWhenUsed/>
    <w:rsid w:val="00EC5E7A"/>
    <w:pPr>
      <w:tabs>
        <w:tab w:val="center" w:pos="4513"/>
        <w:tab w:val="right" w:pos="9026"/>
      </w:tabs>
      <w:snapToGrid w:val="0"/>
    </w:pPr>
  </w:style>
  <w:style w:type="character" w:customStyle="1" w:styleId="HeaderChar">
    <w:name w:val="Header Char"/>
    <w:basedOn w:val="DefaultParagraphFont"/>
    <w:link w:val="Header"/>
    <w:uiPriority w:val="99"/>
    <w:rsid w:val="00EC5E7A"/>
    <w:rPr>
      <w:rFonts w:ascii="Garamond" w:hAnsi="Garamond"/>
      <w:sz w:val="22"/>
      <w:lang w:val="en-GB"/>
    </w:rPr>
  </w:style>
  <w:style w:type="paragraph" w:styleId="Footer">
    <w:name w:val="footer"/>
    <w:basedOn w:val="Normal"/>
    <w:link w:val="FooterChar"/>
    <w:uiPriority w:val="99"/>
    <w:unhideWhenUsed/>
    <w:rsid w:val="00EC5E7A"/>
    <w:pPr>
      <w:tabs>
        <w:tab w:val="center" w:pos="4513"/>
        <w:tab w:val="right" w:pos="9026"/>
      </w:tabs>
      <w:snapToGrid w:val="0"/>
    </w:pPr>
  </w:style>
  <w:style w:type="character" w:customStyle="1" w:styleId="FooterChar">
    <w:name w:val="Footer Char"/>
    <w:basedOn w:val="DefaultParagraphFont"/>
    <w:link w:val="Footer"/>
    <w:uiPriority w:val="99"/>
    <w:rsid w:val="00EC5E7A"/>
    <w:rPr>
      <w:rFonts w:ascii="Garamond" w:hAnsi="Garamond"/>
      <w:sz w:val="22"/>
      <w:lang w:val="en-GB"/>
    </w:rPr>
  </w:style>
  <w:style w:type="paragraph" w:styleId="Title">
    <w:name w:val="Title"/>
    <w:basedOn w:val="Normal"/>
    <w:next w:val="Normal"/>
    <w:link w:val="TitleChar"/>
    <w:uiPriority w:val="10"/>
    <w:qFormat/>
    <w:rsid w:val="009E4981"/>
    <w:pPr>
      <w:spacing w:before="240" w:after="120"/>
      <w:jc w:val="center"/>
      <w:outlineLvl w:val="0"/>
    </w:pPr>
    <w:rPr>
      <w:rFonts w:eastAsiaTheme="majorEastAsia" w:cstheme="majorBidi"/>
      <w:b/>
      <w:bCs/>
      <w:sz w:val="48"/>
      <w:szCs w:val="32"/>
    </w:rPr>
  </w:style>
  <w:style w:type="character" w:customStyle="1" w:styleId="TitleChar">
    <w:name w:val="Title Char"/>
    <w:basedOn w:val="DefaultParagraphFont"/>
    <w:link w:val="Title"/>
    <w:uiPriority w:val="10"/>
    <w:rsid w:val="009E4981"/>
    <w:rPr>
      <w:rFonts w:ascii="Garamond" w:eastAsiaTheme="majorEastAsia" w:hAnsi="Garamond" w:cstheme="majorBidi"/>
      <w:b/>
      <w:bCs/>
      <w:sz w:val="48"/>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2.arb.ca.gov/resources/documents/brake-tire-wear-e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88D21-4876-4390-A646-103DAA0A3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5557</Words>
  <Characters>31678</Characters>
  <Application>Microsoft Office Word</Application>
  <DocSecurity>0</DocSecurity>
  <Lines>263</Lines>
  <Paragraphs>74</Paragraphs>
  <ScaleCrop>false</ScaleCrop>
  <Company/>
  <LinksUpToDate>false</LinksUpToDate>
  <CharactersWithSpaces>37161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Hyesop Shin</dc:creator>
  <cp:keywords/>
  <dc:description/>
  <cp:lastModifiedBy>Hyesop Shin</cp:lastModifiedBy>
  <cp:revision>10</cp:revision>
  <dcterms:created xsi:type="dcterms:W3CDTF">2022-01-06T09:42:00Z</dcterms:created>
  <dcterms:modified xsi:type="dcterms:W3CDTF">2022-01-11T14:00:00Z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819d1cda-aba0-3e54-abea-9c49939207af</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