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C1D40"/>
          <w:sz w:val="30"/>
          <w:szCs w:val="30"/>
        </w:rPr>
        <w:t xml:space="preserve">CRIA — Responses to Discussion Points &amp; Manuscript Positioning</w:t>
      </w:r>
    </w:p>
    <w:p>
      <w:pPr>
        <w:pBdr>
          <w:bottom w:val="single" w:color="B8860B" w:sz="12" w:space="6"/>
        </w:pBdr>
        <w:spacing w:after="40"/>
      </w:pPr>
      <w:r>
        <w:rPr>
          <w:color w:val="44515e"/>
          <w:sz w:val="19"/>
          <w:szCs w:val="19"/>
        </w:rPr>
        <w:t xml:space="preserve">Colorado River Intelligent Assessment  ·  NASA Applied Sciences 80NSSC22K0925  ·  PI: E. R. Vivoni (ASU)</w:t>
      </w:r>
    </w:p>
    <w:p>
      <w:pPr>
        <w:spacing w:after="160" w:before="120"/>
      </w:pPr>
      <w:r>
        <w:rPr>
          <w:b w:val="false"/>
          <w:bCs w:val="false"/>
          <w:i/>
          <w:iCs/>
          <w:color w:val="44515e"/>
          <w:sz w:val="21"/>
          <w:szCs w:val="21"/>
        </w:rPr>
        <w:t xml:space="preserve">Prepared by Pradeepika Kaushik. Positioning of the CRIA decision-support platform relative to the CRB Scenario-Explorer (Whitney et al., 2023) and framing for a tool manuscript, in response to the discussion notes.</w:t>
      </w:r>
    </w:p>
    <w:p>
      <w:pPr>
        <w:pStyle w:val="Heading1"/>
        <w:spacing w:after="100" w:before="240"/>
      </w:pPr>
      <w:r>
        <w:rPr>
          <w:b/>
          <w:bCs/>
          <w:color w:val="8C1D40"/>
        </w:rPr>
        <w:t xml:space="preserve">Positioning in one paragraph</w:t>
      </w:r>
    </w:p>
    <w:p>
      <w:pPr>
        <w:spacing w:after="120" w:line="276"/>
      </w:pPr>
      <w:r>
        <w:rPr>
          <w:color w:val="44515e"/>
          <w:sz w:val="21"/>
          <w:szCs w:val="21"/>
        </w:rPr>
        <w:t xml:space="preserve">CRIA is the successor and substantial extension of the lab's earlier accessibility work. Whitney et al. (2023) established that regional VIC hydrologic projections can be made accessible and interactive for water managers through a stakeholder-engaged scenario explorer. CRIA carries that mission forward in three ways: it moves from projection visualization to observation-validated, uncertainty-aware diagnostics; it broadens from a single scenario theme to a whole-basin, multi-process assessment; and it couples the science to the operational variables managers actually use — acre-feet, Lake Mead shortage tiers, and live reservoir levels. CRIA complements rather than replaces the Scenario-Explorer, and shares its lineage (Vivoni, White) and NASA Applied Sciences heritage.</w:t>
      </w:r>
    </w:p>
    <w:p>
      <w:pPr>
        <w:pStyle w:val="Heading1"/>
        <w:spacing w:after="100" w:before="240"/>
      </w:pPr>
      <w:r>
        <w:rPr>
          <w:b/>
          <w:bCs/>
          <w:color w:val="8C1D40"/>
        </w:rPr>
        <w:t xml:space="preserve">Primary user persona: the Technical Water Manager</w:t>
      </w:r>
    </w:p>
    <w:p>
      <w:pPr>
        <w:spacing w:after="120" w:line="276"/>
      </w:pPr>
      <w:r>
        <w:rPr>
          <w:color w:val="44515e"/>
          <w:sz w:val="21"/>
          <w:szCs w:val="21"/>
        </w:rPr>
        <w:t xml:space="preserve">CRIA is designed first for the Technical Water Manager — an analyst or planner at an operating agency such as the Central Arizona Project (CAWCD), the Bureau of Reclamation, or the Arizona Department of Water Resources. This user is quantitatively fluent and accountable for supply, shortage, and allocation decisions, but does not run hydrologic models. They need a basin-wide, internally consistent, observation-validated picture — with uncertainty made explicit and results already expressed in operational units — so that NASA Earth-observation science plugs directly into planning. Secondary audiences (basin states and Tribes, ASU researchers and students, NASA applied-science partners, and policy/outreach) are served by the same curated, explainable interface.</w:t>
      </w:r>
    </w:p>
    <w:p>
      <w:pPr>
        <w:pStyle w:val="Heading1"/>
        <w:spacing w:after="100" w:before="240"/>
      </w:pPr>
      <w:r>
        <w:rPr>
          <w:b/>
          <w:bCs/>
          <w:color w:val="8C1D40"/>
        </w:rPr>
        <w:t xml:space="preserve">Q1 — What makes this work novel?</w:t>
      </w:r>
    </w:p>
    <w:p>
      <w:pPr>
        <w:spacing w:after="120" w:line="276"/>
      </w:pPr>
      <w:r>
        <w:rPr>
          <w:b w:val="false"/>
          <w:bCs w:val="false"/>
          <w:i w:val="false"/>
          <w:iCs w:val="false"/>
          <w:color w:val="44515e"/>
          <w:sz w:val="21"/>
          <w:szCs w:val="21"/>
        </w:rPr>
        <w:t xml:space="preserve">CRIA's contribution is not a new model but a new class of tool: an </w:t>
      </w:r>
      <w:r>
        <w:rPr>
          <w:b/>
          <w:bCs/>
          <w:i w:val="false"/>
          <w:iCs w:val="false"/>
          <w:color w:val="0D2137"/>
          <w:sz w:val="21"/>
          <w:szCs w:val="21"/>
        </w:rPr>
        <w:t xml:space="preserve">observation-validated, whole-basin, decision-ready assessment platform</w:t>
      </w:r>
      <w:r>
        <w:rPr>
          <w:b w:val="false"/>
          <w:bCs w:val="false"/>
          <w:i w:val="false"/>
          <w:iCs w:val="false"/>
          <w:color w:val="44515e"/>
          <w:sz w:val="21"/>
          <w:szCs w:val="21"/>
        </w:rPr>
        <w:t xml:space="preserve">. Five elements distinguish it:</w:t>
      </w:r>
    </w:p>
    <w:p>
      <w:pPr>
        <w:pStyle w:val="ListParagraph"/>
        <w:numPr>
          <w:ilvl w:val="0"/>
          <w:numId w:val="2"/>
        </w:numPr>
        <w:spacing w:after="100" w:line="272"/>
      </w:pPr>
      <w:r>
        <w:rPr>
          <w:b/>
          <w:bCs/>
          <w:i w:val="false"/>
          <w:iCs w:val="false"/>
          <w:color w:val="0D2137"/>
          <w:sz w:val="21"/>
          <w:szCs w:val="21"/>
        </w:rPr>
        <w:t xml:space="preserve">Validated diagnostics, not just projections. </w:t>
      </w:r>
      <w:r>
        <w:rPr>
          <w:b w:val="false"/>
          <w:bCs w:val="false"/>
          <w:i w:val="false"/>
          <w:iCs w:val="false"/>
          <w:color w:val="44515e"/>
          <w:sz w:val="21"/>
          <w:szCs w:val="21"/>
        </w:rPr>
        <w:t xml:space="preserve">The PRISM-calibrated VIC 5.0 reanalysis is independently evaluated against NASA GRACE (storage) and SMAP (soil moisture) and reproduces Upper-Basin streamflow with NSE approximately 0.96; key results are shown beside their published values. This shifts the tool from 'explore projections' to 'explore evidence you can trust.'</w:t>
      </w:r>
    </w:p>
    <w:p>
      <w:pPr>
        <w:pStyle w:val="ListParagraph"/>
        <w:numPr>
          <w:ilvl w:val="0"/>
          <w:numId w:val="2"/>
        </w:numPr>
        <w:spacing w:after="100" w:line="272"/>
      </w:pPr>
      <w:r>
        <w:rPr>
          <w:b/>
          <w:bCs/>
          <w:i w:val="false"/>
          <w:iCs w:val="false"/>
          <w:color w:val="0D2137"/>
          <w:sz w:val="21"/>
          <w:szCs w:val="21"/>
        </w:rPr>
        <w:t xml:space="preserve">Whole-system integration. </w:t>
      </w:r>
      <w:r>
        <w:rPr>
          <w:b w:val="false"/>
          <w:bCs w:val="false"/>
          <w:i w:val="false"/>
          <w:iCs w:val="false"/>
          <w:color w:val="44515e"/>
          <w:sz w:val="21"/>
          <w:szCs w:val="21"/>
        </w:rPr>
        <w:t xml:space="preserve">Supply, snowpack, drought propagation (meteorological to soil to hydrological), GRACE storage, reservoir shortage tiers, multi-model projections (CMIP5/6, NMME), spatial pattern, and aridification live in one consistent platform and units — rather than in separate tools.</w:t>
      </w:r>
    </w:p>
    <w:p>
      <w:pPr>
        <w:pStyle w:val="ListParagraph"/>
        <w:numPr>
          <w:ilvl w:val="0"/>
          <w:numId w:val="2"/>
        </w:numPr>
        <w:spacing w:after="100" w:line="272"/>
      </w:pPr>
      <w:r>
        <w:rPr>
          <w:b/>
          <w:bCs/>
          <w:i w:val="false"/>
          <w:iCs w:val="false"/>
          <w:color w:val="0D2137"/>
          <w:sz w:val="21"/>
          <w:szCs w:val="21"/>
        </w:rPr>
        <w:t xml:space="preserve">Science coupled to operational decisions. </w:t>
      </w:r>
      <w:r>
        <w:rPr>
          <w:b w:val="false"/>
          <w:bCs w:val="false"/>
          <w:i w:val="false"/>
          <w:iCs w:val="false"/>
          <w:color w:val="44515e"/>
          <w:sz w:val="21"/>
          <w:szCs w:val="21"/>
        </w:rPr>
        <w:t xml:space="preserve">Outputs are expressed in acre-feet and Lake Mead shortage tiers, with live USBR reservoir levels, so hydrologic results connect directly to allocation and planning.</w:t>
      </w:r>
    </w:p>
    <w:p>
      <w:pPr>
        <w:pStyle w:val="ListParagraph"/>
        <w:numPr>
          <w:ilvl w:val="0"/>
          <w:numId w:val="2"/>
        </w:numPr>
        <w:spacing w:after="100" w:line="272"/>
      </w:pPr>
      <w:r>
        <w:rPr>
          <w:b/>
          <w:bCs/>
          <w:i w:val="false"/>
          <w:iCs w:val="false"/>
          <w:color w:val="0D2137"/>
          <w:sz w:val="21"/>
          <w:szCs w:val="21"/>
        </w:rPr>
        <w:t xml:space="preserve">Multi-sensor data fusion. </w:t>
      </w:r>
      <w:r>
        <w:rPr>
          <w:b w:val="false"/>
          <w:bCs w:val="false"/>
          <w:i w:val="false"/>
          <w:iCs w:val="false"/>
          <w:color w:val="44515e"/>
          <w:sz w:val="21"/>
          <w:szCs w:val="21"/>
        </w:rPr>
        <w:t xml:space="preserve">VIC reanalysis is reconciled with GRACE, SMAP, SNOTEL, and live USBR operations into a single basin-wide evidence base — with explicit uncertainty (95% CIs, Mann-Kendall significance, bootstrap).</w:t>
      </w:r>
    </w:p>
    <w:p>
      <w:pPr>
        <w:pStyle w:val="ListParagraph"/>
        <w:numPr>
          <w:ilvl w:val="0"/>
          <w:numId w:val="2"/>
        </w:numPr>
        <w:spacing w:after="100" w:line="272"/>
      </w:pPr>
      <w:r>
        <w:rPr>
          <w:b/>
          <w:bCs/>
          <w:i w:val="false"/>
          <w:iCs w:val="false"/>
          <w:color w:val="0D2137"/>
          <w:sz w:val="21"/>
          <w:szCs w:val="21"/>
        </w:rPr>
        <w:t xml:space="preserve">Explainability and an organizing framework. </w:t>
      </w:r>
      <w:r>
        <w:rPr>
          <w:b w:val="false"/>
          <w:bCs w:val="false"/>
          <w:i w:val="false"/>
          <w:iCs w:val="false"/>
          <w:color w:val="44515e"/>
          <w:sz w:val="21"/>
          <w:szCs w:val="21"/>
        </w:rPr>
        <w:t xml:space="preserve">A built-in AI assistant (RIA) and guided 'how to read / why it matters' interpretation on every view lower the expertise barrier, and the platform is organized by a biophysical-plus-sociopolitical infrastructure-asset lens (Objective 3 of the current award).</w:t>
      </w:r>
    </w:p>
    <w:p>
      <w:pPr>
        <w:pStyle w:val="Heading1"/>
        <w:spacing w:after="100" w:before="240"/>
      </w:pPr>
      <w:r>
        <w:rPr>
          <w:b/>
          <w:bCs/>
          <w:color w:val="8C1D40"/>
        </w:rPr>
        <w:t xml:space="preserve">Q2 — How does CRIA differ from the Whitney et al. (2023) tool?</w:t>
      </w:r>
    </w:p>
    <w:p>
      <w:pPr>
        <w:spacing w:after="120" w:line="276"/>
      </w:pPr>
      <w:r>
        <w:rPr>
          <w:b w:val="false"/>
          <w:bCs w:val="false"/>
          <w:i w:val="false"/>
          <w:iCs w:val="false"/>
          <w:color w:val="44515e"/>
          <w:sz w:val="21"/>
          <w:szCs w:val="21"/>
        </w:rPr>
        <w:t xml:space="preserve">The two tools share a lineage — the same lab, the same VIC modeling heritage, and the same NASA Applied Sciences program — so CRIA is best framed as an </w:t>
      </w:r>
      <w:r>
        <w:rPr>
          <w:b/>
          <w:bCs/>
          <w:i w:val="false"/>
          <w:iCs w:val="false"/>
          <w:color w:val="0D2137"/>
          <w:sz w:val="21"/>
          <w:szCs w:val="21"/>
        </w:rPr>
        <w:t xml:space="preserve">evolution</w:t>
      </w:r>
      <w:r>
        <w:rPr>
          <w:b w:val="false"/>
          <w:bCs w:val="false"/>
          <w:i w:val="false"/>
          <w:iCs w:val="false"/>
          <w:color w:val="44515e"/>
          <w:sz w:val="21"/>
          <w:szCs w:val="21"/>
        </w:rPr>
        <w:t xml:space="preserve"> of the Scenario-Explorer, not a competitor. Whitney et al. (2023) delivered a focused, stakeholder-engaged scenario explorer (Shiny/R) that made VIC projections of streamflow under climate-change and forest-disturbance scenarios accessible to managers, with formal user-experience testing. CRIA extends that foundation along four axes: from projections to observation-validated diagnostics with explicit uncertainty; from one scenario theme to whole-system integration; from projection context to live operational decision variables; and by adding built-in explainability and the asset-framework organizing theory. The table summarizes the differences.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00"/>
        <w:gridCol w:w="3620"/>
        <w:gridCol w:w="3620"/>
      </w:tblGrid>
      <w:tr>
        <w:trPr>
          <w:tblHeader/>
        </w:trPr>
        <w:tc>
          <w:tcPr>
            <w:tcW w:type="dxa" w:w="3000"/>
            <w:shd w:fill="8C1D40" w:val="clear"/>
            <w:tcMar>
              <w:top w:type="dxa" w:w="60"/>
              <w:left w:type="dxa" w:w="90"/>
              <w:bottom w:type="dxa" w:w="60"/>
              <w:right w:type="dxa" w:w="90"/>
            </w:tcMar>
          </w:tcPr>
          <w:p>
            <w:r>
              <w:rPr>
                <w:b/>
                <w:bCs/>
                <w:color w:val="FFFFFF"/>
                <w:sz w:val="20"/>
                <w:szCs w:val="20"/>
              </w:rPr>
              <w:t xml:space="preserve">Dimension</w:t>
            </w:r>
          </w:p>
        </w:tc>
        <w:tc>
          <w:tcPr>
            <w:tcW w:type="dxa" w:w="3620"/>
            <w:shd w:fill="8C1D40" w:val="clear"/>
            <w:tcMar>
              <w:top w:type="dxa" w:w="60"/>
              <w:left w:type="dxa" w:w="90"/>
              <w:bottom w:type="dxa" w:w="60"/>
              <w:right w:type="dxa" w:w="90"/>
            </w:tcMar>
          </w:tcPr>
          <w:p>
            <w:r>
              <w:rPr>
                <w:b/>
                <w:bCs/>
                <w:color w:val="FFFFFF"/>
                <w:sz w:val="20"/>
                <w:szCs w:val="20"/>
              </w:rPr>
              <w:t xml:space="preserve">CRB Scenario-Explorer — Whitney et al. (2023)</w:t>
            </w:r>
          </w:p>
        </w:tc>
        <w:tc>
          <w:tcPr>
            <w:tcW w:type="dxa" w:w="3620"/>
            <w:shd w:fill="8C1D40" w:val="clear"/>
            <w:tcMar>
              <w:top w:type="dxa" w:w="60"/>
              <w:left w:type="dxa" w:w="90"/>
              <w:bottom w:type="dxa" w:w="60"/>
              <w:right w:type="dxa" w:w="90"/>
            </w:tcMar>
          </w:tcPr>
          <w:p>
            <w:r>
              <w:rPr>
                <w:b/>
                <w:bCs/>
                <w:color w:val="FFFFFF"/>
                <w:sz w:val="20"/>
                <w:szCs w:val="20"/>
              </w:rPr>
              <w:t xml:space="preserve">CRIA (this work)</w:t>
            </w:r>
          </w:p>
        </w:tc>
      </w:tr>
      <w:tr>
        <w:tc>
          <w:tcPr>
            <w:tcW w:type="dxa" w:w="3000"/>
            <w:shd w:fill="F5EAEE" w:val="clear"/>
            <w:tcMar>
              <w:top w:type="dxa" w:w="50"/>
              <w:left w:type="dxa" w:w="90"/>
              <w:bottom w:type="dxa" w:w="50"/>
              <w:right w:type="dxa" w:w="90"/>
            </w:tcMar>
          </w:tcPr>
          <w:p>
            <w:r>
              <w:rPr>
                <w:b/>
                <w:bCs/>
                <w:color w:val="0D2137"/>
                <w:sz w:val="19"/>
                <w:szCs w:val="19"/>
              </w:rPr>
              <w:t xml:space="preserve">Primary purpose</w:t>
            </w:r>
          </w:p>
        </w:tc>
        <w:tc>
          <w:tcPr>
            <w:tcW w:type="dxa" w:w="3620"/>
            <w:tcMar>
              <w:top w:type="dxa" w:w="50"/>
              <w:left w:type="dxa" w:w="90"/>
              <w:bottom w:type="dxa" w:w="50"/>
              <w:right w:type="dxa" w:w="90"/>
            </w:tcMar>
          </w:tcPr>
          <w:p>
            <w:r>
              <w:rPr>
                <w:b w:val="false"/>
                <w:bCs w:val="false"/>
                <w:color w:val="44515e"/>
                <w:sz w:val="19"/>
                <w:szCs w:val="19"/>
              </w:rPr>
              <w:t xml:space="preserve">Explore and visualize VIC hydrologic projections under climate-change and forest-disturbance scenarios.</w:t>
            </w:r>
          </w:p>
        </w:tc>
        <w:tc>
          <w:tcPr>
            <w:tcW w:type="dxa" w:w="3620"/>
            <w:tcMar>
              <w:top w:type="dxa" w:w="50"/>
              <w:left w:type="dxa" w:w="90"/>
              <w:bottom w:type="dxa" w:w="50"/>
              <w:right w:type="dxa" w:w="90"/>
            </w:tcMar>
          </w:tcPr>
          <w:p>
            <w:r>
              <w:rPr>
                <w:b w:val="false"/>
                <w:bCs w:val="false"/>
                <w:color w:val="44515e"/>
                <w:sz w:val="19"/>
                <w:szCs w:val="19"/>
              </w:rPr>
              <w:t xml:space="preserve">Whole-basin, observation-validated assessment linking hydrology to operational decisions.</w:t>
            </w:r>
          </w:p>
        </w:tc>
      </w:tr>
      <w:tr>
        <w:tc>
          <w:tcPr>
            <w:tcW w:type="dxa" w:w="3000"/>
            <w:shd w:fill="F5EAEE" w:val="clear"/>
            <w:tcMar>
              <w:top w:type="dxa" w:w="50"/>
              <w:left w:type="dxa" w:w="90"/>
              <w:bottom w:type="dxa" w:w="50"/>
              <w:right w:type="dxa" w:w="90"/>
            </w:tcMar>
          </w:tcPr>
          <w:p>
            <w:r>
              <w:rPr>
                <w:b/>
                <w:bCs/>
                <w:color w:val="0D2137"/>
                <w:sz w:val="19"/>
                <w:szCs w:val="19"/>
              </w:rPr>
              <w:t xml:space="preserve">Scope</w:t>
            </w:r>
          </w:p>
        </w:tc>
        <w:tc>
          <w:tcPr>
            <w:tcW w:type="dxa" w:w="3620"/>
            <w:tcMar>
              <w:top w:type="dxa" w:w="50"/>
              <w:left w:type="dxa" w:w="90"/>
              <w:bottom w:type="dxa" w:w="50"/>
              <w:right w:type="dxa" w:w="90"/>
            </w:tcMar>
          </w:tcPr>
          <w:p>
            <w:r>
              <w:rPr>
                <w:b w:val="false"/>
                <w:bCs w:val="false"/>
                <w:color w:val="44515e"/>
                <w:sz w:val="19"/>
                <w:szCs w:val="19"/>
              </w:rPr>
              <w:t xml:space="preserve">Focused scenario explorer centered on streamflow response to disturbance/climate scenarios.</w:t>
            </w:r>
          </w:p>
        </w:tc>
        <w:tc>
          <w:tcPr>
            <w:tcW w:type="dxa" w:w="3620"/>
            <w:tcMar>
              <w:top w:type="dxa" w:w="50"/>
              <w:left w:type="dxa" w:w="90"/>
              <w:bottom w:type="dxa" w:w="50"/>
              <w:right w:type="dxa" w:w="90"/>
            </w:tcMar>
          </w:tcPr>
          <w:p>
            <w:r>
              <w:rPr>
                <w:b w:val="false"/>
                <w:bCs w:val="false"/>
                <w:color w:val="44515e"/>
                <w:sz w:val="19"/>
                <w:szCs w:val="19"/>
              </w:rPr>
              <w:t xml:space="preserve">30 integrated views: supply, snowpack, drought propagation, storage, reservoir tiers, projections, spatial, uncertainty, governance.</w:t>
            </w:r>
          </w:p>
        </w:tc>
      </w:tr>
      <w:tr>
        <w:tc>
          <w:tcPr>
            <w:tcW w:type="dxa" w:w="3000"/>
            <w:shd w:fill="F5EAEE" w:val="clear"/>
            <w:tcMar>
              <w:top w:type="dxa" w:w="50"/>
              <w:left w:type="dxa" w:w="90"/>
              <w:bottom w:type="dxa" w:w="50"/>
              <w:right w:type="dxa" w:w="90"/>
            </w:tcMar>
          </w:tcPr>
          <w:p>
            <w:r>
              <w:rPr>
                <w:b/>
                <w:bCs/>
                <w:color w:val="0D2137"/>
                <w:sz w:val="19"/>
                <w:szCs w:val="19"/>
              </w:rPr>
              <w:t xml:space="preserve">Evidence base</w:t>
            </w:r>
          </w:p>
        </w:tc>
        <w:tc>
          <w:tcPr>
            <w:tcW w:type="dxa" w:w="3620"/>
            <w:tcMar>
              <w:top w:type="dxa" w:w="50"/>
              <w:left w:type="dxa" w:w="90"/>
              <w:bottom w:type="dxa" w:w="50"/>
              <w:right w:type="dxa" w:w="90"/>
            </w:tcMar>
          </w:tcPr>
          <w:p>
            <w:r>
              <w:rPr>
                <w:b w:val="false"/>
                <w:bCs w:val="false"/>
                <w:color w:val="44515e"/>
                <w:sz w:val="19"/>
                <w:szCs w:val="19"/>
              </w:rPr>
              <w:t xml:space="preserve">VIC model projections.</w:t>
            </w:r>
          </w:p>
        </w:tc>
        <w:tc>
          <w:tcPr>
            <w:tcW w:type="dxa" w:w="3620"/>
            <w:tcMar>
              <w:top w:type="dxa" w:w="50"/>
              <w:left w:type="dxa" w:w="90"/>
              <w:bottom w:type="dxa" w:w="50"/>
              <w:right w:type="dxa" w:w="90"/>
            </w:tcMar>
          </w:tcPr>
          <w:p>
            <w:r>
              <w:rPr>
                <w:b w:val="false"/>
                <w:bCs w:val="false"/>
                <w:color w:val="44515e"/>
                <w:sz w:val="19"/>
                <w:szCs w:val="19"/>
              </w:rPr>
              <w:t xml:space="preserve">PRISM-calibrated VIC 5.0 reanalysis independently validated against NASA GRACE and SMAP; NSE approximately 0.96 for Upper-Basin streamflow.</w:t>
            </w:r>
          </w:p>
        </w:tc>
      </w:tr>
      <w:tr>
        <w:tc>
          <w:tcPr>
            <w:tcW w:type="dxa" w:w="3000"/>
            <w:shd w:fill="F5EAEE" w:val="clear"/>
            <w:tcMar>
              <w:top w:type="dxa" w:w="50"/>
              <w:left w:type="dxa" w:w="90"/>
              <w:bottom w:type="dxa" w:w="50"/>
              <w:right w:type="dxa" w:w="90"/>
            </w:tcMar>
          </w:tcPr>
          <w:p>
            <w:r>
              <w:rPr>
                <w:b/>
                <w:bCs/>
                <w:color w:val="0D2137"/>
                <w:sz w:val="19"/>
                <w:szCs w:val="19"/>
              </w:rPr>
              <w:t xml:space="preserve">Uncertainty</w:t>
            </w:r>
          </w:p>
        </w:tc>
        <w:tc>
          <w:tcPr>
            <w:tcW w:type="dxa" w:w="3620"/>
            <w:tcMar>
              <w:top w:type="dxa" w:w="50"/>
              <w:left w:type="dxa" w:w="90"/>
              <w:bottom w:type="dxa" w:w="50"/>
              <w:right w:type="dxa" w:w="90"/>
            </w:tcMar>
          </w:tcPr>
          <w:p>
            <w:r>
              <w:rPr>
                <w:b w:val="false"/>
                <w:bCs w:val="false"/>
                <w:color w:val="44515e"/>
                <w:sz w:val="19"/>
                <w:szCs w:val="19"/>
              </w:rPr>
              <w:t xml:space="preserve">Scenario spread across model runs.</w:t>
            </w:r>
          </w:p>
        </w:tc>
        <w:tc>
          <w:tcPr>
            <w:tcW w:type="dxa" w:w="3620"/>
            <w:tcMar>
              <w:top w:type="dxa" w:w="50"/>
              <w:left w:type="dxa" w:w="90"/>
              <w:bottom w:type="dxa" w:w="50"/>
              <w:right w:type="dxa" w:w="90"/>
            </w:tcMar>
          </w:tcPr>
          <w:p>
            <w:r>
              <w:rPr>
                <w:b w:val="false"/>
                <w:bCs w:val="false"/>
                <w:color w:val="44515e"/>
                <w:sz w:val="19"/>
                <w:szCs w:val="19"/>
              </w:rPr>
              <w:t xml:space="preserve">Explicit 95% confidence intervals, Mann-Kendall significance, and bootstrap CIs shown on flagship views; results benchmarked to published values.</w:t>
            </w:r>
          </w:p>
        </w:tc>
      </w:tr>
      <w:tr>
        <w:tc>
          <w:tcPr>
            <w:tcW w:type="dxa" w:w="3000"/>
            <w:shd w:fill="F5EAEE" w:val="clear"/>
            <w:tcMar>
              <w:top w:type="dxa" w:w="50"/>
              <w:left w:type="dxa" w:w="90"/>
              <w:bottom w:type="dxa" w:w="50"/>
              <w:right w:type="dxa" w:w="90"/>
            </w:tcMar>
          </w:tcPr>
          <w:p>
            <w:r>
              <w:rPr>
                <w:b/>
                <w:bCs/>
                <w:color w:val="0D2137"/>
                <w:sz w:val="19"/>
                <w:szCs w:val="19"/>
              </w:rPr>
              <w:t xml:space="preserve">Operational link</w:t>
            </w:r>
          </w:p>
        </w:tc>
        <w:tc>
          <w:tcPr>
            <w:tcW w:type="dxa" w:w="3620"/>
            <w:tcMar>
              <w:top w:type="dxa" w:w="50"/>
              <w:left w:type="dxa" w:w="90"/>
              <w:bottom w:type="dxa" w:w="50"/>
              <w:right w:type="dxa" w:w="90"/>
            </w:tcMar>
          </w:tcPr>
          <w:p>
            <w:r>
              <w:rPr>
                <w:b w:val="false"/>
                <w:bCs w:val="false"/>
                <w:color w:val="44515e"/>
                <w:sz w:val="19"/>
                <w:szCs w:val="19"/>
              </w:rPr>
              <w:t xml:space="preserve">Projection outputs for planning context.</w:t>
            </w:r>
          </w:p>
        </w:tc>
        <w:tc>
          <w:tcPr>
            <w:tcW w:type="dxa" w:w="3620"/>
            <w:tcMar>
              <w:top w:type="dxa" w:w="50"/>
              <w:left w:type="dxa" w:w="90"/>
              <w:bottom w:type="dxa" w:w="50"/>
              <w:right w:type="dxa" w:w="90"/>
            </w:tcMar>
          </w:tcPr>
          <w:p>
            <w:r>
              <w:rPr>
                <w:b w:val="false"/>
                <w:bCs w:val="false"/>
                <w:color w:val="44515e"/>
                <w:sz w:val="19"/>
                <w:szCs w:val="19"/>
              </w:rPr>
              <w:t xml:space="preserve">Live USBR reservoir levels, Lake Mead shortage tiers, and acre-feet units connect science to allocation decisions.</w:t>
            </w:r>
          </w:p>
        </w:tc>
      </w:tr>
      <w:tr>
        <w:tc>
          <w:tcPr>
            <w:tcW w:type="dxa" w:w="3000"/>
            <w:shd w:fill="F5EAEE" w:val="clear"/>
            <w:tcMar>
              <w:top w:type="dxa" w:w="50"/>
              <w:left w:type="dxa" w:w="90"/>
              <w:bottom w:type="dxa" w:w="50"/>
              <w:right w:type="dxa" w:w="90"/>
            </w:tcMar>
          </w:tcPr>
          <w:p>
            <w:r>
              <w:rPr>
                <w:b/>
                <w:bCs/>
                <w:color w:val="0D2137"/>
                <w:sz w:val="19"/>
                <w:szCs w:val="19"/>
              </w:rPr>
              <w:t xml:space="preserve">Data sources</w:t>
            </w:r>
          </w:p>
        </w:tc>
        <w:tc>
          <w:tcPr>
            <w:tcW w:type="dxa" w:w="3620"/>
            <w:tcMar>
              <w:top w:type="dxa" w:w="50"/>
              <w:left w:type="dxa" w:w="90"/>
              <w:bottom w:type="dxa" w:w="50"/>
              <w:right w:type="dxa" w:w="90"/>
            </w:tcMar>
          </w:tcPr>
          <w:p>
            <w:r>
              <w:rPr>
                <w:b w:val="false"/>
                <w:bCs w:val="false"/>
                <w:color w:val="44515e"/>
                <w:sz w:val="19"/>
                <w:szCs w:val="19"/>
              </w:rPr>
              <w:t xml:space="preserve">VIC outputs.</w:t>
            </w:r>
          </w:p>
        </w:tc>
        <w:tc>
          <w:tcPr>
            <w:tcW w:type="dxa" w:w="3620"/>
            <w:tcMar>
              <w:top w:type="dxa" w:w="50"/>
              <w:left w:type="dxa" w:w="90"/>
              <w:bottom w:type="dxa" w:w="50"/>
              <w:right w:type="dxa" w:w="90"/>
            </w:tcMar>
          </w:tcPr>
          <w:p>
            <w:r>
              <w:rPr>
                <w:b w:val="false"/>
                <w:bCs w:val="false"/>
                <w:color w:val="44515e"/>
                <w:sz w:val="19"/>
                <w:szCs w:val="19"/>
              </w:rPr>
              <w:t xml:space="preserve">VIC 5.0 reanalysis fused with GRACE, SMAP, SNOTEL, CMIP5/6, NMME, and live USBR operations.</w:t>
            </w:r>
          </w:p>
        </w:tc>
      </w:tr>
      <w:tr>
        <w:tc>
          <w:tcPr>
            <w:tcW w:type="dxa" w:w="3000"/>
            <w:shd w:fill="F5EAEE" w:val="clear"/>
            <w:tcMar>
              <w:top w:type="dxa" w:w="50"/>
              <w:left w:type="dxa" w:w="90"/>
              <w:bottom w:type="dxa" w:w="50"/>
              <w:right w:type="dxa" w:w="90"/>
            </w:tcMar>
          </w:tcPr>
          <w:p>
            <w:r>
              <w:rPr>
                <w:b/>
                <w:bCs/>
                <w:color w:val="0D2137"/>
                <w:sz w:val="19"/>
                <w:szCs w:val="19"/>
              </w:rPr>
              <w:t xml:space="preserve">Explainability</w:t>
            </w:r>
          </w:p>
        </w:tc>
        <w:tc>
          <w:tcPr>
            <w:tcW w:type="dxa" w:w="3620"/>
            <w:tcMar>
              <w:top w:type="dxa" w:w="50"/>
              <w:left w:type="dxa" w:w="90"/>
              <w:bottom w:type="dxa" w:w="50"/>
              <w:right w:type="dxa" w:w="90"/>
            </w:tcMar>
          </w:tcPr>
          <w:p>
            <w:r>
              <w:rPr>
                <w:b w:val="false"/>
                <w:bCs w:val="false"/>
                <w:color w:val="44515e"/>
                <w:sz w:val="19"/>
                <w:szCs w:val="19"/>
              </w:rPr>
              <w:t xml:space="preserve">Guided interface; stakeholder-tested UX (a documented strength).</w:t>
            </w:r>
          </w:p>
        </w:tc>
        <w:tc>
          <w:tcPr>
            <w:tcW w:type="dxa" w:w="3620"/>
            <w:tcMar>
              <w:top w:type="dxa" w:w="50"/>
              <w:left w:type="dxa" w:w="90"/>
              <w:bottom w:type="dxa" w:w="50"/>
              <w:right w:type="dxa" w:w="90"/>
            </w:tcMar>
          </w:tcPr>
          <w:p>
            <w:r>
              <w:rPr>
                <w:b w:val="false"/>
                <w:bCs w:val="false"/>
                <w:color w:val="44515e"/>
                <w:sz w:val="19"/>
                <w:szCs w:val="19"/>
              </w:rPr>
              <w:t xml:space="preserve">Built-in AI assistant (RIA) plus guided 'how to read / why it matters' on every view; organized by an infrastructure-asset lens.</w:t>
            </w:r>
          </w:p>
        </w:tc>
      </w:tr>
      <w:tr>
        <w:tc>
          <w:tcPr>
            <w:tcW w:type="dxa" w:w="3000"/>
            <w:shd w:fill="F5EAEE" w:val="clear"/>
            <w:tcMar>
              <w:top w:type="dxa" w:w="50"/>
              <w:left w:type="dxa" w:w="90"/>
              <w:bottom w:type="dxa" w:w="50"/>
              <w:right w:type="dxa" w:w="90"/>
            </w:tcMar>
          </w:tcPr>
          <w:p>
            <w:r>
              <w:rPr>
                <w:b/>
                <w:bCs/>
                <w:color w:val="0D2137"/>
                <w:sz w:val="19"/>
                <w:szCs w:val="19"/>
              </w:rPr>
              <w:t xml:space="preserve">Platform</w:t>
            </w:r>
          </w:p>
        </w:tc>
        <w:tc>
          <w:tcPr>
            <w:tcW w:type="dxa" w:w="3620"/>
            <w:tcMar>
              <w:top w:type="dxa" w:w="50"/>
              <w:left w:type="dxa" w:w="90"/>
              <w:bottom w:type="dxa" w:w="50"/>
              <w:right w:type="dxa" w:w="90"/>
            </w:tcMar>
          </w:tcPr>
          <w:p>
            <w:r>
              <w:rPr>
                <w:b w:val="false"/>
                <w:bCs w:val="false"/>
                <w:color w:val="44515e"/>
                <w:sz w:val="19"/>
                <w:szCs w:val="19"/>
              </w:rPr>
              <w:t xml:space="preserve">Shiny (R).</w:t>
            </w:r>
          </w:p>
        </w:tc>
        <w:tc>
          <w:tcPr>
            <w:tcW w:type="dxa" w:w="3620"/>
            <w:tcMar>
              <w:top w:type="dxa" w:w="50"/>
              <w:left w:type="dxa" w:w="90"/>
              <w:bottom w:type="dxa" w:w="50"/>
              <w:right w:type="dxa" w:w="90"/>
            </w:tcMar>
          </w:tcPr>
          <w:p>
            <w:r>
              <w:rPr>
                <w:b w:val="false"/>
                <w:bCs w:val="false"/>
                <w:color w:val="44515e"/>
                <w:sz w:val="19"/>
                <w:szCs w:val="19"/>
              </w:rPr>
              <w:t xml:space="preserve">Plotly-Dash (Python).</w:t>
            </w:r>
          </w:p>
        </w:tc>
      </w:tr>
    </w:tbl>
    <w:p>
      <w:pPr>
        <w:spacing w:after="120" w:before="140"/>
      </w:pPr>
      <w:r>
        <w:rPr>
          <w:b/>
          <w:bCs/>
          <w:i w:val="false"/>
          <w:iCs w:val="false"/>
          <w:color w:val="0D2137"/>
          <w:sz w:val="21"/>
          <w:szCs w:val="21"/>
        </w:rPr>
        <w:t xml:space="preserve">An honest note for the manuscript: </w:t>
      </w:r>
      <w:r>
        <w:rPr>
          <w:b w:val="false"/>
          <w:bCs w:val="false"/>
          <w:i w:val="false"/>
          <w:iCs w:val="false"/>
          <w:color w:val="44515e"/>
          <w:sz w:val="21"/>
          <w:szCs w:val="21"/>
        </w:rPr>
        <w:t xml:space="preserve">Whitney et al.'s formal stakeholder-engagement and UX-testing methodology remains a benchmark that CRIA has not yet matched; a comparable evaluation is planned (below). CRIA's climate-scenario dialing (delta-T / delta-P) is conceptually related to the Scenario-Explorer's approach and is best presented as a refinement, not an independent invention.</w:t>
      </w:r>
    </w:p>
    <w:p>
      <w:pPr>
        <w:pStyle w:val="Heading1"/>
        <w:spacing w:after="100" w:before="240"/>
      </w:pPr>
      <w:r>
        <w:rPr>
          <w:b/>
          <w:bCs/>
          <w:color w:val="8C1D40"/>
        </w:rPr>
        <w:t xml:space="preserve">Q3 — What new capabilities does it provide over previous tools?</w:t>
      </w:r>
    </w:p>
    <w:p>
      <w:pPr>
        <w:spacing w:after="120" w:line="276"/>
      </w:pPr>
      <w:r>
        <w:rPr>
          <w:color w:val="44515e"/>
          <w:sz w:val="21"/>
          <w:szCs w:val="21"/>
        </w:rPr>
        <w:t xml:space="preserve">Relative to the Scenario-Explorer and comparable basin visualization tools, CRIA adds concrete capabilities that did not previously coexist in one platform:</w:t>
      </w:r>
    </w:p>
    <w:p>
      <w:pPr>
        <w:pStyle w:val="ListParagraph"/>
        <w:numPr>
          <w:ilvl w:val="0"/>
          <w:numId w:val="3"/>
        </w:numPr>
        <w:spacing w:after="90" w:line="272"/>
      </w:pPr>
      <w:r>
        <w:rPr>
          <w:b w:val="false"/>
          <w:bCs w:val="false"/>
          <w:i w:val="false"/>
          <w:iCs w:val="false"/>
          <w:color w:val="44515e"/>
          <w:sz w:val="21"/>
          <w:szCs w:val="21"/>
        </w:rPr>
        <w:t xml:space="preserve">An embedded observational-validation layer (GRACE, SMAP, SNOTEL) with benchmarking against published values.</w:t>
      </w:r>
    </w:p>
    <w:p>
      <w:pPr>
        <w:pStyle w:val="ListParagraph"/>
        <w:numPr>
          <w:ilvl w:val="0"/>
          <w:numId w:val="3"/>
        </w:numPr>
        <w:spacing w:after="90" w:line="272"/>
      </w:pPr>
      <w:r>
        <w:rPr>
          <w:b w:val="false"/>
          <w:bCs w:val="false"/>
          <w:i w:val="false"/>
          <w:iCs w:val="false"/>
          <w:color w:val="44515e"/>
          <w:sz w:val="21"/>
          <w:szCs w:val="21"/>
        </w:rPr>
        <w:t xml:space="preserve">Explicit, visible uncertainty — 95% confidence intervals, Mann-Kendall significance, and bootstrap CIs on flagship views.</w:t>
      </w:r>
    </w:p>
    <w:p>
      <w:pPr>
        <w:pStyle w:val="ListParagraph"/>
        <w:numPr>
          <w:ilvl w:val="0"/>
          <w:numId w:val="3"/>
        </w:numPr>
        <w:spacing w:after="90" w:line="272"/>
      </w:pPr>
      <w:r>
        <w:rPr>
          <w:b w:val="false"/>
          <w:bCs w:val="false"/>
          <w:i w:val="false"/>
          <w:iCs w:val="false"/>
          <w:color w:val="44515e"/>
          <w:sz w:val="21"/>
          <w:szCs w:val="21"/>
        </w:rPr>
        <w:t xml:space="preserve">Live reservoir status and Lake Mead shortage-tier logic (USBR), with supply and shortage in acre-feet.</w:t>
      </w:r>
    </w:p>
    <w:p>
      <w:pPr>
        <w:pStyle w:val="ListParagraph"/>
        <w:numPr>
          <w:ilvl w:val="0"/>
          <w:numId w:val="3"/>
        </w:numPr>
        <w:spacing w:after="90" w:line="272"/>
      </w:pPr>
      <w:r>
        <w:rPr>
          <w:b w:val="false"/>
          <w:bCs w:val="false"/>
          <w:i w:val="false"/>
          <w:iCs w:val="false"/>
          <w:color w:val="44515e"/>
          <w:sz w:val="21"/>
          <w:szCs w:val="21"/>
        </w:rPr>
        <w:t xml:space="preserve">Drought propagation as a cascade (meteorological to soil to hydrological), plus Budyko water-energy, aridification, and no-analog-climate diagnostics.</w:t>
      </w:r>
    </w:p>
    <w:p>
      <w:pPr>
        <w:pStyle w:val="ListParagraph"/>
        <w:numPr>
          <w:ilvl w:val="0"/>
          <w:numId w:val="3"/>
        </w:numPr>
        <w:spacing w:after="90" w:line="272"/>
      </w:pPr>
      <w:r>
        <w:rPr>
          <w:b w:val="false"/>
          <w:bCs w:val="false"/>
          <w:i w:val="false"/>
          <w:iCs w:val="false"/>
          <w:color w:val="44515e"/>
          <w:sz w:val="21"/>
          <w:szCs w:val="21"/>
        </w:rPr>
        <w:t xml:space="preserve">Forty-year spatial animations of basin change across water years, on a consistent basemap.</w:t>
      </w:r>
    </w:p>
    <w:p>
      <w:pPr>
        <w:pStyle w:val="ListParagraph"/>
        <w:numPr>
          <w:ilvl w:val="0"/>
          <w:numId w:val="3"/>
        </w:numPr>
        <w:spacing w:after="90" w:line="272"/>
      </w:pPr>
      <w:r>
        <w:rPr>
          <w:b w:val="false"/>
          <w:bCs w:val="false"/>
          <w:i w:val="false"/>
          <w:iCs w:val="false"/>
          <w:color w:val="44515e"/>
          <w:sz w:val="21"/>
          <w:szCs w:val="21"/>
        </w:rPr>
        <w:t xml:space="preserve">A built-in AI assistant (RIA) and guided interpretation on every view, plus CSV export and an honest 'no data available' policy (nothing synthetic).</w:t>
      </w:r>
    </w:p>
    <w:p>
      <w:pPr>
        <w:pStyle w:val="Heading1"/>
        <w:spacing w:after="100" w:before="240"/>
      </w:pPr>
      <w:r>
        <w:rPr>
          <w:b/>
          <w:bCs/>
          <w:color w:val="8C1D40"/>
        </w:rPr>
        <w:t xml:space="preserve">Honest limitations &amp; planned work</w:t>
      </w:r>
    </w:p>
    <w:p>
      <w:pPr>
        <w:pStyle w:val="ListParagraph"/>
        <w:numPr>
          <w:ilvl w:val="0"/>
          <w:numId w:val="3"/>
        </w:numPr>
        <w:spacing w:after="90" w:line="272"/>
      </w:pPr>
      <w:r>
        <w:rPr>
          <w:b/>
          <w:bCs/>
          <w:i w:val="false"/>
          <w:iCs w:val="false"/>
          <w:color w:val="0D2137"/>
          <w:sz w:val="21"/>
          <w:szCs w:val="21"/>
        </w:rPr>
        <w:t xml:space="preserve">No formal stakeholder user-experience study yet. </w:t>
      </w:r>
      <w:r>
        <w:rPr>
          <w:b w:val="false"/>
          <w:bCs w:val="false"/>
          <w:i w:val="false"/>
          <w:iCs w:val="false"/>
          <w:color w:val="44515e"/>
          <w:sz w:val="21"/>
          <w:szCs w:val="21"/>
        </w:rPr>
        <w:t xml:space="preserve">A structured evaluation with CAP, Reclamation, and ADWR partners is planned, mirroring Whitney et al.'s methodology.</w:t>
      </w:r>
    </w:p>
    <w:p>
      <w:pPr>
        <w:pStyle w:val="ListParagraph"/>
        <w:numPr>
          <w:ilvl w:val="0"/>
          <w:numId w:val="3"/>
        </w:numPr>
        <w:spacing w:after="90" w:line="272"/>
      </w:pPr>
      <w:r>
        <w:rPr>
          <w:b/>
          <w:bCs/>
          <w:i w:val="false"/>
          <w:iCs w:val="false"/>
          <w:color w:val="0D2137"/>
          <w:sz w:val="21"/>
          <w:szCs w:val="21"/>
        </w:rPr>
        <w:t xml:space="preserve">Single-model reanalysis. </w:t>
      </w:r>
      <w:r>
        <w:rPr>
          <w:b w:val="false"/>
          <w:bCs w:val="false"/>
          <w:i w:val="false"/>
          <w:iCs w:val="false"/>
          <w:color w:val="44515e"/>
          <w:sz w:val="21"/>
          <w:szCs w:val="21"/>
        </w:rPr>
        <w:t xml:space="preserve">CRIA currently centers on one PRISM-calibrated VIC reanalysis; a multi-model or ensemble extension would strengthen uncertainty characterization.</w:t>
      </w:r>
    </w:p>
    <w:p>
      <w:pPr>
        <w:pStyle w:val="ListParagraph"/>
        <w:numPr>
          <w:ilvl w:val="0"/>
          <w:numId w:val="3"/>
        </w:numPr>
        <w:spacing w:after="90" w:line="272"/>
      </w:pPr>
      <w:r>
        <w:rPr>
          <w:b/>
          <w:bCs/>
          <w:i w:val="false"/>
          <w:iCs w:val="false"/>
          <w:color w:val="0D2137"/>
          <w:sz w:val="21"/>
          <w:szCs w:val="21"/>
        </w:rPr>
        <w:t xml:space="preserve">Validation emphasis. </w:t>
      </w:r>
      <w:r>
        <w:rPr>
          <w:b w:val="false"/>
          <w:bCs w:val="false"/>
          <w:i w:val="false"/>
          <w:iCs w:val="false"/>
          <w:color w:val="44515e"/>
          <w:sz w:val="21"/>
          <w:szCs w:val="21"/>
        </w:rPr>
        <w:t xml:space="preserve">Streamflow skill is strongest in the Upper Basin; broadening validation across sub-basins is ongoing.</w:t>
      </w:r>
    </w:p>
    <w:p>
      <w:pPr>
        <w:pStyle w:val="Heading1"/>
        <w:spacing w:after="100" w:before="240"/>
      </w:pPr>
      <w:r>
        <w:rPr>
          <w:b/>
          <w:bCs/>
          <w:color w:val="8C1D40"/>
        </w:rPr>
        <w:t xml:space="preserve">Manuscript &amp; journal framing</w:t>
      </w:r>
    </w:p>
    <w:p>
      <w:pPr>
        <w:spacing w:after="120" w:line="276"/>
      </w:pPr>
      <w:r>
        <w:rPr>
          <w:b/>
          <w:bCs/>
          <w:i w:val="false"/>
          <w:iCs w:val="false"/>
          <w:color w:val="0D2137"/>
          <w:sz w:val="21"/>
          <w:szCs w:val="21"/>
        </w:rPr>
        <w:t xml:space="preserve">Target journal: </w:t>
      </w:r>
      <w:r>
        <w:rPr>
          <w:b w:val="false"/>
          <w:bCs w:val="false"/>
          <w:i w:val="false"/>
          <w:iCs w:val="false"/>
          <w:color w:val="44515e"/>
          <w:sz w:val="21"/>
          <w:szCs w:val="21"/>
        </w:rPr>
        <w:t xml:space="preserve">Environmental Modelling &amp; Software — the same venue as Whitney et al. (2023, 167:105763), whose editors and readership know the lineage, making it the natural home for the successor tool. Water Resources Research, JWRPM, or Earth's Future are alternatives if a more hydrology- or policy-facing framing is preferred.</w:t>
      </w:r>
    </w:p>
    <w:p>
      <w:pPr>
        <w:spacing w:after="120" w:line="276"/>
      </w:pPr>
      <w:r>
        <w:rPr>
          <w:b/>
          <w:bCs/>
          <w:i w:val="false"/>
          <w:iCs w:val="false"/>
          <w:color w:val="0D2137"/>
          <w:sz w:val="21"/>
          <w:szCs w:val="21"/>
        </w:rPr>
        <w:t xml:space="preserve">Key message: </w:t>
      </w:r>
      <w:r>
        <w:rPr>
          <w:b w:val="false"/>
          <w:bCs w:val="false"/>
          <w:i w:val="false"/>
          <w:iCs w:val="false"/>
          <w:color w:val="44515e"/>
          <w:sz w:val="21"/>
          <w:szCs w:val="21"/>
        </w:rPr>
        <w:t xml:space="preserve">CRIA advances the accessibility agenda of Whitney et al. (2023) from interactive projection visualization to an observation-validated, whole-basin, decision-ready assessment platform — turning NASA Earth observations and physical modeling into information managers can act on in their own units.</w:t>
      </w:r>
    </w:p>
    <w:p>
      <w:pPr>
        <w:spacing w:after="120" w:line="276"/>
      </w:pPr>
      <w:r>
        <w:rPr>
          <w:b/>
          <w:bCs/>
          <w:i w:val="false"/>
          <w:iCs w:val="false"/>
          <w:color w:val="0D2137"/>
          <w:sz w:val="21"/>
          <w:szCs w:val="21"/>
        </w:rPr>
        <w:t xml:space="preserve">Working titles: </w:t>
      </w:r>
      <w:r>
        <w:rPr>
          <w:b w:val="false"/>
          <w:bCs w:val="false"/>
          <w:i w:val="false"/>
          <w:iCs w:val="false"/>
          <w:color w:val="44515e"/>
          <w:sz w:val="21"/>
          <w:szCs w:val="21"/>
        </w:rPr>
        <w:t xml:space="preserve">(a) 'From projections to decisions: an observation-validated, whole-basin decision-support platform for the Colorado River'; (b) 'CRIA: integrating NASA Earth observations and hydrologic reanalysis into a decision-ready Colorado River Basin assessment.'</w:t>
      </w:r>
    </w:p>
    <w:p>
      <w:pPr>
        <w:pStyle w:val="Heading1"/>
        <w:spacing w:after="100" w:before="240"/>
      </w:pPr>
      <w:r>
        <w:rPr>
          <w:b/>
          <w:bCs/>
          <w:color w:val="8C1D40"/>
        </w:rPr>
        <w:t xml:space="preserve">On the tool's name</w:t>
      </w:r>
    </w:p>
    <w:p>
      <w:pPr>
        <w:spacing w:after="120" w:line="276"/>
      </w:pPr>
      <w:r>
        <w:rPr>
          <w:color w:val="44515e"/>
          <w:sz w:val="21"/>
          <w:szCs w:val="21"/>
        </w:rPr>
        <w:t xml:space="preserve">The discussion noted that 'CRIA' originally referred to a different objective set in the proposal, so a name that reflects the platform's current purpose may be clearer. This is a call for Pradeepika and Enrique; three directions:</w:t>
      </w:r>
    </w:p>
    <w:p>
      <w:pPr>
        <w:pStyle w:val="ListParagraph"/>
        <w:numPr>
          <w:ilvl w:val="0"/>
          <w:numId w:val="3"/>
        </w:numPr>
        <w:spacing w:after="90" w:line="272"/>
      </w:pPr>
      <w:r>
        <w:rPr>
          <w:b/>
          <w:bCs/>
          <w:i w:val="false"/>
          <w:iCs w:val="false"/>
          <w:color w:val="0D2137"/>
          <w:sz w:val="21"/>
          <w:szCs w:val="21"/>
        </w:rPr>
        <w:t xml:space="preserve">Keep CRIA, redefined. </w:t>
      </w:r>
      <w:r>
        <w:rPr>
          <w:b w:val="false"/>
          <w:bCs w:val="false"/>
          <w:i w:val="false"/>
          <w:iCs w:val="false"/>
          <w:color w:val="44515e"/>
          <w:sz w:val="21"/>
          <w:szCs w:val="21"/>
        </w:rPr>
        <w:t xml:space="preserve">Retain the recognizable acronym as 'Colorado River Intelligent Assessment' and state the redefinition explicitly to avoid confusion with the proposal's original usage.</w:t>
      </w:r>
    </w:p>
    <w:p>
      <w:pPr>
        <w:pStyle w:val="ListParagraph"/>
        <w:numPr>
          <w:ilvl w:val="0"/>
          <w:numId w:val="3"/>
        </w:numPr>
        <w:spacing w:after="90" w:line="272"/>
      </w:pPr>
      <w:r>
        <w:rPr>
          <w:b/>
          <w:bCs/>
          <w:i w:val="false"/>
          <w:iCs w:val="false"/>
          <w:color w:val="0D2137"/>
          <w:sz w:val="21"/>
          <w:szCs w:val="21"/>
        </w:rPr>
        <w:t xml:space="preserve">A capability-forward name. </w:t>
      </w:r>
      <w:r>
        <w:rPr>
          <w:b w:val="false"/>
          <w:bCs w:val="false"/>
          <w:i w:val="false"/>
          <w:iCs w:val="false"/>
          <w:color w:val="44515e"/>
          <w:sz w:val="21"/>
          <w:szCs w:val="21"/>
        </w:rPr>
        <w:t xml:space="preserve">e.g., 'Colorado River Decision Support Platform (CR-DSP)' or 'Colorado River Observation-to-Decision Explorer' — descriptive and unambiguous.</w:t>
      </w:r>
    </w:p>
    <w:p>
      <w:pPr>
        <w:pStyle w:val="ListParagraph"/>
        <w:numPr>
          <w:ilvl w:val="0"/>
          <w:numId w:val="3"/>
        </w:numPr>
        <w:spacing w:after="90" w:line="272"/>
      </w:pPr>
      <w:r>
        <w:rPr>
          <w:b/>
          <w:bCs/>
          <w:i w:val="false"/>
          <w:iCs w:val="false"/>
          <w:color w:val="0D2137"/>
          <w:sz w:val="21"/>
          <w:szCs w:val="21"/>
        </w:rPr>
        <w:t xml:space="preserve">A successor name to the Scenario-Explorer. </w:t>
      </w:r>
      <w:r>
        <w:rPr>
          <w:b w:val="false"/>
          <w:bCs w:val="false"/>
          <w:i w:val="false"/>
          <w:iCs w:val="false"/>
          <w:color w:val="44515e"/>
          <w:sz w:val="21"/>
          <w:szCs w:val="21"/>
        </w:rPr>
        <w:t xml:space="preserve">e.g., 'CRB Assessment Explorer' — signals continuity with Whitney et al. while marking the expanded scope.</w:t>
      </w:r>
    </w:p>
    <w:p>
      <w:pPr>
        <w:pBdr>
          <w:top w:val="single" w:color="CCCCCC" w:sz="8" w:space="6"/>
        </w:pBdr>
        <w:spacing w:before="200"/>
      </w:pPr>
      <w:r>
        <w:rPr>
          <w:b/>
          <w:bCs/>
          <w:color w:val="0D2137"/>
          <w:sz w:val="20"/>
          <w:szCs w:val="20"/>
        </w:rPr>
        <w:t xml:space="preserve">Key references</w:t>
      </w:r>
    </w:p>
    <w:p>
      <w:pPr>
        <w:spacing w:after="60"/>
      </w:pPr>
      <w:r>
        <w:rPr>
          <w:b w:val="false"/>
          <w:bCs w:val="false"/>
          <w:i/>
          <w:iCs/>
          <w:color w:val="44515e"/>
          <w:sz w:val="21"/>
          <w:szCs w:val="21"/>
        </w:rPr>
        <w:t xml:space="preserve">Whitney, K. M., Vivoni, E. R., &amp; White, D. D. (2023). Enhancing the accessibility and interactions of regional hydrologic projections for water managers. Environmental Modelling &amp; Software, 167, 105763.</w:t>
      </w:r>
    </w:p>
    <w:p>
      <w:pPr>
        <w:spacing w:after="120" w:line="276"/>
      </w:pPr>
      <w:r>
        <w:rPr>
          <w:b w:val="false"/>
          <w:bCs w:val="false"/>
          <w:i/>
          <w:iCs/>
          <w:color w:val="44515e"/>
          <w:sz w:val="21"/>
          <w:szCs w:val="21"/>
        </w:rPr>
        <w:t xml:space="preserve">Whitney, K. M., et al. (2023). A stakeholder-engaged approach to anticipating forest disturbance impacts in the Colorado River Basin under climate change. Journal of Water Resources Planning and Management, 149(7), 04023020.</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2026-07-16T23:35:38.992Z</dcterms:created>
  <dcterms:modified xsi:type="dcterms:W3CDTF">2026-07-16T23:35:38.992Z</dcterms:modified>
</cp:coreProperties>
</file>

<file path=docProps/custom.xml><?xml version="1.0" encoding="utf-8"?>
<Properties xmlns="http://schemas.openxmlformats.org/officeDocument/2006/custom-properties" xmlns:vt="http://schemas.openxmlformats.org/officeDocument/2006/docPropsVTypes"/>
</file>