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6AC1E" w14:textId="77777777" w:rsidR="000564E3" w:rsidRDefault="00D95709" w:rsidP="00CD695D">
      <w:pPr>
        <w:pStyle w:val="Heading2"/>
      </w:pPr>
      <w:bookmarkStart w:id="0" w:name="_GoBack"/>
      <w:bookmarkEnd w:id="0"/>
      <w:proofErr w:type="spellStart"/>
      <w:r>
        <w:t>Druggable_nucleosome</w:t>
      </w:r>
      <w:proofErr w:type="spellEnd"/>
    </w:p>
    <w:p w14:paraId="1175A503" w14:textId="77777777" w:rsidR="000564E3" w:rsidRDefault="00D95709" w:rsidP="00CD695D">
      <w:pPr>
        <w:pStyle w:val="Author"/>
      </w:pPr>
      <w:r>
        <w:t xml:space="preserve">Mikhail </w:t>
      </w:r>
      <w:r w:rsidRPr="00CD695D">
        <w:t>Dozmorov</w:t>
      </w:r>
    </w:p>
    <w:p w14:paraId="69481AB6" w14:textId="77777777" w:rsidR="000564E3" w:rsidRDefault="00D95709" w:rsidP="00CD695D">
      <w:pPr>
        <w:pStyle w:val="FirstParagraph"/>
      </w:pPr>
      <w:r>
        <w:t xml:space="preserve">With dropping costs of sequencing technologies, tenths of </w:t>
      </w:r>
      <w:proofErr w:type="gramStart"/>
      <w:r>
        <w:t>thousands</w:t>
      </w:r>
      <w:proofErr w:type="gramEnd"/>
      <w:r>
        <w:t xml:space="preserve"> genomes get sequenced by private enterprises [1] and through NIH support (Trans-Omics for Precision Medicine (TOPMed) Program). Yet, the discovery of new genetic variants appears to be saturated at ~8,500 high-coverage genomes [1], highlighting the need to shift focus on a higher-level understanding the role of genomic variation.</w:t>
      </w:r>
    </w:p>
    <w:p w14:paraId="0E35A1EB" w14:textId="77777777" w:rsidR="000564E3" w:rsidRDefault="00D95709" w:rsidP="00CD695D">
      <w:pPr>
        <w:pStyle w:val="BodyText"/>
      </w:pPr>
      <w:r>
        <w:t>The advent on chromatin conformation capture (3C) sequencing technology [</w:t>
      </w:r>
      <w:r>
        <w:rPr>
          <w:b/>
        </w:rPr>
        <w:t>???</w:t>
      </w:r>
      <w:r>
        <w:t>] marked the beginning of a new era in precision medicine. Its evolution into Hi-C technology allows an insight into the 3D structure of the human genome within the nucleus [2]. Numerous studies demonstrated highly conserved topologically associated domains (TADs) - spatially close units of chromatin bringing together enhancers, promoters of genes, and other regulatory elements . These TADs have well-defined boundaries marked by strongly interacting chromatin regions (chromatin loops) [3][4]. TADs harbor multiple active RNA polymerases anchored to a nuclear substructure, with genes within TADs showing co-expression patterns [5][6][7]. TADs are increasingly recognized as regulatory units orchestrating expression of thousands of genes, thus emerging a new "druggable nucleosome" paradigm.</w:t>
      </w:r>
    </w:p>
    <w:p w14:paraId="3A917A21" w14:textId="77777777" w:rsidR="000564E3" w:rsidRDefault="00D95709" w:rsidP="00CD695D">
      <w:pPr>
        <w:pStyle w:val="BodyText"/>
      </w:pPr>
      <w:r>
        <w:t>Disruption of TAD boundaries due to copy number variants and even single nucleotide polymorphisms lead to fusion of TADs and/or formation of smaller TADs [8][9]. This is a frequent event in cancer, leading to coordinated expression of oncogenes [10]. These changes in TAD boundaries are now emerge as a hallmark of cancer [11]. With the dropping costs of sequencing using personalized TAD abnormalities for diagnostic prognostic and, potentially, treatment purposes will soon become a reality.</w:t>
      </w:r>
    </w:p>
    <w:p w14:paraId="7A0721F2" w14:textId="77777777" w:rsidR="000564E3" w:rsidRDefault="00D95709" w:rsidP="00CD695D">
      <w:pPr>
        <w:pStyle w:val="Bibliography"/>
      </w:pPr>
      <w:r>
        <w:t xml:space="preserve">1. Telenti A, Pierce LCT, Biggs WH, Iulio J di, Wong EHM, Fabani MM, Kirkness EF, Moustafa A, Shah N, Xie C, Brewerton SC, Bulsara N, Garner C, Metzker G, Sandoval E, Perkins BA, Och FJ, Turpaz Y, Venter JC: </w:t>
      </w:r>
      <w:r>
        <w:rPr>
          <w:b/>
        </w:rPr>
        <w:t>Deep sequencing of 10,000 human genomes</w:t>
      </w:r>
      <w:r>
        <w:t xml:space="preserve">. </w:t>
      </w:r>
      <w:r>
        <w:rPr>
          <w:i/>
        </w:rPr>
        <w:t>Proc Natl Acad Sci U S A</w:t>
      </w:r>
      <w:r>
        <w:t xml:space="preserve"> 2016, </w:t>
      </w:r>
      <w:hyperlink r:id="rId7">
        <w:r>
          <w:rPr>
            <w:rStyle w:val="Hyperlink"/>
          </w:rPr>
          <w:t>10.1073/pnas.1613365113</w:t>
        </w:r>
      </w:hyperlink>
      <w:r>
        <w:t>.</w:t>
      </w:r>
    </w:p>
    <w:p w14:paraId="7EAE3892" w14:textId="77777777" w:rsidR="000564E3" w:rsidRDefault="00D95709" w:rsidP="00CD695D">
      <w:pPr>
        <w:pStyle w:val="Bibliography"/>
      </w:pPr>
      <w:r>
        <w:t xml:space="preserve">2. Lieberman-Aiden E, Berkum NL van, Williams L, Imakaev M, Ragoczy T, Telling A, Amit I, Lajoie BR, Sabo PJ, Dorschner MO, Sandstrom R, Bernstein B, Bender MA, Groudine M, Gnirke A, Stamatoyannopoulos J, Mirny LA, Lander ES, Dekker J: </w:t>
      </w:r>
      <w:r>
        <w:rPr>
          <w:b/>
        </w:rPr>
        <w:t>Comprehensive mapping of long-range interactions reveals folding principles of the human genome</w:t>
      </w:r>
      <w:r>
        <w:t xml:space="preserve">. </w:t>
      </w:r>
      <w:r>
        <w:rPr>
          <w:i/>
        </w:rPr>
        <w:t>Science</w:t>
      </w:r>
      <w:r>
        <w:t xml:space="preserve"> 2009, </w:t>
      </w:r>
      <w:r>
        <w:rPr>
          <w:b/>
        </w:rPr>
        <w:t>326</w:t>
      </w:r>
      <w:r>
        <w:t>:289–93</w:t>
      </w:r>
      <w:hyperlink r:id="rId8">
        <w:r>
          <w:rPr>
            <w:rStyle w:val="Hyperlink"/>
          </w:rPr>
          <w:t>10.1126/science.1181369</w:t>
        </w:r>
      </w:hyperlink>
      <w:r>
        <w:t>.</w:t>
      </w:r>
    </w:p>
    <w:p w14:paraId="7CBD3C63" w14:textId="77777777" w:rsidR="000564E3" w:rsidRDefault="00D95709" w:rsidP="00CD695D">
      <w:pPr>
        <w:pStyle w:val="Bibliography"/>
      </w:pPr>
      <w:r>
        <w:t xml:space="preserve">3. Dixon JR, Selvaraj S, Yue F, Kim A, Li Y, Shen Y, Hu M, Liu JS, Ren B: </w:t>
      </w:r>
      <w:r>
        <w:rPr>
          <w:b/>
        </w:rPr>
        <w:t>Topological domains in mammalian genomes identified by analysis of chromatin interactions</w:t>
      </w:r>
      <w:r>
        <w:t xml:space="preserve">. </w:t>
      </w:r>
      <w:r>
        <w:rPr>
          <w:i/>
        </w:rPr>
        <w:t>Nature</w:t>
      </w:r>
      <w:r>
        <w:t xml:space="preserve"> 2012, </w:t>
      </w:r>
      <w:r>
        <w:rPr>
          <w:b/>
        </w:rPr>
        <w:t>485</w:t>
      </w:r>
      <w:r>
        <w:t>:376–80</w:t>
      </w:r>
      <w:hyperlink r:id="rId9">
        <w:r>
          <w:rPr>
            <w:rStyle w:val="Hyperlink"/>
          </w:rPr>
          <w:t>10.1038/nature11082</w:t>
        </w:r>
      </w:hyperlink>
      <w:r>
        <w:t>.</w:t>
      </w:r>
    </w:p>
    <w:p w14:paraId="02C28BD8" w14:textId="77777777" w:rsidR="000564E3" w:rsidRDefault="00D95709" w:rsidP="00CD695D">
      <w:pPr>
        <w:pStyle w:val="Bibliography"/>
      </w:pPr>
      <w:r>
        <w:t xml:space="preserve">4. Rao SSP, Huntley MH, Durand NC, Stamenova EK, Bochkov ID, Robinson JT, Sanborn AL, Machol I, Omer AD, Lander ES, Aiden EL: </w:t>
      </w:r>
      <w:r>
        <w:rPr>
          <w:b/>
        </w:rPr>
        <w:t>A 3D map of the human genome at kilobase resolution reveals principles of chromatin looping</w:t>
      </w:r>
      <w:r>
        <w:t xml:space="preserve">. </w:t>
      </w:r>
      <w:r>
        <w:rPr>
          <w:i/>
        </w:rPr>
        <w:t>Cell</w:t>
      </w:r>
      <w:r>
        <w:t xml:space="preserve"> 2014, </w:t>
      </w:r>
      <w:r>
        <w:rPr>
          <w:b/>
        </w:rPr>
        <w:t>159</w:t>
      </w:r>
      <w:r>
        <w:t>:1665–80</w:t>
      </w:r>
      <w:hyperlink r:id="rId10">
        <w:r>
          <w:rPr>
            <w:rStyle w:val="Hyperlink"/>
          </w:rPr>
          <w:t>10.1016/j.cell.2014.11.021</w:t>
        </w:r>
      </w:hyperlink>
      <w:r>
        <w:t>.</w:t>
      </w:r>
    </w:p>
    <w:p w14:paraId="7C7B83E7" w14:textId="77777777" w:rsidR="000564E3" w:rsidRDefault="00D95709" w:rsidP="00CD695D">
      <w:pPr>
        <w:pStyle w:val="Bibliography"/>
      </w:pPr>
      <w:r>
        <w:t xml:space="preserve">5. Franke M, Ibrahim DM, Andrey G, Schwarzer W, Heinrich V, Schöpflin R, Kraft K, Kempfer R, Jerković I, Chan W-L, Spielmann M, Timmermann B, Wittler L, Kurth I, Cambiaso P, Zuffardi O, Houge G, Lambie L, Brancati F, Pombo A, Vingron M, Spitz F, Mundlos S: </w:t>
      </w:r>
      <w:r>
        <w:rPr>
          <w:b/>
        </w:rPr>
        <w:t>Formation of new chromatin domains determines pathogenicity of genomic duplications</w:t>
      </w:r>
      <w:r>
        <w:t xml:space="preserve">. </w:t>
      </w:r>
      <w:r>
        <w:rPr>
          <w:i/>
        </w:rPr>
        <w:t>Nature</w:t>
      </w:r>
      <w:r>
        <w:t xml:space="preserve"> 2016, </w:t>
      </w:r>
      <w:r>
        <w:rPr>
          <w:b/>
        </w:rPr>
        <w:t>538</w:t>
      </w:r>
      <w:r>
        <w:t>:265–269</w:t>
      </w:r>
      <w:hyperlink r:id="rId11">
        <w:r>
          <w:rPr>
            <w:rStyle w:val="Hyperlink"/>
          </w:rPr>
          <w:t>10.1038/nature19800</w:t>
        </w:r>
      </w:hyperlink>
      <w:r>
        <w:t>.</w:t>
      </w:r>
    </w:p>
    <w:p w14:paraId="29803C18" w14:textId="77777777" w:rsidR="000564E3" w:rsidRDefault="00D95709" w:rsidP="00CD695D">
      <w:pPr>
        <w:pStyle w:val="Bibliography"/>
      </w:pPr>
      <w:r>
        <w:t xml:space="preserve">6. Symmons O, Uslu VV, Tsujimura T, Ruf S, Nassari S, Schwarzer W, Ettwiller L, Spitz F: </w:t>
      </w:r>
      <w:r>
        <w:rPr>
          <w:b/>
        </w:rPr>
        <w:t>Functional and topological characteristics of mammalian regulatory domains</w:t>
      </w:r>
      <w:r>
        <w:t xml:space="preserve">. </w:t>
      </w:r>
      <w:r>
        <w:rPr>
          <w:i/>
        </w:rPr>
        <w:t>Genome Res</w:t>
      </w:r>
      <w:r>
        <w:t xml:space="preserve"> 2014, </w:t>
      </w:r>
      <w:r>
        <w:rPr>
          <w:b/>
        </w:rPr>
        <w:t>24</w:t>
      </w:r>
      <w:r>
        <w:t>:390–400</w:t>
      </w:r>
      <w:hyperlink r:id="rId12">
        <w:r>
          <w:rPr>
            <w:rStyle w:val="Hyperlink"/>
          </w:rPr>
          <w:t>10.1101/gr.163519.113</w:t>
        </w:r>
      </w:hyperlink>
      <w:r>
        <w:t>.</w:t>
      </w:r>
    </w:p>
    <w:p w14:paraId="378E22FC" w14:textId="77777777" w:rsidR="000564E3" w:rsidRDefault="00D95709" w:rsidP="00CD695D">
      <w:pPr>
        <w:pStyle w:val="Bibliography"/>
      </w:pPr>
      <w:r>
        <w:t xml:space="preserve">7. Nora EP, Lajoie BR, Schulz EG, Giorgetti L, Okamoto I, Servant N, Piolot T, Berkum NL van, Meisig J, Sedat J, Gribnau J, Barillot E, Blüthgen N, Dekker J, Heard E: </w:t>
      </w:r>
      <w:r>
        <w:rPr>
          <w:b/>
        </w:rPr>
        <w:t>Spatial partitioning of the regulatory landscape of the x-inactivation centre</w:t>
      </w:r>
      <w:r>
        <w:t xml:space="preserve">. </w:t>
      </w:r>
      <w:r>
        <w:rPr>
          <w:i/>
        </w:rPr>
        <w:t>Nature</w:t>
      </w:r>
      <w:r>
        <w:t xml:space="preserve"> 2012, </w:t>
      </w:r>
      <w:r>
        <w:rPr>
          <w:b/>
        </w:rPr>
        <w:t>485</w:t>
      </w:r>
      <w:r>
        <w:t>:381–5</w:t>
      </w:r>
      <w:hyperlink r:id="rId13">
        <w:r>
          <w:rPr>
            <w:rStyle w:val="Hyperlink"/>
          </w:rPr>
          <w:t>10.1038/nature11049</w:t>
        </w:r>
      </w:hyperlink>
      <w:r>
        <w:t>.</w:t>
      </w:r>
    </w:p>
    <w:p w14:paraId="62E0F536" w14:textId="77777777" w:rsidR="000564E3" w:rsidRDefault="00D95709" w:rsidP="00CD695D">
      <w:pPr>
        <w:pStyle w:val="Bibliography"/>
      </w:pPr>
      <w:r>
        <w:t xml:space="preserve">8. Fudenberg G, Imakaev M, Lu C, Goloborodko A, Abdennur N, Mirny LA: </w:t>
      </w:r>
      <w:r>
        <w:rPr>
          <w:b/>
        </w:rPr>
        <w:t>Formation of chromosomal domains by loop extrusion</w:t>
      </w:r>
      <w:r>
        <w:t xml:space="preserve">. </w:t>
      </w:r>
      <w:r>
        <w:rPr>
          <w:i/>
        </w:rPr>
        <w:t>Cell Rep</w:t>
      </w:r>
      <w:r>
        <w:t xml:space="preserve"> 2016, </w:t>
      </w:r>
      <w:r>
        <w:rPr>
          <w:b/>
        </w:rPr>
        <w:t>15</w:t>
      </w:r>
      <w:r>
        <w:t>:2038–49</w:t>
      </w:r>
      <w:hyperlink r:id="rId14">
        <w:r>
          <w:rPr>
            <w:rStyle w:val="Hyperlink"/>
          </w:rPr>
          <w:t>10.1016/j.celrep.2016.04.085</w:t>
        </w:r>
      </w:hyperlink>
      <w:r>
        <w:t>.</w:t>
      </w:r>
    </w:p>
    <w:p w14:paraId="6B2C0663" w14:textId="77777777" w:rsidR="000564E3" w:rsidRDefault="00D95709" w:rsidP="00CD695D">
      <w:pPr>
        <w:pStyle w:val="Bibliography"/>
      </w:pPr>
      <w:r>
        <w:lastRenderedPageBreak/>
        <w:t xml:space="preserve">9. Sanborn AL, Rao SSP, Huang S-C, Durand NC, Huntley MH, Jewett AI, Bochkov ID, Chinnappan D, Cutkosky A, Li J, Geeting KP, Gnirke A, Melnikov A, McKenna D, Stamenova EK, Lander ES, Aiden EL: </w:t>
      </w:r>
      <w:r>
        <w:rPr>
          <w:b/>
        </w:rPr>
        <w:t>Chromatin extrusion explains key features of loop and domain formation in wild-type and engineered genomes</w:t>
      </w:r>
      <w:r>
        <w:t xml:space="preserve">. </w:t>
      </w:r>
      <w:r>
        <w:rPr>
          <w:i/>
        </w:rPr>
        <w:t>Proc Natl Acad Sci U S A</w:t>
      </w:r>
      <w:r>
        <w:t xml:space="preserve"> 2015, </w:t>
      </w:r>
      <w:r>
        <w:rPr>
          <w:b/>
        </w:rPr>
        <w:t>112</w:t>
      </w:r>
      <w:r>
        <w:t>:E6456–65</w:t>
      </w:r>
      <w:hyperlink r:id="rId15">
        <w:r>
          <w:rPr>
            <w:rStyle w:val="Hyperlink"/>
          </w:rPr>
          <w:t>10.1073/pnas.1518552112</w:t>
        </w:r>
      </w:hyperlink>
      <w:r>
        <w:t>.</w:t>
      </w:r>
    </w:p>
    <w:p w14:paraId="12FDE1C7" w14:textId="77777777" w:rsidR="000564E3" w:rsidRDefault="00D95709" w:rsidP="00CD695D">
      <w:pPr>
        <w:pStyle w:val="Bibliography"/>
      </w:pPr>
      <w:r>
        <w:t xml:space="preserve">10. Rickman DS, Soong TD, Moss B, Mosquera JM, Dlabal J, Terry S, MacDonald TY, Tripodi J, Bunting K, Najfeld V, Demichelis F, Melnick AM, Elemento O, Rubin MA: </w:t>
      </w:r>
      <w:r>
        <w:rPr>
          <w:b/>
        </w:rPr>
        <w:t>Oncogene-mediated alterations in chromatin conformation</w:t>
      </w:r>
      <w:r>
        <w:t xml:space="preserve">. </w:t>
      </w:r>
      <w:r>
        <w:rPr>
          <w:i/>
        </w:rPr>
        <w:t>Proc Natl Acad Sci U S A</w:t>
      </w:r>
      <w:r>
        <w:t xml:space="preserve"> 2012, </w:t>
      </w:r>
      <w:r>
        <w:rPr>
          <w:b/>
        </w:rPr>
        <w:t>109</w:t>
      </w:r>
      <w:r>
        <w:t>:9083–8</w:t>
      </w:r>
      <w:hyperlink r:id="rId16">
        <w:r>
          <w:rPr>
            <w:rStyle w:val="Hyperlink"/>
          </w:rPr>
          <w:t>10.1073/pnas.1112570109</w:t>
        </w:r>
      </w:hyperlink>
      <w:r>
        <w:t>.</w:t>
      </w:r>
    </w:p>
    <w:p w14:paraId="30CB52A8" w14:textId="77777777" w:rsidR="000564E3" w:rsidRDefault="00D95709" w:rsidP="00CD695D">
      <w:pPr>
        <w:pStyle w:val="Bibliography"/>
      </w:pPr>
      <w:r>
        <w:t xml:space="preserve">11. Valton A-L, Dekker J: </w:t>
      </w:r>
      <w:r>
        <w:rPr>
          <w:b/>
        </w:rPr>
        <w:t>TAD disruption as oncogenic driver</w:t>
      </w:r>
      <w:r>
        <w:t xml:space="preserve">. </w:t>
      </w:r>
      <w:r>
        <w:rPr>
          <w:i/>
        </w:rPr>
        <w:t>Curr Opin Genet Dev</w:t>
      </w:r>
      <w:r>
        <w:t xml:space="preserve"> 2016, </w:t>
      </w:r>
      <w:r>
        <w:rPr>
          <w:b/>
        </w:rPr>
        <w:t>36</w:t>
      </w:r>
      <w:r>
        <w:t>:34–40</w:t>
      </w:r>
      <w:hyperlink r:id="rId17">
        <w:r>
          <w:rPr>
            <w:rStyle w:val="Hyperlink"/>
          </w:rPr>
          <w:t>10.1016/j.gde.2016.03.008</w:t>
        </w:r>
      </w:hyperlink>
      <w:r>
        <w:t>.</w:t>
      </w:r>
    </w:p>
    <w:sectPr w:rsidR="000564E3" w:rsidSect="00CD695D">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0AF15" w14:textId="77777777" w:rsidR="008324A5" w:rsidRDefault="008324A5" w:rsidP="00CD695D">
      <w:r>
        <w:separator/>
      </w:r>
    </w:p>
  </w:endnote>
  <w:endnote w:type="continuationSeparator" w:id="0">
    <w:p w14:paraId="3823F977" w14:textId="77777777" w:rsidR="008324A5" w:rsidRDefault="008324A5" w:rsidP="00CD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88B67" w14:textId="77777777" w:rsidR="008324A5" w:rsidRDefault="008324A5" w:rsidP="00CD695D">
      <w:r>
        <w:separator/>
      </w:r>
    </w:p>
  </w:footnote>
  <w:footnote w:type="continuationSeparator" w:id="0">
    <w:p w14:paraId="2D4148CA" w14:textId="77777777" w:rsidR="008324A5" w:rsidRDefault="008324A5" w:rsidP="00CD69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669EF6A"/>
    <w:multiLevelType w:val="multilevel"/>
    <w:tmpl w:val="E04AF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F4C2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8F3467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C0A61704"/>
    <w:lvl w:ilvl="0">
      <w:start w:val="1"/>
      <w:numFmt w:val="decimal"/>
      <w:lvlText w:val="%1."/>
      <w:lvlJc w:val="left"/>
      <w:pPr>
        <w:tabs>
          <w:tab w:val="num" w:pos="1800"/>
        </w:tabs>
        <w:ind w:left="1800" w:hanging="360"/>
      </w:pPr>
    </w:lvl>
  </w:abstractNum>
  <w:abstractNum w:abstractNumId="4">
    <w:nsid w:val="FFFFFF7D"/>
    <w:multiLevelType w:val="singleLevel"/>
    <w:tmpl w:val="7D909DFC"/>
    <w:lvl w:ilvl="0">
      <w:start w:val="1"/>
      <w:numFmt w:val="decimal"/>
      <w:lvlText w:val="%1."/>
      <w:lvlJc w:val="left"/>
      <w:pPr>
        <w:tabs>
          <w:tab w:val="num" w:pos="1440"/>
        </w:tabs>
        <w:ind w:left="1440" w:hanging="360"/>
      </w:pPr>
    </w:lvl>
  </w:abstractNum>
  <w:abstractNum w:abstractNumId="5">
    <w:nsid w:val="FFFFFF7E"/>
    <w:multiLevelType w:val="singleLevel"/>
    <w:tmpl w:val="63B699BE"/>
    <w:lvl w:ilvl="0">
      <w:start w:val="1"/>
      <w:numFmt w:val="decimal"/>
      <w:lvlText w:val="%1."/>
      <w:lvlJc w:val="left"/>
      <w:pPr>
        <w:tabs>
          <w:tab w:val="num" w:pos="1080"/>
        </w:tabs>
        <w:ind w:left="1080" w:hanging="360"/>
      </w:pPr>
    </w:lvl>
  </w:abstractNum>
  <w:abstractNum w:abstractNumId="6">
    <w:nsid w:val="FFFFFF7F"/>
    <w:multiLevelType w:val="singleLevel"/>
    <w:tmpl w:val="B5B0BAC8"/>
    <w:lvl w:ilvl="0">
      <w:start w:val="1"/>
      <w:numFmt w:val="decimal"/>
      <w:lvlText w:val="%1."/>
      <w:lvlJc w:val="left"/>
      <w:pPr>
        <w:tabs>
          <w:tab w:val="num" w:pos="720"/>
        </w:tabs>
        <w:ind w:left="720" w:hanging="360"/>
      </w:pPr>
    </w:lvl>
  </w:abstractNum>
  <w:abstractNum w:abstractNumId="7">
    <w:nsid w:val="FFFFFF80"/>
    <w:multiLevelType w:val="singleLevel"/>
    <w:tmpl w:val="4F4CA582"/>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0AB41C74"/>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CE24EB2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F60A782C"/>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37C045C6"/>
    <w:lvl w:ilvl="0">
      <w:start w:val="1"/>
      <w:numFmt w:val="decimal"/>
      <w:lvlText w:val="%1."/>
      <w:lvlJc w:val="left"/>
      <w:pPr>
        <w:tabs>
          <w:tab w:val="num" w:pos="360"/>
        </w:tabs>
        <w:ind w:left="360" w:hanging="360"/>
      </w:pPr>
    </w:lvl>
  </w:abstractNum>
  <w:abstractNum w:abstractNumId="12">
    <w:nsid w:val="FFFFFF89"/>
    <w:multiLevelType w:val="singleLevel"/>
    <w:tmpl w:val="9D101680"/>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10"/>
  <w:drawingGridVerticalSpacing w:val="299"/>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64E3"/>
    <w:rsid w:val="00196C4D"/>
    <w:rsid w:val="004E29B3"/>
    <w:rsid w:val="00590D07"/>
    <w:rsid w:val="006F7500"/>
    <w:rsid w:val="0078051A"/>
    <w:rsid w:val="00784D58"/>
    <w:rsid w:val="008324A5"/>
    <w:rsid w:val="008D6863"/>
    <w:rsid w:val="00983BEA"/>
    <w:rsid w:val="00B86B75"/>
    <w:rsid w:val="00BC48D5"/>
    <w:rsid w:val="00BD15A6"/>
    <w:rsid w:val="00C36279"/>
    <w:rsid w:val="00CD695D"/>
    <w:rsid w:val="00D9570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A2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D695D"/>
    <w:rPr>
      <w:rFonts w:ascii="Arial" w:hAnsi="Arial"/>
      <w:sz w:val="22"/>
    </w:rPr>
  </w:style>
  <w:style w:type="paragraph" w:styleId="Heading1">
    <w:name w:val="heading 1"/>
    <w:basedOn w:val="Normal"/>
    <w:next w:val="BodyText"/>
    <w:uiPriority w:val="9"/>
    <w:qFormat/>
    <w:rsid w:val="006F7500"/>
    <w:pPr>
      <w:keepNext/>
      <w:keepLines/>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196C4D"/>
    <w:pPr>
      <w:keepNext/>
      <w:keepLines/>
      <w:spacing w:before="200" w:after="0"/>
      <w:outlineLvl w:val="1"/>
    </w:pPr>
    <w:rPr>
      <w:rFonts w:eastAsiaTheme="majorEastAsia" w:cstheme="majorBidi"/>
      <w:b/>
      <w:bCs/>
      <w:color w:val="000000" w:themeColor="text1"/>
      <w:sz w:val="21"/>
      <w:szCs w:val="32"/>
    </w:rPr>
  </w:style>
  <w:style w:type="paragraph" w:styleId="Heading3">
    <w:name w:val="heading 3"/>
    <w:basedOn w:val="Normal"/>
    <w:next w:val="BodyText"/>
    <w:uiPriority w:val="9"/>
    <w:unhideWhenUsed/>
    <w:qFormat/>
    <w:rsid w:val="00CD695D"/>
    <w:pPr>
      <w:keepNext/>
      <w:keepLines/>
      <w:spacing w:before="200" w:after="0"/>
      <w:outlineLvl w:val="2"/>
    </w:pPr>
    <w:rPr>
      <w:rFonts w:eastAsiaTheme="majorEastAsia" w:cstheme="majorBidi"/>
      <w:b/>
      <w:bCs/>
      <w:color w:val="000000" w:themeColor="text1"/>
      <w:sz w:val="20"/>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83BEA"/>
    <w:pPr>
      <w:keepNext/>
      <w:keepLines/>
      <w:spacing w:before="480" w:after="240"/>
      <w:jc w:val="center"/>
    </w:pPr>
    <w:rPr>
      <w:rFonts w:eastAsiaTheme="majorEastAsia"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D695D"/>
    <w:pPr>
      <w:keepNext/>
      <w:keepLines/>
      <w:jc w:val="center"/>
    </w:pPr>
    <w:rPr>
      <w:rFonts w:ascii="Arial" w:hAnsi="Arial"/>
      <w:sz w:val="2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essageHeader">
    <w:name w:val="Message Header"/>
    <w:basedOn w:val="Normal"/>
    <w:link w:val="MessageHeaderChar"/>
    <w:unhideWhenUsed/>
    <w:rsid w:val="00CD695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BodyTextChar">
    <w:name w:val="Body Text Char"/>
    <w:basedOn w:val="DefaultParagraphFont"/>
    <w:link w:val="BodyText"/>
    <w:rsid w:val="00CD695D"/>
  </w:style>
  <w:style w:type="character" w:customStyle="1" w:styleId="MessageHeaderChar">
    <w:name w:val="Message Header Char"/>
    <w:basedOn w:val="DefaultParagraphFont"/>
    <w:link w:val="MessageHeader"/>
    <w:rsid w:val="00CD695D"/>
    <w:rPr>
      <w:rFonts w:asciiTheme="majorHAnsi" w:eastAsiaTheme="majorEastAsia" w:hAnsiTheme="majorHAnsi" w:cstheme="majorBidi"/>
      <w:shd w:val="pct20" w:color="auto" w:fill="auto"/>
    </w:rPr>
  </w:style>
  <w:style w:type="paragraph" w:styleId="NoSpacing">
    <w:name w:val="No Spacing"/>
    <w:rsid w:val="00CD695D"/>
    <w:pPr>
      <w:spacing w:after="0"/>
    </w:pPr>
  </w:style>
  <w:style w:type="paragraph" w:styleId="Header">
    <w:name w:val="header"/>
    <w:basedOn w:val="Normal"/>
    <w:link w:val="HeaderChar"/>
    <w:unhideWhenUsed/>
    <w:rsid w:val="00CD695D"/>
  </w:style>
  <w:style w:type="character" w:customStyle="1" w:styleId="HeaderChar">
    <w:name w:val="Header Char"/>
    <w:basedOn w:val="DefaultParagraphFont"/>
    <w:link w:val="Header"/>
    <w:rsid w:val="00CD695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1038/nature19800" TargetMode="External"/><Relationship Id="rId12" Type="http://schemas.openxmlformats.org/officeDocument/2006/relationships/hyperlink" Target="https://doi.org/10.1101/gr.163519.113" TargetMode="External"/><Relationship Id="rId13" Type="http://schemas.openxmlformats.org/officeDocument/2006/relationships/hyperlink" Target="https://doi.org/10.1038/nature11049" TargetMode="External"/><Relationship Id="rId14" Type="http://schemas.openxmlformats.org/officeDocument/2006/relationships/hyperlink" Target="https://doi.org/10.1016/j.celrep.2016.04.085" TargetMode="External"/><Relationship Id="rId15" Type="http://schemas.openxmlformats.org/officeDocument/2006/relationships/hyperlink" Target="https://doi.org/10.1073/pnas.1518552112" TargetMode="External"/><Relationship Id="rId16" Type="http://schemas.openxmlformats.org/officeDocument/2006/relationships/hyperlink" Target="https://doi.org/10.1073/pnas.1112570109" TargetMode="External"/><Relationship Id="rId17" Type="http://schemas.openxmlformats.org/officeDocument/2006/relationships/hyperlink" Target="https://doi.org/10.1016/j.gde.2016.03.008"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i.org/10.1073/pnas.1613365113" TargetMode="External"/><Relationship Id="rId8" Type="http://schemas.openxmlformats.org/officeDocument/2006/relationships/hyperlink" Target="https://doi.org/10.1126/science.1181369" TargetMode="External"/><Relationship Id="rId9" Type="http://schemas.openxmlformats.org/officeDocument/2006/relationships/hyperlink" Target="https://doi.org/10.1038/nature11082" TargetMode="External"/><Relationship Id="rId10" Type="http://schemas.openxmlformats.org/officeDocument/2006/relationships/hyperlink" Target="https://doi.org/10.1016/j.cell.2014.11.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814</Words>
  <Characters>4645</Characters>
  <Application>Microsoft Macintosh Word</Application>
  <DocSecurity>0</DocSecurity>
  <Lines>38</Lines>
  <Paragraphs>10</Paragraphs>
  <ScaleCrop>false</ScaleCrop>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Druggable_nucleosome</dc:title>
  <dc:creator>Mikhail Dozmorov</dc:creator>
  <cp:lastModifiedBy>Mikhail Dozmorov</cp:lastModifiedBy>
  <cp:revision>5</cp:revision>
  <dcterms:created xsi:type="dcterms:W3CDTF">2016-10-29T13:38:00Z</dcterms:created>
  <dcterms:modified xsi:type="dcterms:W3CDTF">2017-02-04T21:23:00Z</dcterms:modified>
</cp:coreProperties>
</file>