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color w:val="073763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b w:val="1"/>
          <w:color w:val="073763"/>
          <w:sz w:val="32"/>
          <w:szCs w:val="32"/>
          <w:rtl w:val="0"/>
        </w:rPr>
        <w:t xml:space="preserve">Exercise 9.6:</w:t>
      </w:r>
      <w:r w:rsidDel="00000000" w:rsidR="00000000" w:rsidRPr="00000000">
        <w:rPr>
          <w:rFonts w:ascii="Avenir" w:cs="Avenir" w:eastAsia="Avenir" w:hAnsi="Avenir"/>
          <w:color w:val="073763"/>
          <w:sz w:val="32"/>
          <w:szCs w:val="32"/>
          <w:rtl w:val="0"/>
        </w:rPr>
        <w:t xml:space="preserve"> use an assessment rubric</w:t>
      </w:r>
    </w:p>
    <w:p w:rsidR="00000000" w:rsidDel="00000000" w:rsidP="00000000" w:rsidRDefault="00000000" w:rsidRPr="00000000" w14:paraId="00000002">
      <w:pPr>
        <w:rPr>
          <w:rFonts w:ascii="Avenir" w:cs="Avenir" w:eastAsia="Avenir" w:hAnsi="Avenir"/>
          <w:color w:val="073763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See the following example assessment rubric, for use with </w:t>
      </w:r>
      <w:hyperlink r:id="rId6">
        <w:r w:rsidDel="00000000" w:rsidR="00000000" w:rsidRPr="00000000">
          <w:rPr>
            <w:rFonts w:ascii="Avenir" w:cs="Avenir" w:eastAsia="Avenir" w:hAnsi="Avenir"/>
            <w:i w:val="1"/>
            <w:color w:val="073763"/>
            <w:rtl w:val="0"/>
          </w:rPr>
          <w:t xml:space="preserve">storytelling with data: let’s practice!</w:t>
        </w:r>
      </w:hyperlink>
      <w:r w:rsidDel="00000000" w:rsidR="00000000" w:rsidRPr="00000000">
        <w:rPr>
          <w:rFonts w:ascii="Avenir" w:cs="Avenir" w:eastAsia="Avenir" w:hAnsi="Avenir"/>
          <w:color w:val="073763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Create a copy to modify for your own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10"/>
        <w:gridCol w:w="2550"/>
        <w:tblGridChange w:id="0">
          <w:tblGrid>
            <w:gridCol w:w="6810"/>
            <w:gridCol w:w="25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Component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Assessment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I understand how to read the graph(s).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The choice of visual(s) makes sense given the data and what is being communicated.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An appropriate amount of context is present about the data/methodology/background.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Words are used well to title, label, annotate, and explain.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Visual clutter is minimized/absent.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It is clear where I should focus first.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Color is used effectively.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The communication is free of misspellings, grammar mistakes, and math errors.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The overall design is well structured: elements are aligned, white space is used well.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The order of content makes sense.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The main message and/or call to action is clear.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Materials are optimized for how the content will be delivered.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Overall success: the communication created solves the need it set out 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widowControl w:val="0"/>
      <w:rPr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widowControl w:val="0"/>
      <w:rPr>
        <w:color w:val="999999"/>
        <w:sz w:val="14"/>
        <w:szCs w:val="14"/>
        <w:highlight w:val="whit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widowControl w:val="0"/>
      <w:rPr>
        <w:color w:val="999999"/>
        <w:sz w:val="14"/>
        <w:szCs w:val="14"/>
        <w:highlight w:val="white"/>
      </w:rPr>
    </w:pPr>
    <w:r w:rsidDel="00000000" w:rsidR="00000000" w:rsidRPr="00000000">
      <w:rPr>
        <w:color w:val="999999"/>
        <w:sz w:val="14"/>
        <w:szCs w:val="14"/>
        <w:highlight w:val="white"/>
        <w:rtl w:val="0"/>
      </w:rPr>
      <w:t xml:space="preserve">Knaflic, Cole. </w:t>
    </w:r>
    <w:hyperlink r:id="rId1">
      <w:r w:rsidDel="00000000" w:rsidR="00000000" w:rsidRPr="00000000">
        <w:rPr>
          <w:i w:val="1"/>
          <w:color w:val="073763"/>
          <w:sz w:val="14"/>
          <w:szCs w:val="14"/>
          <w:highlight w:val="white"/>
          <w:rtl w:val="0"/>
        </w:rPr>
        <w:t xml:space="preserve">Storytelling With Data: Let’s Practice!</w:t>
      </w:r>
    </w:hyperlink>
    <w:r w:rsidDel="00000000" w:rsidR="00000000" w:rsidRPr="00000000">
      <w:rPr>
        <w:color w:val="073763"/>
        <w:sz w:val="14"/>
        <w:szCs w:val="14"/>
        <w:highlight w:val="white"/>
        <w:rtl w:val="0"/>
      </w:rPr>
      <w:t xml:space="preserve"> </w:t>
    </w:r>
    <w:r w:rsidDel="00000000" w:rsidR="00000000" w:rsidRPr="00000000">
      <w:rPr>
        <w:color w:val="999999"/>
        <w:sz w:val="14"/>
        <w:szCs w:val="14"/>
        <w:highlight w:val="white"/>
        <w:rtl w:val="0"/>
      </w:rPr>
      <w:t xml:space="preserve">Wiley, © 2019.  |  ALL RIGHTS RESERVED  |  FOR USE WITH EXERCISE 9.6 (pg. 389-391)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gp/product/1119621496/ref=as_li_qf_asin_il_tl?ie=UTF8&amp;tag=storytellingwithdata-20&amp;creative=9325&amp;linkCode=as2&amp;creativeASIN=1119621496&amp;linkId=c74bc50a287b2986edae7e3b95f9f5f4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amazon.com/gp/product/1119621496/ref=as_li_qf_asin_il_tl?ie=UTF8&amp;tag=storytellingwithdata-20&amp;creative=9325&amp;linkCode=as2&amp;creativeASIN=1119621496&amp;linkId=c74bc50a287b2986edae7e3b95f9f5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