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Originele CRLB tekst met layout opmerkingen</w:t>
      </w:r>
    </w:p>
    <w:p w:rsidR="00000000" w:rsidDel="00000000" w:rsidP="00000000" w:rsidRDefault="00000000" w:rsidRPr="00000000" w14:paraId="00000002">
      <w:pPr>
        <w:spacing w:after="0" w:line="360" w:lineRule="auto"/>
        <w:rPr/>
      </w:pPr>
      <w:r w:rsidDel="00000000" w:rsidR="00000000" w:rsidRPr="00000000">
        <w:rPr>
          <w:rtl w:val="0"/>
        </w:rPr>
      </w:r>
    </w:p>
    <w:p w:rsidR="00000000" w:rsidDel="00000000" w:rsidP="00000000" w:rsidRDefault="00000000" w:rsidRPr="00000000" w14:paraId="00000003">
      <w:pPr>
        <w:spacing w:after="0" w:line="360" w:lineRule="auto"/>
        <w:rPr/>
      </w:pPr>
      <w:r w:rsidDel="00000000" w:rsidR="00000000" w:rsidRPr="00000000">
        <w:rPr>
          <w:rtl w:val="0"/>
        </w:rPr>
        <w:t xml:space="preserve">This picture, destroyed in 1945, was demoted by many earlier authors to Van Diepenbeeck, and sometimes doubted even as a record of a lost Rubens composition. It was, as the author of the 1889 guide to the Berlin gallery put it, lacking in warmth, movement and the essential Rubensian sparkle (Glanz). However, Burchard was surely right to associate the design with Rubens, and consider the picture as the artist's first version of the theme of the escape of Cloelia, dating from shortly before 1620 and executed with the help of the studio. The picture was certainly highly regarded in the seventeenth century. It must be the 'oblong painting with the river god and other figures of women on horseback and on foot ... serving to be put before the chimney' ('Een lanckwerpige schilderij daerinne sit den godt der wateren ende eenige figeuren van vrouwpersoonen te peerde ende te voet... dienende om voor de schoorsteen te stellen') attributed to Rubens or </w:t>
      </w:r>
      <w:commentRangeStart w:id="0"/>
      <w:r w:rsidDel="00000000" w:rsidR="00000000" w:rsidRPr="00000000">
        <w:rPr>
          <w:rtl w:val="0"/>
        </w:rPr>
        <w:t xml:space="preserve">Van Dyck</w:t>
      </w:r>
      <w:commentRangeEnd w:id="0"/>
      <w:r w:rsidDel="00000000" w:rsidR="00000000" w:rsidRPr="00000000">
        <w:commentReference w:id="0"/>
      </w:r>
      <w:r w:rsidDel="00000000" w:rsidR="00000000" w:rsidRPr="00000000">
        <w:rPr>
          <w:rtl w:val="0"/>
        </w:rPr>
        <w:t xml:space="preserve"> ('door Rubbens off Van Dijck gedaen') which in 1632 hung along with Rubens's </w:t>
      </w:r>
      <w:commentRangeStart w:id="1"/>
      <w:r w:rsidDel="00000000" w:rsidR="00000000" w:rsidRPr="00000000">
        <w:rPr>
          <w:i w:val="1"/>
          <w:iCs w:val="1"/>
          <w:rtl w:val="0"/>
        </w:rPr>
        <w:t xml:space="preserve">Alexander and Roxana</w:t>
      </w:r>
      <w:commentRangeEnd w:id="1"/>
      <w:r w:rsidDel="00000000" w:rsidR="00000000" w:rsidRPr="00000000">
        <w:commentReference w:id="1"/>
      </w:r>
      <w:r w:rsidDel="00000000" w:rsidR="00000000" w:rsidRPr="00000000">
        <w:rPr>
          <w:rtl w:val="0"/>
        </w:rPr>
        <w:t xml:space="preserve"> </w:t>
      </w:r>
      <w:commentRangeStart w:id="2"/>
      <w:r w:rsidDel="00000000" w:rsidR="00000000" w:rsidRPr="00000000">
        <w:rPr>
          <w:rtl w:val="0"/>
        </w:rPr>
        <w:t xml:space="preserve">(No. 15; Fig. 58)</w:t>
      </w:r>
      <w:commentRangeEnd w:id="2"/>
      <w:r w:rsidDel="00000000" w:rsidR="00000000" w:rsidRPr="00000000">
        <w:commentReference w:id="2"/>
      </w:r>
      <w:r w:rsidDel="00000000" w:rsidR="00000000" w:rsidRPr="00000000">
        <w:rPr>
          <w:rtl w:val="0"/>
        </w:rPr>
        <w:t xml:space="preserve"> in the chamber of Amalia van Solms, and which, notwithstanding the uncertainty about its authorship, was evidently a prized possession.8 In the inventory of Amalia's property made after her death, in 1676, it is valued higher than any of her other paintings, and it seems that there may have been a family wrangle over it. It was inherited by Maria von Simmern, who in turn bequeathed it to one of her sisters. From this lady it should have passed to Frederick III of Brandenburg. But in 1697 he evidently had not received it. The documents suggest that another sister, the Duchess of Anhalt, who had in fact inherited a picture of Cloelia by Poelenburgh from Amalia in 1676" (and perhaps found this a poor substitute for a Rubens?), had appropriated the family Rubens, or rather borrowed it, since we know it ended up in the possession of Frederick. Perhaps she did this only to have her own copy made. For an old and accurate copy of the Berlin painting</w:t>
      </w:r>
      <w:commentRangeStart w:id="3"/>
      <w:r w:rsidDel="00000000" w:rsidR="00000000" w:rsidRPr="00000000">
        <w:rPr>
          <w:rtl w:val="0"/>
        </w:rPr>
        <w:t xml:space="preserve">—</w:t>
      </w:r>
      <w:commentRangeEnd w:id="3"/>
      <w:r w:rsidDel="00000000" w:rsidR="00000000" w:rsidRPr="00000000">
        <w:commentReference w:id="3"/>
      </w:r>
      <w:r w:rsidDel="00000000" w:rsidR="00000000" w:rsidRPr="00000000">
        <w:rPr>
          <w:rtl w:val="0"/>
        </w:rPr>
        <w:t xml:space="preserve"> except that it is somewhat expanded to give more space around the central group— is now at Wörlitz (Copy 1), having apparently come to Schloss Wörlitz along with other pictures from the Duchess of Anhalt's Orange inheritance, although there are early references to copies after Rubens's Cloelia which could also be connected with the Wörlitz picture.</w:t>
      </w:r>
      <w:commentRangeStart w:id="4"/>
      <w:r w:rsidDel="00000000" w:rsidR="00000000" w:rsidRPr="00000000">
        <w:rPr>
          <w:rtl w:val="0"/>
        </w:rPr>
        <w:t xml:space="preserve">10</w:t>
      </w:r>
      <w:commentRangeEnd w:id="4"/>
      <w:r w:rsidDel="00000000" w:rsidR="00000000" w:rsidRPr="00000000">
        <w:commentReference w:id="4"/>
      </w:r>
      <w:r w:rsidDel="00000000" w:rsidR="00000000" w:rsidRPr="00000000">
        <w:rPr>
          <w:rtl w:val="0"/>
        </w:rPr>
        <w:t xml:space="preserve"> Whatever the case, this copy provides a valuable record of the colours, revealing that the two figures on the central horse were dressed in shimmering pink and yellowish silk respectively, and the only strong hue was the red garment being removed by the woman in the right foreground. The </w:t>
      </w:r>
      <w:r w:rsidDel="00000000" w:rsidR="00000000" w:rsidRPr="00000000">
        <w:rPr>
          <w:i w:val="1"/>
          <w:iCs w:val="1"/>
          <w:rtl w:val="0"/>
        </w:rPr>
        <w:t xml:space="preserve">Flight of Cloelia</w:t>
      </w:r>
      <w:r w:rsidDel="00000000" w:rsidR="00000000" w:rsidRPr="00000000">
        <w:rPr>
          <w:rtl w:val="0"/>
        </w:rPr>
        <w:t xml:space="preserve"> inspired P.C. Hooft to compose a Latin epigram, extant in several versions, whose rhetorical conceits testify to the poet's ingenuity, even if they may not tell us much about the artist's own intention.11</w:t>
      </w:r>
    </w:p>
    <w:p w:rsidR="00000000" w:rsidDel="00000000" w:rsidP="00000000" w:rsidRDefault="00000000" w:rsidRPr="00000000" w14:paraId="00000004">
      <w:pPr>
        <w:spacing w:after="0" w:line="360" w:lineRule="auto"/>
        <w:ind w:firstLine="708"/>
        <w:rPr/>
      </w:pPr>
      <w:commentRangeStart w:id="5"/>
      <w:r w:rsidDel="00000000" w:rsidR="00000000" w:rsidRPr="00000000">
        <w:rPr>
          <w:rtl w:val="0"/>
        </w:rPr>
        <w:t xml:space="preserve">Livy</w:t>
      </w:r>
      <w:commentRangeEnd w:id="5"/>
      <w:r w:rsidDel="00000000" w:rsidR="00000000" w:rsidRPr="00000000">
        <w:commentReference w:id="5"/>
      </w:r>
      <w:r w:rsidDel="00000000" w:rsidR="00000000" w:rsidRPr="00000000">
        <w:rPr>
          <w:rtl w:val="0"/>
        </w:rPr>
        <w:t xml:space="preserve"> relates how the Roman maiden Cloelia, sent with other hostages to Lars Porsenna during a lull in the Etruscan wars, escaped to Rome by swimming across the Tiber with some companions 'under a hail of missiles'.12 Even if she was immediately returned to Porsenna, since her exploit threatened the precarious treaty, the Etruscan king celebrated Cloelia's courage by sending her, with a selection of hostages, back to Rome. There the extraordinary woman was honoured with a statue on the Via sacra, which depicted her on horseback.13</w:t>
      </w:r>
    </w:p>
    <w:p w:rsidR="00000000" w:rsidDel="00000000" w:rsidP="00000000" w:rsidRDefault="00000000" w:rsidRPr="00000000" w14:paraId="00000005">
      <w:pPr>
        <w:spacing w:after="0" w:line="360" w:lineRule="auto"/>
        <w:ind w:firstLine="708"/>
        <w:rPr/>
      </w:pPr>
      <w:r w:rsidDel="00000000" w:rsidR="00000000" w:rsidRPr="00000000">
        <w:rPr>
          <w:rtl w:val="0"/>
        </w:rPr>
        <w:t xml:space="preserve">Dionysius of Halicarnassus gives a slightly different and more elaborate version of the story, as does Plutarch in his Life of Publicola and his treatise on the Virtues of Women.14 Plutarch tells us, for example, that the female hostages were ten in number; Dionysius records that the equestrian statue was by his time (late first century BC) destroyed in a fire;15 and both report that, as a tribute to Cloelia, Lars Porsenna presented her with a splendid war-horse.16 Plutarch, who wonders if it has something to do with the gift of the horse, adds that Cloelia is said to have made her escape on horseback, leading and encouraging her comrades as they swam together beside her.17 From Plutarch and Dionysus too we learn that the young women made their escape while bathing, since for modesty's sake they had been allowed to do this unguarded, in a quiet bend in the river. The escape on horseback became an essential feature of the Renaissance iconography of the subject, even for illustrations to Livy's (horseless) text, and the single horse of other historians was freely multiplied.18 Before Rubens, however, artists were evidently unaware of the bathing context and its justification of female nakedness in a heroic Roman exemplum— one which Valerius Maximus put second only to the feat of Horatius in his chapter on fortitudo,19 and which was said to be one of the three heroic exploits (along with those of Horatius and Scaevola) which led Lars Porsenna to abandon his siege of Rome.20</w:t>
      </w:r>
    </w:p>
    <w:p w:rsidR="00000000" w:rsidDel="00000000" w:rsidP="00000000" w:rsidRDefault="00000000" w:rsidRPr="00000000" w14:paraId="00000006">
      <w:pPr>
        <w:spacing w:after="0" w:line="360" w:lineRule="auto"/>
        <w:ind w:firstLine="708"/>
        <w:rPr/>
      </w:pPr>
      <w:r w:rsidDel="00000000" w:rsidR="00000000" w:rsidRPr="00000000">
        <w:rPr>
          <w:rtl w:val="0"/>
        </w:rPr>
        <w:t xml:space="preserve">Earlier paintings of the Flight of Cloelia for the most part belonged to cycles of Roman history or ancient exempla.21 Rubens effectively invented the theme as an independent cabinet picture. He took over familiar iconographic elements, such as the River Tiber, who reclines in the foreground of most sixteenth-century Italian versions of the subject; but he particu­larly selected entertaining features. Thus the sturdy young woman seen from behind and precariously perched on the central horse was inspired by a group in a Vicentino print, which the artist had sketched years before </w:t>
      </w:r>
      <w:commentRangeStart w:id="6"/>
      <w:r w:rsidDel="00000000" w:rsidR="00000000" w:rsidRPr="00000000">
        <w:rPr>
          <w:rtl w:val="0"/>
        </w:rPr>
        <w:t xml:space="preserve">(Fig. 172)</w:t>
      </w:r>
      <w:commentRangeEnd w:id="6"/>
      <w:r w:rsidDel="00000000" w:rsidR="00000000" w:rsidRPr="00000000">
        <w:commentReference w:id="6"/>
      </w:r>
      <w:r w:rsidDel="00000000" w:rsidR="00000000" w:rsidRPr="00000000">
        <w:rPr>
          <w:rtl w:val="0"/>
        </w:rPr>
        <w:t xml:space="preserve"> as a good motif for a 'women on horseback' picture.22 Nudity of course has now a new prominence, on the authority of Plutarch and Dionysius, though Rubens characteristically expanded on other elements in the textual sources where it suited his artistic purpose. He included no less than five horses—one of them already well on its way across the Tiber with its rider—and thus contrived a nice variety in the composition with both naked and clothed figures— the latter, mostly in pairs, of course on horseback. He introduced two old 'nurses' to tend to the maidens, one helping her charge to mount and the other gazing up to the central figure, obviously Cloelia, who looks back warily to check if the escape is unobserved.23 The fact that all the figures are concentrating on their goal, or looking to Cloelia, and that Rubens gives us no glimpse of the Etruscan soldiers, whether sleeping (Valerius Maximus) or in pursuit (Livy etc.), as they usually appear in previous representations of the theme, contributes to the atmosphere of tension and the moral seriousness, so that the nudity, although undoubtedly diverting— and intended as such is hardly frivolous, whatever scruples about decorum it may have aroused in Hooft, or other contemporary viewers.24 In the final version of his poem, as Miedema shows, Hooft suppressed such reactions and called the picture an illustration of the Ovidian maxim of how virtue wins out against all odds (invia virtuti nulla est via) </w:t>
      </w:r>
      <w:commentRangeStart w:id="7"/>
      <w:r w:rsidDel="00000000" w:rsidR="00000000" w:rsidRPr="00000000">
        <w:rPr>
          <w:rtl w:val="0"/>
        </w:rPr>
        <w:t xml:space="preserve">(cf. Metamorphoses XIV.113)</w:t>
      </w:r>
      <w:commentRangeEnd w:id="7"/>
      <w:r w:rsidDel="00000000" w:rsidR="00000000" w:rsidRPr="00000000">
        <w:commentReference w:id="7"/>
      </w:r>
      <w:r w:rsidDel="00000000" w:rsidR="00000000" w:rsidRPr="00000000">
        <w:rPr>
          <w:rtl w:val="0"/>
        </w:rPr>
        <w:t xml:space="preserve">. The subject may indeed have appealed to the Orange family too as one which could on occasion be amenable to a political application to other, contemporary, 'freedom fighters'. </w:t>
      </w:r>
    </w:p>
    <w:p w:rsidR="00000000" w:rsidDel="00000000" w:rsidP="00000000" w:rsidRDefault="00000000" w:rsidRPr="00000000" w14:paraId="00000007">
      <w:pPr>
        <w:spacing w:after="0" w:line="360" w:lineRule="auto"/>
        <w:ind w:firstLine="708"/>
        <w:rPr/>
      </w:pPr>
      <w:r w:rsidDel="00000000" w:rsidR="00000000" w:rsidRPr="00000000">
        <w:rPr>
          <w:rtl w:val="0"/>
        </w:rPr>
        <w:t xml:space="preserve">With only old photographs to rely on, it is difficult to speculate now on the possible share of individual pupils in the picture's execution. However, the early attribution to Van Dyck as well as Rubens seems likely to have had some basis and certainly suits a dating (proposed by Burchard and Van Gelder) of shortly before 1620.25 In addition, the landscape and foreground greenery looks very much like the work of Wildens, which would accord with such a date.26 The composition seems rather cramped in a manner typical of pictures of this period, and the execution particularly recalls that of the Prado Achilles on Scyros, a painting of c. 1617-18 which is almost certainly the collaborative effort of Rubens and Van Dyck.27 The faces, attitudes and even hair-styles of some of the young women are similar. The virago, Cloelia, is not unlike the disguised Achilles, even if the forms seem harder in outline in the Berlin Cloelia. The pose of the young woman in the foreground, with outstretched arms, presumably in preparation for swimming— the water near the outlet of the Tiber's urn being, apparently, relatively deep— is adapted, with appropriate modification of male musculature, from that of the blind man in the Miracles of St Francis Xavier in Vienna,28 or rather from the preparatory drawing for this man, from which it even reproduces the pattern of shading.29 This means that we can date No. 47 after 1617. The fact that the first version of Hooft's epigram was composed in 1619-20 provides a terminus antequem-, it also, as Miedema points out,30 rules out any possibility of the participation of Abraham van Diepenbeeck.31</w:t>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commentRangeStart w:id="8"/>
      <w:r w:rsidDel="00000000" w:rsidR="00000000" w:rsidRPr="00000000">
        <w:rPr>
          <w:rtl w:val="0"/>
        </w:rPr>
        <w:t xml:space="preserve">1.</w:t>
      </w:r>
      <w:commentRangeEnd w:id="8"/>
      <w:r w:rsidDel="00000000" w:rsidR="00000000" w:rsidRPr="00000000">
        <w:commentReference w:id="8"/>
      </w:r>
      <w:r w:rsidDel="00000000" w:rsidR="00000000" w:rsidRPr="00000000">
        <w:rPr>
          <w:rtl w:val="0"/>
        </w:rPr>
        <w:t xml:space="preserve"> Drossaers— Scheurleer, </w:t>
      </w:r>
      <w:r w:rsidDel="00000000" w:rsidR="00000000" w:rsidRPr="00000000">
        <w:rPr>
          <w:i w:val="1"/>
          <w:iCs w:val="1"/>
          <w:rtl w:val="0"/>
        </w:rPr>
        <w:t xml:space="preserve">Inventarissen</w:t>
      </w:r>
      <w:r w:rsidDel="00000000" w:rsidR="00000000" w:rsidRPr="00000000">
        <w:rPr>
          <w:rtl w:val="0"/>
        </w:rPr>
        <w:t xml:space="preserve">, 1974-76 , 1, p. 191, no. 218, with note. See also below, at </w:t>
      </w:r>
      <w:commentRangeStart w:id="9"/>
      <w:r w:rsidDel="00000000" w:rsidR="00000000" w:rsidRPr="00000000">
        <w:rPr>
          <w:rtl w:val="0"/>
        </w:rPr>
        <w:t xml:space="preserve">n. 8</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0A">
      <w:pPr>
        <w:spacing w:after="0" w:line="360" w:lineRule="auto"/>
        <w:rPr/>
      </w:pPr>
      <w:r w:rsidDel="00000000" w:rsidR="00000000" w:rsidRPr="00000000">
        <w:rPr>
          <w:rtl w:val="0"/>
        </w:rPr>
        <w:t xml:space="preserve">2. </w:t>
      </w:r>
      <w:commentRangeStart w:id="10"/>
      <w:r w:rsidDel="00000000" w:rsidR="00000000" w:rsidRPr="00000000">
        <w:rPr>
          <w:rtl w:val="0"/>
        </w:rPr>
        <w:t xml:space="preserve">Ibid</w:t>
      </w:r>
      <w:commentRangeEnd w:id="10"/>
      <w:r w:rsidDel="00000000" w:rsidR="00000000" w:rsidRPr="00000000">
        <w:commentReference w:id="10"/>
      </w:r>
      <w:r w:rsidDel="00000000" w:rsidR="00000000" w:rsidRPr="00000000">
        <w:rPr>
          <w:rtl w:val="0"/>
        </w:rPr>
        <w:t xml:space="preserve">., I, p. 286, no. 1256.</w:t>
        <w:br w:type="textWrapping"/>
        <w:t xml:space="preserve">3. Ibid., I, p. 321, no. 798.</w:t>
        <w:br w:type="textWrapping"/>
        <w:t xml:space="preserve">4. Ibid., I, p. 369, no. 14U1. See also Rost, loc. cit. In bibliography, 1873.</w:t>
        <w:br w:type="textWrapping"/>
        <w:t xml:space="preserve">5. See Rost, loc. cit. in bibliography, 1873, p. 63, and n. 7.</w:t>
      </w:r>
    </w:p>
    <w:p w:rsidR="00000000" w:rsidDel="00000000" w:rsidP="00000000" w:rsidRDefault="00000000" w:rsidRPr="00000000" w14:paraId="0000000B">
      <w:pPr>
        <w:spacing w:after="0" w:line="360" w:lineRule="auto"/>
        <w:rPr/>
      </w:pPr>
      <w:r w:rsidDel="00000000" w:rsidR="00000000" w:rsidRPr="00000000">
        <w:rPr>
          <w:rtl w:val="0"/>
        </w:rPr>
        <w:t xml:space="preserve">6. Drossaers— Scheurleer, Inventarissen, 1974-76, II, p. 209, note to no. 70.</w:t>
        <w:br w:type="textWrapping"/>
        <w:t xml:space="preserve">7. Ibid., II, p. 224, no. 59.</w:t>
        <w:br w:type="textWrapping"/>
      </w:r>
      <w:commentRangeStart w:id="11"/>
      <w:r w:rsidDel="00000000" w:rsidR="00000000" w:rsidRPr="00000000">
        <w:rPr>
          <w:rtl w:val="0"/>
        </w:rPr>
        <w:t xml:space="preserve">8. Ibid., I, p. 191, no. 218. Van Gelder, loc. cit., 1981, took the phrase 'dienende om voor de schoorsteen te stellen' to mean that it was over the fireplace; and this indeed might seem to be the natural interpretation. The phrase is similar to that used in the same inventory for the location of Rubens's painting of Artemisia (No. 13; Fig. 51), and for two other pictures which we know to have been installed as chimney-pieces in other Orange palaces (said to be 'voor de schoorsteen'): for these, and more on the question of the meaning of this phrase see above, No. 13, at n. 36. But in the case of Amalia's painting of Cloelia, such an interpretation creates two problems. Firstly we already have a chimney-piece for the room: Rubens's Alexander and Roxana (No. 15; Fig. 58), described as ‘eenen houten schoorsteenmantel'; secondly the Berlin picture seems rather too large for such a location— and Van Gelder already excluded it from consideration in this context for that reason. There may have been two chimneys in Amalia's chamber; or else the picture was indeed somehow placed in front of the fireplace— a temporary, summer arrangement? A distinction seems to be made in the inventories between pictures permanently fixed above the mantelpiece, and those simply hanging or 'standing' 'before the chimneypiece'. That the picture in Amalia's collection was indeed No. 47 is supported by the compositions by Dutch artists which derive from it, for example, the </w:t>
        <w:br w:type="textWrapping"/>
        <w:t xml:space="preserve">drawing by Bramer after Couwenbergh; see Plomp, op. cit., 1986, pp. 111-112, fig. 16, with </w:t>
        <w:br w:type="textWrapping"/>
        <w:t xml:space="preserve">reference to other Cloelia compositions by Northern painters. Somewhat confusingly a 'Clelie Romano van Rubbens voor de schoorsteen' is recorded in the Orange palace of Het Loo in 1713 and reappears with a similar designation in other 18th-century inventories. This is certainly a different painting, namely the version now in the Louvre (Fig. 176), for which see below, No. 48b.</w:t>
      </w:r>
      <w:commentRangeEnd w:id="11"/>
      <w:r w:rsidDel="00000000" w:rsidR="00000000" w:rsidRPr="00000000">
        <w:commentReference w:id="11"/>
      </w:r>
      <w:r w:rsidDel="00000000" w:rsidR="00000000" w:rsidRPr="00000000">
        <w:rPr>
          <w:rtl w:val="0"/>
        </w:rPr>
        <w:br w:type="textWrapping"/>
        <w:t xml:space="preserve">9. Drossaers— Scheurleer, Inventarissen, 1974 -76 ,1, p. 372, no. 1502: 'Clelia, van Poelenburgh gedaan'.</w:t>
      </w:r>
    </w:p>
    <w:p w:rsidR="00000000" w:rsidDel="00000000" w:rsidP="00000000" w:rsidRDefault="00000000" w:rsidRPr="00000000" w14:paraId="0000000C">
      <w:pPr>
        <w:spacing w:after="0" w:line="360" w:lineRule="auto"/>
        <w:rPr/>
      </w:pPr>
      <w:r w:rsidDel="00000000" w:rsidR="00000000" w:rsidRPr="00000000">
        <w:rPr>
          <w:rtl w:val="0"/>
        </w:rPr>
        <w:t xml:space="preserve">10. See below, under No. 48, ad finem.</w:t>
      </w:r>
    </w:p>
    <w:p w:rsidR="00000000" w:rsidDel="00000000" w:rsidP="00000000" w:rsidRDefault="00000000" w:rsidRPr="00000000" w14:paraId="0000000D">
      <w:pPr>
        <w:spacing w:after="0" w:line="360" w:lineRule="auto"/>
        <w:rPr/>
      </w:pPr>
      <w:r w:rsidDel="00000000" w:rsidR="00000000" w:rsidRPr="00000000">
        <w:rPr>
          <w:rtl w:val="0"/>
        </w:rPr>
        <w:t xml:space="preserve">11. See Miedema, loc. cit., 1968.</w:t>
        <w:br w:type="textWrapping"/>
        <w:t xml:space="preserve">12. Livy, Ab urbe condita Il.xiii.</w:t>
        <w:br w:type="textWrapping"/>
        <w:t xml:space="preserve">13. Rubens discusses this in his account of ancient statues in the lost 'pocketbook' (Jombert, Théorie, 1773, p. 40), pointing out that this woman must have been one of the first Romans accorded an equestrian monument.</w:t>
        <w:br w:type="textWrapping"/>
        <w:t xml:space="preserve">14. Dionysius, Roman Antiquities V.32-35; Plutarch, Publicola, 18.2-19 and Mulierum virtutes 14 (Moralia 250C-F).</w:t>
        <w:br w:type="textWrapping"/>
        <w:t xml:space="preserve">15. The statue must have been replaced by Seneca's time: see his Ad Marciam de consolatione xvi.2 and, for the original, Pliny, Naturalis historia XXXrV.xiii.28-29.</w:t>
        <w:br w:type="textWrapping"/>
        <w:t xml:space="preserve">16. Dionysius's general attitude is unequivocal in expressing Porsenna’s admiration for Cloelia: thus he says that Cloelia was allowed to take home with her every one of the Roman hostages. For all the classical sources see Pauly— Wissowa, IV, i, 1900, cols. 110-111.</w:t>
        <w:br w:type="textWrapping"/>
        <w:t xml:space="preserve">17. Cf. Florus, Epitome I.x.7 and Valerius Maximus, Dicta et facta ill.ii.2; cf. Boccaccio, De claris mulieribus, chapter 50, who claims that this was the first time Cloelia had ever ridden a horse. Most authors, like Livy and Dionysius, speak of her swimming across the river: cf, Vergil, Aeneid VIII.651; Servius on Aeneid VIII.646; Juvenal, Satires viii.264-265.</w:t>
        <w:br w:type="textWrapping"/>
        <w:t xml:space="preserve">18. See E.W. Braun in Reallexikon, III, 1954, cols. 796-798, though he implies that Livy mentions a horse. There are already 2 horses in the illustration to the 1508 German Livy published at Strasbourg by Grüninger.</w:t>
        <w:br w:type="textWrapping"/>
        <w:t xml:space="preserve">19. Valerius, loc. cit. in n. 17. This (bald) version of the story seems to imply that Cloelia fled alone (cf. Plutarch, Publicola 19.4, who cites this as the opinion of some people) but claims that the escape took place by night.</w:t>
        <w:br w:type="textWrapping"/>
        <w:t xml:space="preserve">20. See Livy, Ab urbe condita Il.x-xiii; Florus, Epitome I.X.3; Juvenal, loc. cit. in n. 17. For Renaissance and later representations of the subject see Braun, op. cit. in n. 18, cols. 796-801 and Pigler, Barockthemen, 1974, II, pp. 379-380.</w:t>
        <w:br w:type="textWrapping"/>
        <w:t xml:space="preserve">21. Apart from those mentioned in the works by Braun and Pigler (cited in n. 20 above), a Cloelia swimming the Tiber appears as the exemplum of fortitudo on an arch erected for the entry of Charles V into Naples in 1535 (M. Gachard, Voyages des souverains des Pays-Bas, II, Brussels, 1874, p. 579).</w:t>
        <w:br w:type="textWrapping"/>
        <w:t xml:space="preserve">22. Pen and ink, 180 x 94 mm.; Paris, Museé du Louvre, Cabinet des Dessins. Inv. no. 22.606. For the wood engraving by Vicentino reproducing a composition by Maturino see Bartsch, XII, 1866, p. 96, no. 5; Le Peintre Graveur Illustré. Italian Chiaroscuro Woodcuts (Bartsch Volume XII), ed. C. Karpinski, University Park, Pa, and London, 1971, no. 96.5. Rubens may also have had in mind an ancient precedent: the Amazon Dismounting', see Bober— Rubinstein, Handbook, 1986, pp. 177-178, no. 141, repr.</w:t>
        <w:br w:type="textWrapping"/>
        <w:t xml:space="preserve">23. Burchard noted that this figure recalls the old serving woman in the Louvre Hercules and Omphale (Jaffé, Rubens, 1989, p. 150, no. 27, repr. p. 151).</w:t>
        <w:br w:type="textWrapping"/>
        <w:t xml:space="preserve">24. In one version of his epigram (Miedema, op. cit., 1968, esp. pp. 139-152) Hooft makes the Tiber turn hot with excitement at the sight of the girls then cool with disapproval as, in unmaidenly fashion, they plunge in to swim.</w:t>
        <w:br w:type="textWrapping"/>
        <w:t xml:space="preserve">25. Cf. also Steadman, Van Diepenbeeck, 1982, p. 89 (under no. 13) where the picture is attributed to 'a member of the Rubens school before 1620'.</w:t>
        <w:br w:type="textWrapping"/>
        <w:t xml:space="preserve">26. On Wildens's activity in Rubens's workshop see Balis, Studio Practices, 1994, p. 122, n. 77, with further references; also above, No. 34, at n. 46.</w:t>
        <w:br w:type="textWrapping"/>
        <w:t xml:space="preserve">27. K.d.K. ed. Oldenbourg, 1921, p. 130; Diaz Padrón, Cat. Prado, 1 9 7 5 ,1, pp. 317-320, no. 1661; II, pi. 201.</w:t>
        <w:br w:type="textWrapping"/>
        <w:t xml:space="preserve">28. K.d.K. ed. Oldenbourg, 1921, p. 205; Vlieghe, Saints, 1972-75, II, no. 104, fig. 6.</w:t>
        <w:br w:type="textWrapping"/>
        <w:t xml:space="preserve">29. Vlieghe, Saints, 1972-73, II, no. 104d, fig. 13.</w:t>
        <w:br w:type="textWrapping"/>
        <w:t xml:space="preserve">30. Op. cit., 1968, pp. 139, 151; cf. Steadman, Van Diepenbeeck, 1982, p. 18.</w:t>
        <w:br w:type="textWrapping"/>
        <w:t xml:space="preserve">31. And indicates that the picture cannot have been commissioned by Amalia van Solms, who became Princess of Orange (on her marriage to Frederick Hendrik) only in 1625.</w:t>
      </w:r>
    </w:p>
    <w:p w:rsidR="00000000" w:rsidDel="00000000" w:rsidP="00000000" w:rsidRDefault="00000000" w:rsidRPr="00000000" w14:paraId="0000000E">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Bewerkte tekst – volgens layout opmerkingen</w:t>
      </w:r>
    </w:p>
    <w:p w:rsidR="00000000" w:rsidDel="00000000" w:rsidP="00000000" w:rsidRDefault="00000000" w:rsidRPr="00000000" w14:paraId="00000010">
      <w:pPr>
        <w:spacing w:after="0" w:line="360"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403543</wp:posOffset>
                </wp:positionH>
                <wp:positionV relativeFrom="paragraph">
                  <wp:posOffset>214948</wp:posOffset>
                </wp:positionV>
                <wp:extent cx="283845" cy="306705"/>
                <wp:effectExtent b="0" l="0" r="0" t="0"/>
                <wp:wrapSquare wrapText="bothSides" distB="45720" distT="45720" distL="114300" distR="114300"/>
                <wp:docPr id="2" name=""/>
                <a:graphic>
                  <a:graphicData uri="http://schemas.microsoft.com/office/word/2010/wordprocessingShape">
                    <wps:wsp>
                      <wps:cNvSpPr/>
                      <wps:cNvPr id="3" name="Shape 3"/>
                      <wps:spPr>
                        <a:xfrm>
                          <a:off x="5208840" y="3631410"/>
                          <a:ext cx="274320" cy="2971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00000"/>
                                <w:sz w:val="24"/>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403543</wp:posOffset>
                </wp:positionH>
                <wp:positionV relativeFrom="paragraph">
                  <wp:posOffset>214948</wp:posOffset>
                </wp:positionV>
                <wp:extent cx="283845" cy="306705"/>
                <wp:effectExtent b="0" l="0" r="0" t="0"/>
                <wp:wrapSquare wrapText="bothSides" distB="45720" distT="45720" distL="114300" distR="114300"/>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283845" cy="306705"/>
                        </a:xfrm>
                        <a:prstGeom prst="rect"/>
                        <a:ln/>
                      </pic:spPr>
                    </pic:pic>
                  </a:graphicData>
                </a:graphic>
              </wp:anchor>
            </w:drawing>
          </mc:Fallback>
        </mc:AlternateContent>
      </w:r>
    </w:p>
    <w:p w:rsidR="00000000" w:rsidDel="00000000" w:rsidP="00000000" w:rsidRDefault="00000000" w:rsidRPr="00000000" w14:paraId="00000011">
      <w:pPr>
        <w:spacing w:after="0" w:line="360" w:lineRule="auto"/>
        <w:rPr/>
      </w:pPr>
      <w:r w:rsidDel="00000000" w:rsidR="00000000" w:rsidRPr="00000000">
        <w:rPr>
          <w:rtl w:val="0"/>
        </w:rPr>
        <w:t xml:space="preserve">This picture, destroyed in 1945, was demoted by many earlier authors to Van Diepenbeeck, and sometimes doubted even as a record of a lost Rubens composition. It was, as the author of the 1889 guide to the Berlin gallery put it, lacking in warmth, movement and the essential Rubensian sparkle (Glanz). However, Burchard was surely right to associate the design with Rubens, and consider the picture as the artist's first version of the theme of the escape of Cloelia, dating from shortly before 1620 and executed with the help of the studio. The picture was certainly highly regarded in the seventeenth century. It must be the 'oblong painting with the river god and other figures of women on horseback and on foot ... serving to be put before the chimney' ('Een lanckwerpige schilderij daerinne sit den godt der wateren ende eenige figeuren van vrouwpersoonen te peerde ende te voet... dienende om voor de schoorsteen te stellen') attributed to Rubens or </w:t>
      </w:r>
      <w:r w:rsidDel="00000000" w:rsidR="00000000" w:rsidRPr="00000000">
        <w:rPr>
          <w:i w:val="1"/>
          <w:iCs w:val="1"/>
          <w:color w:val="c00000"/>
          <w:u w:val="single"/>
          <w:rtl w:val="0"/>
        </w:rPr>
        <w:t xml:space="preserve">Van Dyck</w:t>
      </w:r>
      <w:r w:rsidDel="00000000" w:rsidR="00000000" w:rsidRPr="00000000">
        <w:rPr>
          <w:rtl w:val="0"/>
        </w:rPr>
        <w:t xml:space="preserve"> ('door Rubbens off Van Dijck gedaen') which in 1632 hung along with Rubens's </w:t>
      </w:r>
      <w:r w:rsidDel="00000000" w:rsidR="00000000" w:rsidRPr="00000000">
        <w:rPr>
          <w:i w:val="1"/>
          <w:iCs w:val="1"/>
          <w:color w:val="c00000"/>
          <w:u w:val="single"/>
          <w:rtl w:val="0"/>
        </w:rPr>
        <w:t xml:space="preserve">Alexander and Roxana</w:t>
      </w:r>
      <w:r w:rsidDel="00000000" w:rsidR="00000000" w:rsidRPr="00000000">
        <w:rPr>
          <w:rtl w:val="0"/>
        </w:rPr>
        <w:t xml:space="preserve"> in the chamber of Amalia van Solms, and which, notwithstanding the uncertainty about its authorship, was evidently a prized possession.</w:t>
      </w:r>
      <w:r w:rsidDel="00000000" w:rsidR="00000000" w:rsidRPr="00000000">
        <w:rPr>
          <w:vertAlign w:val="superscript"/>
          <w:rtl w:val="0"/>
        </w:rPr>
        <w:t xml:space="preserve">8</w:t>
      </w:r>
      <w:r w:rsidDel="00000000" w:rsidR="00000000" w:rsidRPr="00000000">
        <w:rPr>
          <w:rtl w:val="0"/>
        </w:rPr>
        <w:t xml:space="preserve"> In the inventory of Amalia's property made after her death, in 1676, it is valued higher than any of her other paintings, and it seems that there may have been a family wrangle over it. It was inherited by Maria von Simmern, who in turn bequeathed it to one of her sisters. From this lady it should have passed to Frederick III of Brandenburg. But in 1697 he evidently had not received it. The documents suggest that another sister, the Duchess of Anhalt, who had in fact inherited a picture of Cloelia by Poelenburgh from Amalia in 1676</w:t>
      </w:r>
      <w:r w:rsidDel="00000000" w:rsidR="00000000" w:rsidRPr="00000000">
        <w:rPr>
          <w:vertAlign w:val="superscript"/>
          <w:rtl w:val="0"/>
        </w:rPr>
        <w:t xml:space="preserve">9</w:t>
      </w:r>
      <w:r w:rsidDel="00000000" w:rsidR="00000000" w:rsidRPr="00000000">
        <w:rPr>
          <w:rtl w:val="0"/>
        </w:rPr>
        <w:t xml:space="preserve"> (and perhaps found this a poor substitute for a Rubens?), had appropriated the family Rubens, or rather borrowed it, since we know it ended up in the possession of Frederick. Perhaps she did this only to have her own copy made. For an old and accurate copy of the Berlin painting – except that it is somewhat expanded to give more space around the central group – is now at Wörlitz (</w:t>
      </w:r>
      <w:r w:rsidDel="00000000" w:rsidR="00000000" w:rsidRPr="00000000">
        <w:rPr>
          <w:i w:val="1"/>
          <w:iCs w:val="1"/>
          <w:color w:val="c00000"/>
          <w:u w:val="single"/>
          <w:rtl w:val="0"/>
        </w:rPr>
        <w:t xml:space="preserve">Copy 1</w:t>
      </w:r>
      <w:r w:rsidDel="00000000" w:rsidR="00000000" w:rsidRPr="00000000">
        <w:rPr>
          <w:rtl w:val="0"/>
        </w:rPr>
        <w:t xml:space="preserve">), having apparently come to Schloss Wörlitz along with other pictures from the Duchess of Anhalt's Orange inheritance, although there are early references to copies after Rubens's Cloelia which could also be connected with the </w:t>
      </w:r>
      <w:r w:rsidDel="00000000" w:rsidR="00000000" w:rsidRPr="00000000">
        <w:rPr>
          <w:i w:val="1"/>
          <w:iCs w:val="1"/>
          <w:color w:val="c00000"/>
          <w:u w:val="single"/>
          <w:rtl w:val="0"/>
        </w:rPr>
        <w:t xml:space="preserve">Wörlitz picture</w:t>
      </w:r>
      <w:r w:rsidDel="00000000" w:rsidR="00000000" w:rsidRPr="00000000">
        <w:rPr>
          <w:rtl w:val="0"/>
        </w:rPr>
        <w:t xml:space="preserve">.</w:t>
      </w:r>
      <w:r w:rsidDel="00000000" w:rsidR="00000000" w:rsidRPr="00000000">
        <w:rPr>
          <w:vertAlign w:val="superscript"/>
          <w:rtl w:val="0"/>
        </w:rPr>
        <w:t xml:space="preserve">10</w:t>
      </w:r>
      <w:r w:rsidDel="00000000" w:rsidR="00000000" w:rsidRPr="00000000">
        <w:rPr>
          <w:rtl w:val="0"/>
        </w:rPr>
        <w:t xml:space="preserve"> Whatever the case, this copy provides a valuable record of the colours, revealing that the two figures on the central horse were dressed in shimmering pink and yellowish silk respectively, and the only strong hue was the red garment being removed by the woman in the right foreground. The </w:t>
      </w:r>
      <w:r w:rsidDel="00000000" w:rsidR="00000000" w:rsidRPr="00000000">
        <w:rPr>
          <w:i w:val="1"/>
          <w:iCs w:val="1"/>
          <w:rtl w:val="0"/>
        </w:rPr>
        <w:t xml:space="preserve">Flight of Cloelia</w:t>
      </w:r>
      <w:r w:rsidDel="00000000" w:rsidR="00000000" w:rsidRPr="00000000">
        <w:rPr>
          <w:rtl w:val="0"/>
        </w:rPr>
        <w:t xml:space="preserve"> inspired P.C. Hooft to compose a Latin epigram, extant in several versions, whose rhetorical conceits testify to the poet's ingenuity, even if they may not tell us much about the artist's own intention.</w:t>
      </w:r>
      <w:r w:rsidDel="00000000" w:rsidR="00000000" w:rsidRPr="00000000">
        <w:rPr>
          <w:vertAlign w:val="superscript"/>
          <w:rtl w:val="0"/>
        </w:rPr>
        <w:t xml:space="preserve">11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777557</wp:posOffset>
                </wp:positionH>
                <wp:positionV relativeFrom="paragraph">
                  <wp:posOffset>3366769</wp:posOffset>
                </wp:positionV>
                <wp:extent cx="3317875" cy="690245"/>
                <wp:effectExtent b="0" l="0" r="0" t="0"/>
                <wp:wrapNone/>
                <wp:docPr id="1" name=""/>
                <a:graphic>
                  <a:graphicData uri="http://schemas.microsoft.com/office/word/2010/wordprocessingShape">
                    <wps:wsp>
                      <wps:cNvSpPr/>
                      <wps:cNvPr id="2" name="Shape 2"/>
                      <wps:spPr>
                        <a:xfrm>
                          <a:off x="3691825" y="3439640"/>
                          <a:ext cx="3308350" cy="680720"/>
                        </a:xfrm>
                        <a:prstGeom prst="rect">
                          <a:avLst/>
                        </a:prstGeom>
                        <a:solidFill>
                          <a:srgbClr val="C00000"/>
                        </a:solidFill>
                        <a:ln>
                          <a:noFill/>
                        </a:ln>
                      </wps:spPr>
                      <wps:txbx>
                        <w:txbxContent>
                          <w:p w:rsidR="00000000" w:rsidDel="00000000" w:rsidP="00000000" w:rsidRDefault="00000000" w:rsidRPr="00000000">
                            <w:pPr>
                              <w:spacing w:after="24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0"/>
                                <w:vertAlign w:val="baseline"/>
                              </w:rPr>
                              <w:t xml:space="preserve">8. Drossaers – Scheurleer, </w:t>
                            </w:r>
                            <w:r w:rsidDel="00000000" w:rsidR="00000000" w:rsidRPr="00000000">
                              <w:rPr>
                                <w:rFonts w:ascii="Times New Roman" w:cs="Times New Roman" w:eastAsia="Times New Roman" w:hAnsi="Times New Roman"/>
                                <w:b w:val="0"/>
                                <w:i w:val="1"/>
                                <w:smallCaps w:val="0"/>
                                <w:strike w:val="0"/>
                                <w:color w:val="ffffff"/>
                                <w:sz w:val="20"/>
                                <w:vertAlign w:val="baseline"/>
                              </w:rPr>
                              <w:t xml:space="preserve">Inventarissen</w:t>
                            </w:r>
                            <w:r w:rsidDel="00000000" w:rsidR="00000000" w:rsidRPr="00000000">
                              <w:rPr>
                                <w:rFonts w:ascii="Times New Roman" w:cs="Times New Roman" w:eastAsia="Times New Roman" w:hAnsi="Times New Roman"/>
                                <w:b w:val="0"/>
                                <w:i w:val="0"/>
                                <w:smallCaps w:val="0"/>
                                <w:strike w:val="0"/>
                                <w:color w:val="ffffff"/>
                                <w:sz w:val="20"/>
                                <w:vertAlign w:val="baseline"/>
                              </w:rPr>
                              <w:t xml:space="preserve">, 1974–76, 1, p. 191, no. 218, with note. See also below, at n. 8.</w:t>
                            </w:r>
                          </w:p>
                        </w:txbxContent>
                      </wps:txbx>
                      <wps:bodyPr anchorCtr="0" anchor="ctr" bIns="180000" lIns="180000" spcFirstLastPara="1" rIns="180000" wrap="square" tIns="180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777557</wp:posOffset>
                </wp:positionH>
                <wp:positionV relativeFrom="paragraph">
                  <wp:posOffset>3366769</wp:posOffset>
                </wp:positionV>
                <wp:extent cx="3317875" cy="690245"/>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3317875" cy="690245"/>
                        </a:xfrm>
                        <a:prstGeom prst="rect"/>
                        <a:ln/>
                      </pic:spPr>
                    </pic:pic>
                  </a:graphicData>
                </a:graphic>
              </wp:anchor>
            </w:drawing>
          </mc:Fallback>
        </mc:AlternateContent>
      </w:r>
    </w:p>
    <w:p w:rsidR="00000000" w:rsidDel="00000000" w:rsidP="00000000" w:rsidRDefault="00000000" w:rsidRPr="00000000" w14:paraId="00000012">
      <w:pPr>
        <w:spacing w:after="0" w:line="360" w:lineRule="auto"/>
        <w:rPr/>
      </w:pPr>
      <w:r w:rsidDel="00000000" w:rsidR="00000000" w:rsidRPr="00000000">
        <w:rPr>
          <w:color w:val="d9d9d9"/>
          <w:rtl w:val="0"/>
        </w:rPr>
        <w:t xml:space="preserve">[witregel]</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410413</wp:posOffset>
                </wp:positionH>
                <wp:positionV relativeFrom="paragraph">
                  <wp:posOffset>266671</wp:posOffset>
                </wp:positionV>
                <wp:extent cx="283845" cy="306705"/>
                <wp:effectExtent b="0" l="0" r="0" t="0"/>
                <wp:wrapSquare wrapText="bothSides" distB="45720" distT="45720" distL="114300" distR="114300"/>
                <wp:docPr id="3" name=""/>
                <a:graphic>
                  <a:graphicData uri="http://schemas.microsoft.com/office/word/2010/wordprocessingShape">
                    <wps:wsp>
                      <wps:cNvSpPr/>
                      <wps:cNvPr id="4" name="Shape 4"/>
                      <wps:spPr>
                        <a:xfrm>
                          <a:off x="5208840" y="3631410"/>
                          <a:ext cx="274320" cy="2971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00000"/>
                                <w:sz w:val="24"/>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410413</wp:posOffset>
                </wp:positionH>
                <wp:positionV relativeFrom="paragraph">
                  <wp:posOffset>266671</wp:posOffset>
                </wp:positionV>
                <wp:extent cx="283845" cy="306705"/>
                <wp:effectExtent b="0" l="0" r="0" t="0"/>
                <wp:wrapSquare wrapText="bothSides" distB="45720" distT="45720" distL="114300" distR="114300"/>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83845" cy="306705"/>
                        </a:xfrm>
                        <a:prstGeom prst="rect"/>
                        <a:ln/>
                      </pic:spPr>
                    </pic:pic>
                  </a:graphicData>
                </a:graphic>
              </wp:anchor>
            </w:drawing>
          </mc:Fallback>
        </mc:AlternateContent>
      </w:r>
    </w:p>
    <w:p w:rsidR="00000000" w:rsidDel="00000000" w:rsidP="00000000" w:rsidRDefault="00000000" w:rsidRPr="00000000" w14:paraId="00000013">
      <w:pPr>
        <w:spacing w:after="0" w:line="360" w:lineRule="auto"/>
        <w:rPr/>
      </w:pPr>
      <w:r w:rsidDel="00000000" w:rsidR="00000000" w:rsidRPr="00000000">
        <w:rPr>
          <w:rtl w:val="0"/>
        </w:rPr>
        <w:t xml:space="preserve">Livy relates how the Roman maiden Cloelia, sent with other hostages to Lars Porsenna during a lull in the Etruscan wars, escaped to Rome by swimming across the Tiber with some companions 'under a hail of missiles'.</w:t>
      </w:r>
      <w:r w:rsidDel="00000000" w:rsidR="00000000" w:rsidRPr="00000000">
        <w:rPr>
          <w:vertAlign w:val="superscript"/>
          <w:rtl w:val="0"/>
        </w:rPr>
        <w:t xml:space="preserve">12</w:t>
      </w:r>
      <w:r w:rsidDel="00000000" w:rsidR="00000000" w:rsidRPr="00000000">
        <w:rPr>
          <w:rtl w:val="0"/>
        </w:rPr>
        <w:t xml:space="preserve"> Even if she was immediately returned to Porsenna, since her exploit threatened the precarious treaty, the Etruscan king celebrated Cloelia's courage by sending her, with a selection of hostages, back to Rome. There the extraordinary woman was honoured with a statue on the Via sacra, which depicted her on horseback.</w:t>
      </w:r>
      <w:r w:rsidDel="00000000" w:rsidR="00000000" w:rsidRPr="00000000">
        <w:rPr>
          <w:vertAlign w:val="superscript"/>
          <w:rtl w:val="0"/>
        </w:rPr>
        <w:t xml:space="preserve">13</w:t>
      </w:r>
      <w:r w:rsidDel="00000000" w:rsidR="00000000" w:rsidRPr="00000000">
        <w:rPr>
          <w:rtl w:val="0"/>
        </w:rPr>
      </w:r>
    </w:p>
    <w:p w:rsidR="00000000" w:rsidDel="00000000" w:rsidP="00000000" w:rsidRDefault="00000000" w:rsidRPr="00000000" w14:paraId="00000014">
      <w:pPr>
        <w:spacing w:after="0" w:line="360" w:lineRule="auto"/>
        <w:rPr/>
      </w:pPr>
      <w:r w:rsidDel="00000000" w:rsidR="00000000" w:rsidRPr="00000000">
        <w:rPr>
          <w:color w:val="d9d9d9"/>
          <w:rtl w:val="0"/>
        </w:rPr>
        <w:t xml:space="preserve">[witregel]</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399098</wp:posOffset>
                </wp:positionH>
                <wp:positionV relativeFrom="paragraph">
                  <wp:posOffset>212408</wp:posOffset>
                </wp:positionV>
                <wp:extent cx="283845" cy="306705"/>
                <wp:effectExtent b="0" l="0" r="0" t="0"/>
                <wp:wrapSquare wrapText="bothSides" distB="45720" distT="45720" distL="114300" distR="114300"/>
                <wp:docPr id="5" name=""/>
                <a:graphic>
                  <a:graphicData uri="http://schemas.microsoft.com/office/word/2010/wordprocessingShape">
                    <wps:wsp>
                      <wps:cNvSpPr/>
                      <wps:cNvPr id="6" name="Shape 6"/>
                      <wps:spPr>
                        <a:xfrm>
                          <a:off x="5208840" y="3631410"/>
                          <a:ext cx="274320" cy="2971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00000"/>
                                <w:sz w:val="24"/>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399098</wp:posOffset>
                </wp:positionH>
                <wp:positionV relativeFrom="paragraph">
                  <wp:posOffset>212408</wp:posOffset>
                </wp:positionV>
                <wp:extent cx="283845" cy="306705"/>
                <wp:effectExtent b="0" l="0" r="0" t="0"/>
                <wp:wrapSquare wrapText="bothSides" distB="45720" distT="45720" distL="114300" distR="114300"/>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83845" cy="306705"/>
                        </a:xfrm>
                        <a:prstGeom prst="rect"/>
                        <a:ln/>
                      </pic:spPr>
                    </pic:pic>
                  </a:graphicData>
                </a:graphic>
              </wp:anchor>
            </w:drawing>
          </mc:Fallback>
        </mc:AlternateContent>
      </w:r>
    </w:p>
    <w:p w:rsidR="00000000" w:rsidDel="00000000" w:rsidP="00000000" w:rsidRDefault="00000000" w:rsidRPr="00000000" w14:paraId="00000015">
      <w:pPr>
        <w:spacing w:after="0" w:line="360" w:lineRule="auto"/>
        <w:rPr/>
      </w:pPr>
      <w:r w:rsidDel="00000000" w:rsidR="00000000" w:rsidRPr="00000000">
        <w:rPr>
          <w:rtl w:val="0"/>
        </w:rPr>
        <w:t xml:space="preserve">Dionysius of Halicarnassus gives a slightly different and more elaborate version of the story, as does Plutarch in his Life of Publicola and his treatise on the Virtues of Women.</w:t>
      </w:r>
      <w:r w:rsidDel="00000000" w:rsidR="00000000" w:rsidRPr="00000000">
        <w:rPr>
          <w:vertAlign w:val="superscript"/>
          <w:rtl w:val="0"/>
        </w:rPr>
        <w:t xml:space="preserve">14</w:t>
      </w:r>
      <w:r w:rsidDel="00000000" w:rsidR="00000000" w:rsidRPr="00000000">
        <w:rPr>
          <w:rtl w:val="0"/>
        </w:rPr>
        <w:t xml:space="preserve"> Plutarch tells us, for example, that the female hostages were ten in number; Dionysius records that the equestrian statue was by his time (late first century BC) destroyed in a fire;</w:t>
      </w:r>
      <w:r w:rsidDel="00000000" w:rsidR="00000000" w:rsidRPr="00000000">
        <w:rPr>
          <w:vertAlign w:val="superscript"/>
          <w:rtl w:val="0"/>
        </w:rPr>
        <w:t xml:space="preserve">15</w:t>
      </w:r>
      <w:r w:rsidDel="00000000" w:rsidR="00000000" w:rsidRPr="00000000">
        <w:rPr>
          <w:rtl w:val="0"/>
        </w:rPr>
        <w:t xml:space="preserve"> and both report that, as a tribute to Cloelia, Lars Porsenna presented her with a splendid war-horse.</w:t>
      </w:r>
      <w:r w:rsidDel="00000000" w:rsidR="00000000" w:rsidRPr="00000000">
        <w:rPr>
          <w:vertAlign w:val="superscript"/>
          <w:rtl w:val="0"/>
        </w:rPr>
        <w:t xml:space="preserve">16</w:t>
      </w:r>
      <w:r w:rsidDel="00000000" w:rsidR="00000000" w:rsidRPr="00000000">
        <w:rPr>
          <w:rtl w:val="0"/>
        </w:rPr>
        <w:t xml:space="preserve"> Plutarch, who wonders if it has something to do with the gift of the horse, adds that Cloelia is said to have made her escape on horseback, leading and encouraging her comrades as they swam together beside her.</w:t>
      </w:r>
      <w:r w:rsidDel="00000000" w:rsidR="00000000" w:rsidRPr="00000000">
        <w:rPr>
          <w:vertAlign w:val="superscript"/>
          <w:rtl w:val="0"/>
        </w:rPr>
        <w:t xml:space="preserve">17</w:t>
      </w:r>
      <w:r w:rsidDel="00000000" w:rsidR="00000000" w:rsidRPr="00000000">
        <w:rPr>
          <w:rtl w:val="0"/>
        </w:rPr>
        <w:t xml:space="preserve"> From Plutarch and Dionysus too we learn that the young women made their escape while bathing, since for modesty's sake they had been allowed to do this unguarded, in a quiet bend in the river. The escape on horseback became an essential feature of the Renaissance iconography of the subject, even for illustrations to Livy's (horseless) text, and the single horse of other historians was freely multiplied.</w:t>
      </w:r>
      <w:r w:rsidDel="00000000" w:rsidR="00000000" w:rsidRPr="00000000">
        <w:rPr>
          <w:vertAlign w:val="superscript"/>
          <w:rtl w:val="0"/>
        </w:rPr>
        <w:t xml:space="preserve">18</w:t>
      </w:r>
      <w:r w:rsidDel="00000000" w:rsidR="00000000" w:rsidRPr="00000000">
        <w:rPr>
          <w:rtl w:val="0"/>
        </w:rPr>
        <w:t xml:space="preserve"> Before Rubens, however, artists were evidently unaware of the bathing context and its justification of female nakedness in a heroic Roman exemplum— one which Valerius Maximus put second only to the feat of Horatius in his chapter on fortitudo,</w:t>
      </w:r>
      <w:r w:rsidDel="00000000" w:rsidR="00000000" w:rsidRPr="00000000">
        <w:rPr>
          <w:vertAlign w:val="superscript"/>
          <w:rtl w:val="0"/>
        </w:rPr>
        <w:t xml:space="preserve">19</w:t>
      </w:r>
      <w:r w:rsidDel="00000000" w:rsidR="00000000" w:rsidRPr="00000000">
        <w:rPr>
          <w:rtl w:val="0"/>
        </w:rPr>
        <w:t xml:space="preserve"> and which was said to be one of the three heroic exploits (along with those of Horatius and Scaevola) which led Lars Porsenna to abandon his siege of Rome.</w:t>
      </w:r>
      <w:r w:rsidDel="00000000" w:rsidR="00000000" w:rsidRPr="00000000">
        <w:rPr>
          <w:vertAlign w:val="superscript"/>
          <w:rtl w:val="0"/>
        </w:rPr>
        <w:t xml:space="preserve">20</w:t>
      </w:r>
      <w:r w:rsidDel="00000000" w:rsidR="00000000" w:rsidRPr="00000000">
        <w:rPr>
          <w:rtl w:val="0"/>
        </w:rPr>
      </w:r>
    </w:p>
    <w:p w:rsidR="00000000" w:rsidDel="00000000" w:rsidP="00000000" w:rsidRDefault="00000000" w:rsidRPr="00000000" w14:paraId="00000016">
      <w:pPr>
        <w:spacing w:after="0" w:line="360" w:lineRule="auto"/>
        <w:rPr/>
      </w:pPr>
      <w:r w:rsidDel="00000000" w:rsidR="00000000" w:rsidRPr="00000000">
        <w:rPr>
          <w:color w:val="d9d9d9"/>
          <w:rtl w:val="0"/>
        </w:rPr>
        <w:t xml:space="preserve">[witregel]</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388880</wp:posOffset>
                </wp:positionH>
                <wp:positionV relativeFrom="paragraph">
                  <wp:posOffset>198669</wp:posOffset>
                </wp:positionV>
                <wp:extent cx="283845" cy="306705"/>
                <wp:effectExtent b="0" l="0" r="0" t="0"/>
                <wp:wrapSquare wrapText="bothSides" distB="45720" distT="45720" distL="114300" distR="114300"/>
                <wp:docPr id="6" name=""/>
                <a:graphic>
                  <a:graphicData uri="http://schemas.microsoft.com/office/word/2010/wordprocessingShape">
                    <wps:wsp>
                      <wps:cNvSpPr/>
                      <wps:cNvPr id="7" name="Shape 7"/>
                      <wps:spPr>
                        <a:xfrm>
                          <a:off x="5208840" y="3631410"/>
                          <a:ext cx="274320" cy="2971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00000"/>
                                <w:sz w:val="24"/>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388880</wp:posOffset>
                </wp:positionH>
                <wp:positionV relativeFrom="paragraph">
                  <wp:posOffset>198669</wp:posOffset>
                </wp:positionV>
                <wp:extent cx="283845" cy="306705"/>
                <wp:effectExtent b="0" l="0" r="0" t="0"/>
                <wp:wrapSquare wrapText="bothSides" distB="45720" distT="45720" distL="114300" distR="114300"/>
                <wp:docPr id="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283845" cy="306705"/>
                        </a:xfrm>
                        <a:prstGeom prst="rect"/>
                        <a:ln/>
                      </pic:spPr>
                    </pic:pic>
                  </a:graphicData>
                </a:graphic>
              </wp:anchor>
            </w:drawing>
          </mc:Fallback>
        </mc:AlternateContent>
      </w:r>
    </w:p>
    <w:p w:rsidR="00000000" w:rsidDel="00000000" w:rsidP="00000000" w:rsidRDefault="00000000" w:rsidRPr="00000000" w14:paraId="00000017">
      <w:pPr>
        <w:spacing w:after="0" w:line="360" w:lineRule="auto"/>
        <w:rPr/>
      </w:pPr>
      <w:r w:rsidDel="00000000" w:rsidR="00000000" w:rsidRPr="00000000">
        <w:rPr>
          <w:rtl w:val="0"/>
        </w:rPr>
        <w:t xml:space="preserve">Earlier paintings of the Flight of Cloelia for the most part belonged to cycles of Roman history or ancient exempla.</w:t>
      </w:r>
      <w:r w:rsidDel="00000000" w:rsidR="00000000" w:rsidRPr="00000000">
        <w:rPr>
          <w:vertAlign w:val="superscript"/>
          <w:rtl w:val="0"/>
        </w:rPr>
        <w:t xml:space="preserve">21</w:t>
      </w:r>
      <w:r w:rsidDel="00000000" w:rsidR="00000000" w:rsidRPr="00000000">
        <w:rPr>
          <w:rtl w:val="0"/>
        </w:rPr>
        <w:t xml:space="preserve"> Rubens effectively invented the theme as an independent cabinet picture. He took over familiar iconographic elements, such as the River Tiber, who reclines in the foreground of most sixteenth-century Italian versions of the subject; but he particu­larly selected entertaining features. Thus the sturdy young woman seen from behind and precariously perched on the central horse was inspired by a group in a Vicentino print, which the artist had sketched years before </w:t>
      </w:r>
      <w:r w:rsidDel="00000000" w:rsidR="00000000" w:rsidRPr="00000000">
        <w:rPr>
          <w:i w:val="1"/>
          <w:iCs w:val="1"/>
          <w:color w:val="c00000"/>
          <w:u w:val="single"/>
          <w:rtl w:val="0"/>
        </w:rPr>
        <w:t xml:space="preserve">(Fig. 172)</w:t>
      </w:r>
      <w:r w:rsidDel="00000000" w:rsidR="00000000" w:rsidRPr="00000000">
        <w:rPr>
          <w:color w:val="c00000"/>
          <w:rtl w:val="0"/>
        </w:rPr>
        <w:t xml:space="preserve"> </w:t>
      </w:r>
      <w:r w:rsidDel="00000000" w:rsidR="00000000" w:rsidRPr="00000000">
        <w:rPr>
          <w:rtl w:val="0"/>
        </w:rPr>
        <w:t xml:space="preserve">as a good motif for a 'women on horseback' picture.</w:t>
      </w:r>
      <w:r w:rsidDel="00000000" w:rsidR="00000000" w:rsidRPr="00000000">
        <w:rPr>
          <w:vertAlign w:val="superscript"/>
          <w:rtl w:val="0"/>
        </w:rPr>
        <w:t xml:space="preserve">22</w:t>
      </w:r>
      <w:r w:rsidDel="00000000" w:rsidR="00000000" w:rsidRPr="00000000">
        <w:rPr>
          <w:rtl w:val="0"/>
        </w:rPr>
        <w:t xml:space="preserve"> Nudity of course has now a new prominence, on the authority of Plutarch and Dionysius, though Rubens characteristically expanded on other elements in the textual sources where it suited his artistic purpose. He included no less than five horses—one of them already well on its way across the Tiber with its rider—and thus contrived a nice variety in the composition with both naked and clothed figures— the latter, mostly in pairs, of course on horseback. He introduced two old 'nurses' to tend to the maidens, one helping her charge to mount and the other gazing up to the central figure, obviously Cloelia, who looks back warily to check if the escape is unobserved.</w:t>
      </w:r>
      <w:r w:rsidDel="00000000" w:rsidR="00000000" w:rsidRPr="00000000">
        <w:rPr>
          <w:vertAlign w:val="superscript"/>
          <w:rtl w:val="0"/>
        </w:rPr>
        <w:t xml:space="preserve">23</w:t>
      </w:r>
      <w:r w:rsidDel="00000000" w:rsidR="00000000" w:rsidRPr="00000000">
        <w:rPr>
          <w:rtl w:val="0"/>
        </w:rPr>
        <w:t xml:space="preserve"> The fact that all the figures are concentrating on their goal, or looking to Cloelia, and that Rubens gives us no glimpse of the Etruscan soldiers, whether sleeping (Valerius Maximus) or in pursuit (Livy etc.), as they usually appear in previous representations of the theme, contributes to the atmosphere of tension and the moral seriousness, so that the nudity, although undoubtedly diverting— and intended as such is hardly frivolous, whatever scruples about decorum it may have aroused in Hooft, or other contemporary viewers.</w:t>
      </w:r>
      <w:r w:rsidDel="00000000" w:rsidR="00000000" w:rsidRPr="00000000">
        <w:rPr>
          <w:vertAlign w:val="superscript"/>
          <w:rtl w:val="0"/>
        </w:rPr>
        <w:t xml:space="preserve">24</w:t>
      </w:r>
      <w:r w:rsidDel="00000000" w:rsidR="00000000" w:rsidRPr="00000000">
        <w:rPr>
          <w:rtl w:val="0"/>
        </w:rPr>
        <w:t xml:space="preserve"> In the final version of his poem, as Miedema shows, Hooft suppressed such reactions and called the picture an illustration of the Ovidian maxim of how virtue wins out against all odds (invia virtuti nulla est via) (cf. Metamorphoses XIV.113). The subject may indeed have appealed to the Orange family too as one which could on occasion be amenable to a political application to other, contemporary, 'freedom fighters'. </w:t>
      </w:r>
      <w:r w:rsidDel="00000000" w:rsidR="00000000" w:rsidRPr="00000000">
        <w:drawing>
          <wp:anchor allowOverlap="1" behindDoc="0" distB="0" distT="0" distL="114300" distR="114300" hidden="0" layoutInCell="1" locked="0" relativeHeight="0" simplePos="0">
            <wp:simplePos x="0" y="0"/>
            <wp:positionH relativeFrom="column">
              <wp:posOffset>4030345</wp:posOffset>
            </wp:positionH>
            <wp:positionV relativeFrom="paragraph">
              <wp:posOffset>4799965</wp:posOffset>
            </wp:positionV>
            <wp:extent cx="1569856" cy="2034716"/>
            <wp:effectExtent b="0" l="0" r="0" t="0"/>
            <wp:wrapNone/>
            <wp:docPr descr="Afbeelding met kleding, poster, verven, vrouw&#10;&#10;Door AI gegenereerde inhoud is mogelijk onjuist." id="14" name="image5.png"/>
            <a:graphic>
              <a:graphicData uri="http://schemas.openxmlformats.org/drawingml/2006/picture">
                <pic:pic>
                  <pic:nvPicPr>
                    <pic:cNvPr descr="Afbeelding met kleding, poster, verven, vrouw&#10;&#10;Door AI gegenereerde inhoud is mogelijk onjuist." id="0" name="image5.png"/>
                    <pic:cNvPicPr preferRelativeResize="0"/>
                  </pic:nvPicPr>
                  <pic:blipFill>
                    <a:blip r:embed="rId11"/>
                    <a:srcRect b="0" l="0" r="0" t="0"/>
                    <a:stretch>
                      <a:fillRect/>
                    </a:stretch>
                  </pic:blipFill>
                  <pic:spPr>
                    <a:xfrm>
                      <a:off x="0" y="0"/>
                      <a:ext cx="1569856" cy="2034716"/>
                    </a:xfrm>
                    <a:prstGeom prst="rect"/>
                    <a:ln/>
                  </pic:spPr>
                </pic:pic>
              </a:graphicData>
            </a:graphic>
          </wp:anchor>
        </w:drawing>
      </w:r>
    </w:p>
    <w:p w:rsidR="00000000" w:rsidDel="00000000" w:rsidP="00000000" w:rsidRDefault="00000000" w:rsidRPr="00000000" w14:paraId="00000018">
      <w:pPr>
        <w:spacing w:after="0" w:line="360" w:lineRule="auto"/>
        <w:rPr/>
      </w:pPr>
      <w:r w:rsidDel="00000000" w:rsidR="00000000" w:rsidRPr="00000000">
        <w:rPr>
          <w:color w:val="d9d9d9"/>
          <w:rtl w:val="0"/>
        </w:rPr>
        <w:t xml:space="preserve">[witregel]</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390669</wp:posOffset>
                </wp:positionH>
                <wp:positionV relativeFrom="paragraph">
                  <wp:posOffset>223665</wp:posOffset>
                </wp:positionV>
                <wp:extent cx="283845" cy="306705"/>
                <wp:effectExtent b="0" l="0" r="0" t="0"/>
                <wp:wrapSquare wrapText="bothSides" distB="45720" distT="45720" distL="114300" distR="114300"/>
                <wp:docPr id="4" name=""/>
                <a:graphic>
                  <a:graphicData uri="http://schemas.microsoft.com/office/word/2010/wordprocessingShape">
                    <wps:wsp>
                      <wps:cNvSpPr/>
                      <wps:cNvPr id="5" name="Shape 5"/>
                      <wps:spPr>
                        <a:xfrm>
                          <a:off x="5208840" y="3631410"/>
                          <a:ext cx="274320" cy="2971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00000"/>
                                <w:sz w:val="24"/>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390669</wp:posOffset>
                </wp:positionH>
                <wp:positionV relativeFrom="paragraph">
                  <wp:posOffset>223665</wp:posOffset>
                </wp:positionV>
                <wp:extent cx="283845" cy="306705"/>
                <wp:effectExtent b="0" l="0" r="0" t="0"/>
                <wp:wrapSquare wrapText="bothSides" distB="45720" distT="45720" distL="114300" distR="114300"/>
                <wp:docPr id="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83845" cy="306705"/>
                        </a:xfrm>
                        <a:prstGeom prst="rect"/>
                        <a:ln/>
                      </pic:spPr>
                    </pic:pic>
                  </a:graphicData>
                </a:graphic>
              </wp:anchor>
            </w:drawing>
          </mc:Fallback>
        </mc:AlternateContent>
      </w:r>
    </w:p>
    <w:p w:rsidR="00000000" w:rsidDel="00000000" w:rsidP="00000000" w:rsidRDefault="00000000" w:rsidRPr="00000000" w14:paraId="00000019">
      <w:pPr>
        <w:spacing w:after="0" w:line="360" w:lineRule="auto"/>
        <w:rPr/>
      </w:pPr>
      <w:r w:rsidDel="00000000" w:rsidR="00000000" w:rsidRPr="00000000">
        <w:rPr>
          <w:rtl w:val="0"/>
        </w:rPr>
        <w:t xml:space="preserve">With only old photographs to rely on, it is difficult to speculate now on the possible share of individual pupils in the picture's execution. However, the early attribution to Van Dyck as well as Rubens seems likely to have had some basis and certainly suits a dating (proposed by Burchard and Van Gelder) of shortly before 1620.</w:t>
      </w:r>
      <w:r w:rsidDel="00000000" w:rsidR="00000000" w:rsidRPr="00000000">
        <w:rPr>
          <w:vertAlign w:val="superscript"/>
          <w:rtl w:val="0"/>
        </w:rPr>
        <w:t xml:space="preserve">25</w:t>
      </w:r>
      <w:r w:rsidDel="00000000" w:rsidR="00000000" w:rsidRPr="00000000">
        <w:rPr>
          <w:rtl w:val="0"/>
        </w:rPr>
        <w:t xml:space="preserve"> In addition, the landscape and foreground greenery looks very much like the work of </w:t>
      </w:r>
      <w:r w:rsidDel="00000000" w:rsidR="00000000" w:rsidRPr="00000000">
        <w:rPr>
          <w:i w:val="1"/>
          <w:iCs w:val="1"/>
          <w:color w:val="c00000"/>
          <w:u w:val="single"/>
          <w:rtl w:val="0"/>
        </w:rPr>
        <w:t xml:space="preserve">Wildens</w:t>
      </w:r>
      <w:r w:rsidDel="00000000" w:rsidR="00000000" w:rsidRPr="00000000">
        <w:rPr>
          <w:rtl w:val="0"/>
        </w:rPr>
        <w:t xml:space="preserve">, which would accord with such a date.</w:t>
      </w:r>
      <w:r w:rsidDel="00000000" w:rsidR="00000000" w:rsidRPr="00000000">
        <w:rPr>
          <w:vertAlign w:val="superscript"/>
          <w:rtl w:val="0"/>
        </w:rPr>
        <w:t xml:space="preserve">26</w:t>
      </w:r>
      <w:r w:rsidDel="00000000" w:rsidR="00000000" w:rsidRPr="00000000">
        <w:rPr>
          <w:rtl w:val="0"/>
        </w:rPr>
        <w:t xml:space="preserve"> The composition seems rather cramped in a manner typical of pictures of this period, and the execution particularly recalls that of the Prado </w:t>
      </w:r>
      <w:r w:rsidDel="00000000" w:rsidR="00000000" w:rsidRPr="00000000">
        <w:rPr>
          <w:i w:val="1"/>
          <w:iCs w:val="1"/>
          <w:color w:val="c00000"/>
          <w:u w:val="single"/>
          <w:rtl w:val="0"/>
        </w:rPr>
        <w:t xml:space="preserve">Achilles on Scyros</w:t>
      </w:r>
      <w:r w:rsidDel="00000000" w:rsidR="00000000" w:rsidRPr="00000000">
        <w:rPr>
          <w:rtl w:val="0"/>
        </w:rPr>
        <w:t xml:space="preserve">, a painting of c. 1617-18 which is almost certainly the collaborative effort of Rubens and </w:t>
      </w:r>
      <w:r w:rsidDel="00000000" w:rsidR="00000000" w:rsidRPr="00000000">
        <w:rPr>
          <w:i w:val="1"/>
          <w:iCs w:val="1"/>
          <w:color w:val="c00000"/>
          <w:u w:val="single"/>
          <w:rtl w:val="0"/>
        </w:rPr>
        <w:t xml:space="preserve">Van Dyck</w:t>
      </w:r>
      <w:r w:rsidDel="00000000" w:rsidR="00000000" w:rsidRPr="00000000">
        <w:rPr>
          <w:rtl w:val="0"/>
        </w:rPr>
        <w:t xml:space="preserve">.</w:t>
      </w:r>
      <w:r w:rsidDel="00000000" w:rsidR="00000000" w:rsidRPr="00000000">
        <w:rPr>
          <w:vertAlign w:val="superscript"/>
          <w:rtl w:val="0"/>
        </w:rPr>
        <w:t xml:space="preserve">27</w:t>
      </w:r>
      <w:r w:rsidDel="00000000" w:rsidR="00000000" w:rsidRPr="00000000">
        <w:rPr>
          <w:rtl w:val="0"/>
        </w:rPr>
        <w:t xml:space="preserve"> The faces, attitudes and even hair-styles of some of the young women are similar. The virago, Cloelia, is not unlike the disguised Achilles, even if the forms seem harder in outline in the Berlin Cloelia. The pose of the young woman in the foreground, with outstretched arms, presumably in preparation for swimming – the water near the outlet of the Tiber's urn being, apparently, relatively deep – is adapted, with appropriate modification of male musculature, from that of the blind man in the </w:t>
      </w:r>
      <w:r w:rsidDel="00000000" w:rsidR="00000000" w:rsidRPr="00000000">
        <w:rPr>
          <w:i w:val="1"/>
          <w:iCs w:val="1"/>
          <w:color w:val="c00000"/>
          <w:u w:val="single"/>
          <w:rtl w:val="0"/>
        </w:rPr>
        <w:t xml:space="preserve">Miracles of St Francis Xavier</w:t>
      </w:r>
      <w:r w:rsidDel="00000000" w:rsidR="00000000" w:rsidRPr="00000000">
        <w:rPr>
          <w:rtl w:val="0"/>
        </w:rPr>
        <w:t xml:space="preserve"> in Vienna,</w:t>
      </w:r>
      <w:r w:rsidDel="00000000" w:rsidR="00000000" w:rsidRPr="00000000">
        <w:rPr>
          <w:vertAlign w:val="superscript"/>
          <w:rtl w:val="0"/>
        </w:rPr>
        <w:t xml:space="preserve">28</w:t>
      </w:r>
      <w:r w:rsidDel="00000000" w:rsidR="00000000" w:rsidRPr="00000000">
        <w:rPr>
          <w:rtl w:val="0"/>
        </w:rPr>
        <w:t xml:space="preserve"> or rather from </w:t>
      </w:r>
      <w:r w:rsidDel="00000000" w:rsidR="00000000" w:rsidRPr="00000000">
        <w:rPr>
          <w:i w:val="1"/>
          <w:iCs w:val="1"/>
          <w:color w:val="c00000"/>
          <w:u w:val="single"/>
          <w:rtl w:val="0"/>
        </w:rPr>
        <w:t xml:space="preserve">the preparatory drawing</w:t>
      </w:r>
      <w:r w:rsidDel="00000000" w:rsidR="00000000" w:rsidRPr="00000000">
        <w:rPr>
          <w:rtl w:val="0"/>
        </w:rPr>
        <w:t xml:space="preserve"> for this man, from which it even reproduces the pattern of shading.  This means that we can date No. 47 after 1617. The fact that the first version of Hooft's epigram was composed in 1619–20 provides a terminus antequem, it also, as Miedema points out,</w:t>
      </w:r>
      <w:r w:rsidDel="00000000" w:rsidR="00000000" w:rsidRPr="00000000">
        <w:rPr>
          <w:vertAlign w:val="superscript"/>
          <w:rtl w:val="0"/>
        </w:rPr>
        <w:t xml:space="preserve">30</w:t>
      </w:r>
      <w:r w:rsidDel="00000000" w:rsidR="00000000" w:rsidRPr="00000000">
        <w:rPr>
          <w:rtl w:val="0"/>
        </w:rPr>
        <w:t xml:space="preserve"> rules out any possibility of the participation of </w:t>
      </w:r>
      <w:r w:rsidDel="00000000" w:rsidR="00000000" w:rsidRPr="00000000">
        <w:rPr>
          <w:i w:val="1"/>
          <w:iCs w:val="1"/>
          <w:color w:val="c00000"/>
          <w:u w:val="single"/>
          <w:rtl w:val="0"/>
        </w:rPr>
        <w:t xml:space="preserve">Abraham van Diepenbeeck</w:t>
      </w:r>
      <w:r w:rsidDel="00000000" w:rsidR="00000000" w:rsidRPr="00000000">
        <w:rPr>
          <w:rtl w:val="0"/>
        </w:rPr>
        <w:t xml:space="preserve">.</w:t>
      </w:r>
      <w:r w:rsidDel="00000000" w:rsidR="00000000" w:rsidRPr="00000000">
        <w:rPr>
          <w:vertAlign w:val="superscript"/>
          <w:rtl w:val="0"/>
        </w:rPr>
        <w:t xml:space="preserve">31</w:t>
      </w:r>
      <w:r w:rsidDel="00000000" w:rsidR="00000000" w:rsidRPr="00000000">
        <w:rPr>
          <w:rtl w:val="0"/>
        </w:rPr>
      </w:r>
    </w:p>
    <w:p w:rsidR="00000000" w:rsidDel="00000000" w:rsidP="00000000" w:rsidRDefault="00000000" w:rsidRPr="00000000" w14:paraId="0000001A">
      <w:pPr>
        <w:spacing w:after="0" w:line="360" w:lineRule="auto"/>
        <w:rPr/>
      </w:pPr>
      <w:r w:rsidDel="00000000" w:rsidR="00000000" w:rsidRPr="00000000">
        <w:rPr>
          <w:color w:val="d9d9d9"/>
          <w:rtl w:val="0"/>
        </w:rPr>
        <w:t xml:space="preserve">[witregel]</w:t>
      </w:r>
      <w:r w:rsidDel="00000000" w:rsidR="00000000" w:rsidRPr="00000000">
        <w:rPr>
          <w:rtl w:val="0"/>
        </w:rPr>
      </w:r>
    </w:p>
    <w:p w:rsidR="00000000" w:rsidDel="00000000" w:rsidP="00000000" w:rsidRDefault="00000000" w:rsidRPr="00000000" w14:paraId="0000001B">
      <w:pPr>
        <w:spacing w:after="0" w:line="360" w:lineRule="auto"/>
        <w:rPr/>
      </w:pPr>
      <w:r w:rsidDel="00000000" w:rsidR="00000000" w:rsidRPr="00000000">
        <w:rPr>
          <w:color w:val="c00000"/>
          <w:u w:val="single"/>
          <w:rtl w:val="0"/>
        </w:rPr>
        <w:t xml:space="preserve">1</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 p. 191, no. 218, with note. See also below, at </w:t>
      </w:r>
      <w:r w:rsidDel="00000000" w:rsidR="00000000" w:rsidRPr="00000000">
        <w:rPr>
          <w:i w:val="1"/>
          <w:iCs w:val="1"/>
          <w:color w:val="c00000"/>
          <w:u w:val="single"/>
          <w:rtl w:val="0"/>
        </w:rPr>
        <w:t xml:space="preserve">n. 8</w:t>
      </w:r>
      <w:r w:rsidDel="00000000" w:rsidR="00000000" w:rsidRPr="00000000">
        <w:rPr>
          <w:rtl w:val="0"/>
        </w:rPr>
        <w:t xml:space="preserve">.</w:t>
      </w:r>
    </w:p>
    <w:p w:rsidR="00000000" w:rsidDel="00000000" w:rsidP="00000000" w:rsidRDefault="00000000" w:rsidRPr="00000000" w14:paraId="0000001C">
      <w:pPr>
        <w:spacing w:after="0" w:line="360" w:lineRule="auto"/>
        <w:rPr/>
      </w:pPr>
      <w:r w:rsidDel="00000000" w:rsidR="00000000" w:rsidRPr="00000000">
        <w:rPr>
          <w:color w:val="c00000"/>
          <w:u w:val="single"/>
          <w:rtl w:val="0"/>
        </w:rPr>
        <w:t xml:space="preserve">2</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 p. 286, no. 1256.</w:t>
        <w:br w:type="textWrapping"/>
      </w:r>
      <w:r w:rsidDel="00000000" w:rsidR="00000000" w:rsidRPr="00000000">
        <w:rPr>
          <w:color w:val="c00000"/>
          <w:u w:val="single"/>
          <w:rtl w:val="0"/>
        </w:rPr>
        <w:t xml:space="preserve">3</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 p. 321, no. 798.</w:t>
        <w:br w:type="textWrapping"/>
      </w:r>
      <w:r w:rsidDel="00000000" w:rsidR="00000000" w:rsidRPr="00000000">
        <w:rPr>
          <w:color w:val="c00000"/>
          <w:u w:val="single"/>
          <w:rtl w:val="0"/>
        </w:rPr>
        <w:t xml:space="preserve">4</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 p. 369, no. 14U1. See also Rost, loc. cit. In bibliography, 1873.</w:t>
        <w:br w:type="textWrapping"/>
      </w:r>
      <w:r w:rsidDel="00000000" w:rsidR="00000000" w:rsidRPr="00000000">
        <w:rPr>
          <w:color w:val="c00000"/>
          <w:u w:val="single"/>
          <w:rtl w:val="0"/>
        </w:rPr>
        <w:t xml:space="preserve">5</w:t>
      </w:r>
      <w:r w:rsidDel="00000000" w:rsidR="00000000" w:rsidRPr="00000000">
        <w:rPr>
          <w:rtl w:val="0"/>
        </w:rPr>
        <w:t xml:space="preserve">. See Rost, </w:t>
      </w:r>
      <w:r w:rsidDel="00000000" w:rsidR="00000000" w:rsidRPr="00000000">
        <w:rPr>
          <w:i w:val="1"/>
          <w:iCs w:val="1"/>
          <w:rtl w:val="0"/>
        </w:rPr>
        <w:t xml:space="preserve">Alte Nassau-Oranische Bilderschatz</w:t>
      </w:r>
      <w:r w:rsidDel="00000000" w:rsidR="00000000" w:rsidRPr="00000000">
        <w:rPr>
          <w:rtl w:val="0"/>
        </w:rPr>
        <w:t xml:space="preserve">, 1873, p. 63, and n. 7.</w:t>
      </w:r>
    </w:p>
    <w:p w:rsidR="00000000" w:rsidDel="00000000" w:rsidP="00000000" w:rsidRDefault="00000000" w:rsidRPr="00000000" w14:paraId="0000001D">
      <w:pPr>
        <w:spacing w:after="0" w:line="360" w:lineRule="auto"/>
        <w:rPr/>
      </w:pPr>
      <w:r w:rsidDel="00000000" w:rsidR="00000000" w:rsidRPr="00000000">
        <w:rPr>
          <w:color w:val="c00000"/>
          <w:u w:val="single"/>
          <w:rtl w:val="0"/>
        </w:rPr>
        <w:t xml:space="preserve">6</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II, p. 209, note to no. 70.</w:t>
        <w:br w:type="textWrapping"/>
      </w:r>
      <w:r w:rsidDel="00000000" w:rsidR="00000000" w:rsidRPr="00000000">
        <w:rPr>
          <w:color w:val="c00000"/>
          <w:u w:val="single"/>
          <w:rtl w:val="0"/>
        </w:rPr>
        <w:t xml:space="preserve">7</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II, p. 224, no. 59.</w:t>
        <w:br w:type="textWrapping"/>
      </w:r>
      <w:r w:rsidDel="00000000" w:rsidR="00000000" w:rsidRPr="00000000">
        <w:rPr>
          <w:color w:val="c00000"/>
          <w:u w:val="single"/>
          <w:rtl w:val="0"/>
        </w:rPr>
        <w:t xml:space="preserve">8</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 p. 191, no. 218. Van Gelder, loc. cit., 1981, took the phrase 'dienende om voor de schoorsteen te stellen' to mean that it was over the fireplace; and this indeed might seem to be the natural interpretation. The phrase is similar to that used in the same inventory for the location of Rubens's painting of </w:t>
      </w:r>
      <w:r w:rsidDel="00000000" w:rsidR="00000000" w:rsidRPr="00000000">
        <w:rPr>
          <w:i w:val="1"/>
          <w:iCs w:val="1"/>
          <w:color w:val="c00000"/>
          <w:u w:val="single"/>
          <w:rtl w:val="0"/>
        </w:rPr>
        <w:t xml:space="preserve">Artemisia</w:t>
      </w:r>
      <w:r w:rsidDel="00000000" w:rsidR="00000000" w:rsidRPr="00000000">
        <w:rPr>
          <w:rtl w:val="0"/>
        </w:rPr>
        <w:t xml:space="preserve">, and for two other pictures which we know to have been installed as chimney-pieces in other Orange palaces (said to be 'voor de schoorsteen'): for these, and more on the question of the meaning of this phrase see above, No. 13, at n. 36. But in the case of Amalia's painting of Cloelia, such an interpretation creates two problems. Firstly we already have a chimney-piece for the room: Rubens's </w:t>
      </w:r>
      <w:r w:rsidDel="00000000" w:rsidR="00000000" w:rsidRPr="00000000">
        <w:rPr>
          <w:i w:val="1"/>
          <w:iCs w:val="1"/>
          <w:color w:val="c00000"/>
          <w:u w:val="single"/>
          <w:rtl w:val="0"/>
        </w:rPr>
        <w:t xml:space="preserve">Alexander and Roxana</w:t>
      </w:r>
      <w:r w:rsidDel="00000000" w:rsidR="00000000" w:rsidRPr="00000000">
        <w:rPr>
          <w:rtl w:val="0"/>
        </w:rPr>
        <w:t xml:space="preserve">, described as ‘eenen houten schoorsteenmantel'; secondly the Berlin picture seems rather too large for such a location— and Van Gelder already excluded it from consideration in this context for that reason. There may have been two chimneys in Amalia's chamber; or else the picture was indeed somehow placed in front of the fireplace— a temporary, summer arrangement? A distinction seems to be made in the inventories between pictures permanently fixed above the mantelpiece, and those simply hanging or 'standing' 'before the chimneypiece'. That the picture in Amalia's collection was indeed No. 47 is supported by the compositions by Dutch artists which derive from it, for example, the </w:t>
        <w:br w:type="textWrapping"/>
        <w:t xml:space="preserve">drawing by Bramer after Couwenbergh; see Plomp, op. cit., 1986, pp. 111-112, fig. 16, with </w:t>
        <w:br w:type="textWrapping"/>
        <w:t xml:space="preserve">reference to other Cloelia compositions by Northern painters. Somewhat confusingly a 'Clelie Romano van Rubbens voor de schoorsteen' is recorded in the Orange palace of Het Loo in 1713 and reappears with a similar designation in other 18th-century inventories. This is certainly a different painting, namely the version now in the Louvre (Fig. 176), for which see below, No. 48b.</w:t>
        <w:br w:type="textWrapping"/>
      </w:r>
      <w:r w:rsidDel="00000000" w:rsidR="00000000" w:rsidRPr="00000000">
        <w:rPr>
          <w:color w:val="c00000"/>
          <w:u w:val="single"/>
          <w:rtl w:val="0"/>
        </w:rPr>
        <w:t xml:space="preserve">9</w:t>
      </w:r>
      <w:r w:rsidDel="00000000" w:rsidR="00000000" w:rsidRPr="00000000">
        <w:rPr>
          <w:rtl w:val="0"/>
        </w:rPr>
        <w:t xml:space="preserve">. Drossaers – Scheurleer, </w:t>
      </w:r>
      <w:r w:rsidDel="00000000" w:rsidR="00000000" w:rsidRPr="00000000">
        <w:rPr>
          <w:i w:val="1"/>
          <w:iCs w:val="1"/>
          <w:rtl w:val="0"/>
        </w:rPr>
        <w:t xml:space="preserve">Inventarissen</w:t>
      </w:r>
      <w:r w:rsidDel="00000000" w:rsidR="00000000" w:rsidRPr="00000000">
        <w:rPr>
          <w:rtl w:val="0"/>
        </w:rPr>
        <w:t xml:space="preserve">, 1974–76, I, p. 372, no. 1502: 'Clelia, van Poelenburgh gedaan'.</w:t>
      </w:r>
    </w:p>
    <w:p w:rsidR="00000000" w:rsidDel="00000000" w:rsidP="00000000" w:rsidRDefault="00000000" w:rsidRPr="00000000" w14:paraId="0000001E">
      <w:pPr>
        <w:spacing w:after="0" w:line="360" w:lineRule="auto"/>
        <w:rPr/>
      </w:pPr>
      <w:r w:rsidDel="00000000" w:rsidR="00000000" w:rsidRPr="00000000">
        <w:rPr>
          <w:color w:val="c00000"/>
          <w:u w:val="single"/>
          <w:rtl w:val="0"/>
        </w:rPr>
        <w:t xml:space="preserve">10</w:t>
      </w:r>
      <w:r w:rsidDel="00000000" w:rsidR="00000000" w:rsidRPr="00000000">
        <w:rPr>
          <w:rtl w:val="0"/>
        </w:rPr>
        <w:t xml:space="preserve">. See below, under No. 48, ad finem.</w:t>
      </w:r>
    </w:p>
    <w:p w:rsidR="00000000" w:rsidDel="00000000" w:rsidP="00000000" w:rsidRDefault="00000000" w:rsidRPr="00000000" w14:paraId="0000001F">
      <w:pPr>
        <w:rPr>
          <w:sz w:val="40"/>
          <w:szCs w:val="40"/>
        </w:rPr>
      </w:pPr>
      <w:r w:rsidDel="00000000" w:rsidR="00000000" w:rsidRPr="00000000">
        <w:rPr>
          <w:color w:val="c00000"/>
          <w:u w:val="single"/>
          <w:rtl w:val="0"/>
        </w:rPr>
        <w:t xml:space="preserve">11</w:t>
      </w:r>
      <w:r w:rsidDel="00000000" w:rsidR="00000000" w:rsidRPr="00000000">
        <w:rPr>
          <w:rtl w:val="0"/>
        </w:rPr>
        <w:t xml:space="preserve">. See Miedema, loc. cit., 1968.</w:t>
        <w:br w:type="textWrapping"/>
      </w:r>
      <w:r w:rsidDel="00000000" w:rsidR="00000000" w:rsidRPr="00000000">
        <w:rPr>
          <w:color w:val="c00000"/>
          <w:u w:val="single"/>
          <w:rtl w:val="0"/>
        </w:rPr>
        <w:t xml:space="preserve">12</w:t>
      </w:r>
      <w:r w:rsidDel="00000000" w:rsidR="00000000" w:rsidRPr="00000000">
        <w:rPr>
          <w:rtl w:val="0"/>
        </w:rPr>
        <w:t xml:space="preserve">. Livy, Ab urbe condita Il.xiii.</w:t>
        <w:br w:type="textWrapping"/>
      </w:r>
      <w:r w:rsidDel="00000000" w:rsidR="00000000" w:rsidRPr="00000000">
        <w:rPr>
          <w:color w:val="c00000"/>
          <w:u w:val="single"/>
          <w:rtl w:val="0"/>
        </w:rPr>
        <w:t xml:space="preserve">13</w:t>
      </w:r>
      <w:r w:rsidDel="00000000" w:rsidR="00000000" w:rsidRPr="00000000">
        <w:rPr>
          <w:rtl w:val="0"/>
        </w:rPr>
        <w:t xml:space="preserve">. Rubens discusses this in his account of ancient statues in the lost 'pocketbook' (Jombert, Théorie, 1773, p. 40), pointing out that this woman must have been one of the first Romans accorded an equestrian monument.</w:t>
        <w:br w:type="textWrapping"/>
      </w:r>
      <w:r w:rsidDel="00000000" w:rsidR="00000000" w:rsidRPr="00000000">
        <w:rPr>
          <w:color w:val="c00000"/>
          <w:u w:val="single"/>
          <w:rtl w:val="0"/>
        </w:rPr>
        <w:t xml:space="preserve">14</w:t>
      </w:r>
      <w:r w:rsidDel="00000000" w:rsidR="00000000" w:rsidRPr="00000000">
        <w:rPr>
          <w:rtl w:val="0"/>
        </w:rPr>
        <w:t xml:space="preserve">. Dionysius, Roman Antiquities V.32-35; Plutarch, Publicola, 18.2-19 and Mulierum virtutes 14 (Moralia 250C-F).</w:t>
        <w:br w:type="textWrapping"/>
      </w:r>
      <w:r w:rsidDel="00000000" w:rsidR="00000000" w:rsidRPr="00000000">
        <w:rPr>
          <w:color w:val="c00000"/>
          <w:u w:val="single"/>
          <w:rtl w:val="0"/>
        </w:rPr>
        <w:t xml:space="preserve">15</w:t>
      </w:r>
      <w:r w:rsidDel="00000000" w:rsidR="00000000" w:rsidRPr="00000000">
        <w:rPr>
          <w:rtl w:val="0"/>
        </w:rPr>
        <w:t xml:space="preserve">. The statue must have been replaced by Seneca's time: see his Ad Marciam de consolatione xvi.2 and, for the original, Pliny, Naturalis historia XXXrV.xiii.28-29.</w:t>
        <w:br w:type="textWrapping"/>
      </w:r>
      <w:r w:rsidDel="00000000" w:rsidR="00000000" w:rsidRPr="00000000">
        <w:rPr>
          <w:color w:val="c00000"/>
          <w:u w:val="single"/>
          <w:rtl w:val="0"/>
        </w:rPr>
        <w:t xml:space="preserve">16</w:t>
      </w:r>
      <w:r w:rsidDel="00000000" w:rsidR="00000000" w:rsidRPr="00000000">
        <w:rPr>
          <w:rtl w:val="0"/>
        </w:rPr>
        <w:t xml:space="preserve">. Dionysius's general attitude is unequivocal in expressing Porsenna’s admiration for Cloelia: thus he says that Cloelia was allowed to take home with her every one of the Roman hostages. For all the classical sources see Pauly— Wissowa, IV, i, 1900, cols. 110-111.</w:t>
        <w:br w:type="textWrapping"/>
      </w:r>
      <w:r w:rsidDel="00000000" w:rsidR="00000000" w:rsidRPr="00000000">
        <w:rPr>
          <w:color w:val="c00000"/>
          <w:u w:val="single"/>
          <w:rtl w:val="0"/>
        </w:rPr>
        <w:t xml:space="preserve">17</w:t>
      </w:r>
      <w:r w:rsidDel="00000000" w:rsidR="00000000" w:rsidRPr="00000000">
        <w:rPr>
          <w:rtl w:val="0"/>
        </w:rPr>
        <w:t xml:space="preserve">. Cf. Florus, Epitome I.x.7 and Valerius Maximus, Dicta et facta ill.ii.2; cf. Boccaccio, De claris mulieribus, chapter 50, who claims that this was the first time Cloelia had ever ridden a horse. Most authors, like Livy and Dionysius, speak of her swimming across the river: cf, Vergil, Aeneid VIII.651; Servius on Aeneid VIII.646; Juvenal, Satires viii.264-265.</w:t>
        <w:br w:type="textWrapping"/>
      </w:r>
      <w:r w:rsidDel="00000000" w:rsidR="00000000" w:rsidRPr="00000000">
        <w:rPr>
          <w:color w:val="c00000"/>
          <w:u w:val="single"/>
          <w:rtl w:val="0"/>
        </w:rPr>
        <w:t xml:space="preserve">18</w:t>
      </w:r>
      <w:r w:rsidDel="00000000" w:rsidR="00000000" w:rsidRPr="00000000">
        <w:rPr>
          <w:rtl w:val="0"/>
        </w:rPr>
        <w:t xml:space="preserve">. See E.W. Braun in Reallexikon, III, 1954, cols. 796-798, though he implies that Livy mentions a horse. There are already 2 horses in the illustration to the 1508 German Livy published at Strasbourg by Grüninger.</w:t>
        <w:br w:type="textWrapping"/>
      </w:r>
      <w:r w:rsidDel="00000000" w:rsidR="00000000" w:rsidRPr="00000000">
        <w:rPr>
          <w:color w:val="c00000"/>
          <w:u w:val="single"/>
          <w:rtl w:val="0"/>
        </w:rPr>
        <w:t xml:space="preserve">19.</w:t>
      </w:r>
      <w:r w:rsidDel="00000000" w:rsidR="00000000" w:rsidRPr="00000000">
        <w:rPr>
          <w:rtl w:val="0"/>
        </w:rPr>
        <w:t xml:space="preserve"> Valerius, loc. cit. in n. 17. This (bald) version of the story seems to imply that Cloelia fled alone (cf. Plutarch, Publicola 19.4, who cites this as the opinion of some people) but claims that the escape took place by night.</w:t>
        <w:br w:type="textWrapping"/>
      </w:r>
      <w:r w:rsidDel="00000000" w:rsidR="00000000" w:rsidRPr="00000000">
        <w:rPr>
          <w:color w:val="c00000"/>
          <w:u w:val="single"/>
          <w:rtl w:val="0"/>
        </w:rPr>
        <w:t xml:space="preserve">20</w:t>
      </w:r>
      <w:r w:rsidDel="00000000" w:rsidR="00000000" w:rsidRPr="00000000">
        <w:rPr>
          <w:rtl w:val="0"/>
        </w:rPr>
        <w:t xml:space="preserve">. See Livy, Ab urbe condita Il.x-xiii; Florus, Epitome I.X.3; Juvenal, loc. cit. in n. 17. For Renaissance and later representations of the subject see Braun, op. cit. in n. 18, cols. 796-801 and Pigler, Barockthemen, 1974, II, pp. 379-380.</w:t>
        <w:br w:type="textWrapping"/>
      </w:r>
      <w:r w:rsidDel="00000000" w:rsidR="00000000" w:rsidRPr="00000000">
        <w:rPr>
          <w:color w:val="c00000"/>
          <w:u w:val="single"/>
          <w:rtl w:val="0"/>
        </w:rPr>
        <w:t xml:space="preserve">21</w:t>
      </w:r>
      <w:r w:rsidDel="00000000" w:rsidR="00000000" w:rsidRPr="00000000">
        <w:rPr>
          <w:rtl w:val="0"/>
        </w:rPr>
        <w:t xml:space="preserve">. Apart from those mentioned in the works by Braun and Pigler (cited in n. 20 above), a Cloelia swimming the Tiber appears as the exemplum of fortitudo on an arch erected for the entry of Charles V into Naples in 1535 (M. Gachard, Voyages des souverains des Pays-Bas, II, Brussels, 1874, p. 579).</w:t>
        <w:br w:type="textWrapping"/>
      </w:r>
      <w:r w:rsidDel="00000000" w:rsidR="00000000" w:rsidRPr="00000000">
        <w:rPr>
          <w:color w:val="c00000"/>
          <w:u w:val="single"/>
          <w:rtl w:val="0"/>
        </w:rPr>
        <w:t xml:space="preserve">22</w:t>
      </w:r>
      <w:r w:rsidDel="00000000" w:rsidR="00000000" w:rsidRPr="00000000">
        <w:rPr>
          <w:rtl w:val="0"/>
        </w:rPr>
        <w:t xml:space="preserve">. Pen and ink, 180 x 94 mm.; Paris, Museé du Louvre, Cabinet des Dessins. Inv. no. 22.606. For the wood engraving by Vicentino reproducing a composition by Maturino see Bartsch, XII, 1866, p. 96, no. 5; Le Peintre Graveur Illustré. Italian Chiaroscuro Woodcuts (Bartsch Volume XII), ed. C. Karpinski, University Park, Pa, and London, 1971, no. 96.5. Rubens may also have had in mind an ancient precedent: the Amazon Dismounting', see Bober— Rubinstein, Handbook, 1986, pp. 177-178, no. 141, repr.</w:t>
        <w:br w:type="textWrapping"/>
      </w:r>
      <w:r w:rsidDel="00000000" w:rsidR="00000000" w:rsidRPr="00000000">
        <w:rPr>
          <w:color w:val="c00000"/>
          <w:u w:val="single"/>
          <w:rtl w:val="0"/>
        </w:rPr>
        <w:t xml:space="preserve">23</w:t>
      </w:r>
      <w:r w:rsidDel="00000000" w:rsidR="00000000" w:rsidRPr="00000000">
        <w:rPr>
          <w:rtl w:val="0"/>
        </w:rPr>
        <w:t xml:space="preserve">. Burchard noted that this figure recalls the old serving woman in the Louvre Hercules and Omphale (Jaffé, Rubens, 1989, p. 150, no. 27, repr. p. 151).</w:t>
        <w:br w:type="textWrapping"/>
      </w:r>
      <w:r w:rsidDel="00000000" w:rsidR="00000000" w:rsidRPr="00000000">
        <w:rPr>
          <w:color w:val="c00000"/>
          <w:u w:val="single"/>
          <w:rtl w:val="0"/>
        </w:rPr>
        <w:t xml:space="preserve">24</w:t>
      </w:r>
      <w:r w:rsidDel="00000000" w:rsidR="00000000" w:rsidRPr="00000000">
        <w:rPr>
          <w:rtl w:val="0"/>
        </w:rPr>
        <w:t xml:space="preserve">. In one version of his epigram (Miedema, op. cit., 1968, esp. pp. 139-152) Hooft makes the Tiber turn hot with excitement at the sight of the girls then cool with disapproval as, in unmaidenly fashion, they plunge in to swim.</w:t>
        <w:br w:type="textWrapping"/>
      </w:r>
      <w:r w:rsidDel="00000000" w:rsidR="00000000" w:rsidRPr="00000000">
        <w:rPr>
          <w:color w:val="c00000"/>
          <w:u w:val="single"/>
          <w:rtl w:val="0"/>
        </w:rPr>
        <w:t xml:space="preserve">25</w:t>
      </w:r>
      <w:r w:rsidDel="00000000" w:rsidR="00000000" w:rsidRPr="00000000">
        <w:rPr>
          <w:rtl w:val="0"/>
        </w:rPr>
        <w:t xml:space="preserve">. Cf. also Steadman, Van Diepenbeeck, 1982, p. 89 (under no. 13) where the picture is attributed to 'a member of the Rubens school before 1620'.</w:t>
        <w:br w:type="textWrapping"/>
      </w:r>
      <w:r w:rsidDel="00000000" w:rsidR="00000000" w:rsidRPr="00000000">
        <w:rPr>
          <w:color w:val="c00000"/>
          <w:u w:val="single"/>
          <w:rtl w:val="0"/>
        </w:rPr>
        <w:t xml:space="preserve">26</w:t>
      </w:r>
      <w:r w:rsidDel="00000000" w:rsidR="00000000" w:rsidRPr="00000000">
        <w:rPr>
          <w:rtl w:val="0"/>
        </w:rPr>
        <w:t xml:space="preserve">. On Wildens's activity in Rubens's workshop see Balis, </w:t>
      </w:r>
      <w:r w:rsidDel="00000000" w:rsidR="00000000" w:rsidRPr="00000000">
        <w:rPr>
          <w:i w:val="1"/>
          <w:iCs w:val="1"/>
          <w:rtl w:val="0"/>
        </w:rPr>
        <w:t xml:space="preserve">Studio Practices</w:t>
      </w:r>
      <w:r w:rsidDel="00000000" w:rsidR="00000000" w:rsidRPr="00000000">
        <w:rPr>
          <w:rtl w:val="0"/>
        </w:rPr>
        <w:t xml:space="preserve">, 1994, p. 122, n. 77, with further references; also above, No. 34, at n. 46.</w:t>
        <w:br w:type="textWrapping"/>
      </w:r>
      <w:r w:rsidDel="00000000" w:rsidR="00000000" w:rsidRPr="00000000">
        <w:rPr>
          <w:color w:val="c00000"/>
          <w:u w:val="single"/>
          <w:rtl w:val="0"/>
        </w:rPr>
        <w:t xml:space="preserve">27</w:t>
      </w:r>
      <w:r w:rsidDel="00000000" w:rsidR="00000000" w:rsidRPr="00000000">
        <w:rPr>
          <w:rtl w:val="0"/>
        </w:rPr>
        <w:t xml:space="preserve">. K.d.K. ed. Oldenbourg, 1921, p. 130; Diaz Padrón, </w:t>
      </w:r>
      <w:r w:rsidDel="00000000" w:rsidR="00000000" w:rsidRPr="00000000">
        <w:rPr>
          <w:i w:val="1"/>
          <w:iCs w:val="1"/>
          <w:rtl w:val="0"/>
        </w:rPr>
        <w:t xml:space="preserve">Cat. Prado</w:t>
      </w:r>
      <w:r w:rsidDel="00000000" w:rsidR="00000000" w:rsidRPr="00000000">
        <w:rPr>
          <w:rtl w:val="0"/>
        </w:rPr>
        <w:t xml:space="preserve">, 1 9 7 5 ,1, pp. 317-320, no. 1661; II, pi. 201.</w:t>
        <w:br w:type="textWrapping"/>
      </w:r>
      <w:r w:rsidDel="00000000" w:rsidR="00000000" w:rsidRPr="00000000">
        <w:rPr>
          <w:color w:val="c00000"/>
          <w:u w:val="single"/>
          <w:rtl w:val="0"/>
        </w:rPr>
        <w:t xml:space="preserve">28</w:t>
      </w:r>
      <w:r w:rsidDel="00000000" w:rsidR="00000000" w:rsidRPr="00000000">
        <w:rPr>
          <w:rtl w:val="0"/>
        </w:rPr>
        <w:t xml:space="preserve">. K.d.K. ed. Oldenbourg, 1921, p. 205; Vlieghe, </w:t>
      </w:r>
      <w:r w:rsidDel="00000000" w:rsidR="00000000" w:rsidRPr="00000000">
        <w:rPr>
          <w:i w:val="1"/>
          <w:iCs w:val="1"/>
          <w:rtl w:val="0"/>
        </w:rPr>
        <w:t xml:space="preserve">Saints</w:t>
      </w:r>
      <w:r w:rsidDel="00000000" w:rsidR="00000000" w:rsidRPr="00000000">
        <w:rPr>
          <w:rtl w:val="0"/>
        </w:rPr>
        <w:t xml:space="preserve">, 1972-75, II, no. 104, fig. 6.</w:t>
        <w:br w:type="textWrapping"/>
      </w:r>
      <w:r w:rsidDel="00000000" w:rsidR="00000000" w:rsidRPr="00000000">
        <w:rPr>
          <w:color w:val="c00000"/>
          <w:u w:val="single"/>
          <w:rtl w:val="0"/>
        </w:rPr>
        <w:t xml:space="preserve">29</w:t>
      </w:r>
      <w:r w:rsidDel="00000000" w:rsidR="00000000" w:rsidRPr="00000000">
        <w:rPr>
          <w:rtl w:val="0"/>
        </w:rPr>
        <w:t xml:space="preserve">. Vlieghe, Saints, 1972-73, II, no. 104d, fig. 13.</w:t>
        <w:br w:type="textWrapping"/>
      </w:r>
      <w:r w:rsidDel="00000000" w:rsidR="00000000" w:rsidRPr="00000000">
        <w:rPr>
          <w:color w:val="c00000"/>
          <w:u w:val="single"/>
          <w:rtl w:val="0"/>
        </w:rPr>
        <w:t xml:space="preserve">30</w:t>
      </w:r>
      <w:r w:rsidDel="00000000" w:rsidR="00000000" w:rsidRPr="00000000">
        <w:rPr>
          <w:rtl w:val="0"/>
        </w:rPr>
        <w:t xml:space="preserve">. Op. cit., 1968, pp. 139, 151; cf. Steadman, </w:t>
      </w:r>
      <w:r w:rsidDel="00000000" w:rsidR="00000000" w:rsidRPr="00000000">
        <w:rPr>
          <w:i w:val="1"/>
          <w:iCs w:val="1"/>
          <w:rtl w:val="0"/>
        </w:rPr>
        <w:t xml:space="preserve">Van Diepenbeeck</w:t>
      </w:r>
      <w:r w:rsidDel="00000000" w:rsidR="00000000" w:rsidRPr="00000000">
        <w:rPr>
          <w:rtl w:val="0"/>
        </w:rPr>
        <w:t xml:space="preserve">, 1982, p. 18.</w:t>
        <w:br w:type="textWrapping"/>
      </w:r>
      <w:r w:rsidDel="00000000" w:rsidR="00000000" w:rsidRPr="00000000">
        <w:rPr>
          <w:color w:val="c00000"/>
          <w:u w:val="single"/>
          <w:rtl w:val="0"/>
        </w:rPr>
        <w:t xml:space="preserve">31</w:t>
      </w:r>
      <w:r w:rsidDel="00000000" w:rsidR="00000000" w:rsidRPr="00000000">
        <w:rPr>
          <w:rtl w:val="0"/>
        </w:rPr>
        <w:t xml:space="preserve">. And indicates that the picture cannot have been commissioned by Amalia van Solms, who became Princess of Orange (on her marriage to Frederick Hendrik) only in 1625.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Andere geanalyseerde entries</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CRLB I, No. 3. Solomon and the Queen of Sheba</w:t>
      </w:r>
    </w:p>
    <w:p w:rsidR="00000000" w:rsidDel="00000000" w:rsidP="00000000" w:rsidRDefault="00000000" w:rsidRPr="00000000" w14:paraId="00000022">
      <w:pPr>
        <w:spacing w:after="0" w:line="360" w:lineRule="auto"/>
        <w:rPr/>
      </w:pPr>
      <w:r w:rsidDel="00000000" w:rsidR="00000000" w:rsidRPr="00000000">
        <w:rPr>
          <w:rtl w:val="0"/>
        </w:rPr>
      </w:r>
    </w:p>
    <w:p w:rsidR="00000000" w:rsidDel="00000000" w:rsidP="00000000" w:rsidRDefault="00000000" w:rsidRPr="00000000" w14:paraId="00000023">
      <w:pPr>
        <w:spacing w:after="0" w:line="360" w:lineRule="auto"/>
        <w:rPr/>
      </w:pPr>
      <w:commentRangeStart w:id="12"/>
      <w:r w:rsidDel="00000000" w:rsidR="00000000" w:rsidRPr="00000000">
        <w:rPr>
          <w:rtl w:val="0"/>
        </w:rPr>
        <w:t xml:space="preserve">In the lift attached to the contract of 1620 the subject was described under No. 23 as “ Salomon in throno eburneo, cum Regina Saba” .</w:t>
      </w:r>
      <w:commentRangeEnd w:id="12"/>
      <w:r w:rsidDel="00000000" w:rsidR="00000000" w:rsidRPr="00000000">
        <w:commentReference w:id="12"/>
      </w:r>
      <w:r w:rsidDel="00000000" w:rsidR="00000000" w:rsidRPr="00000000">
        <w:rPr>
          <w:rtl w:val="0"/>
        </w:rPr>
        <w:br w:type="textWrapping"/>
        <w:t xml:space="preserve">[witregel]</w:t>
      </w:r>
    </w:p>
    <w:p w:rsidR="00000000" w:rsidDel="00000000" w:rsidP="00000000" w:rsidRDefault="00000000" w:rsidRPr="00000000" w14:paraId="00000024">
      <w:pPr>
        <w:spacing w:after="0" w:line="360" w:lineRule="auto"/>
        <w:rPr/>
      </w:pPr>
      <w:commentRangeStart w:id="13"/>
      <w:r w:rsidDel="00000000" w:rsidR="00000000" w:rsidRPr="00000000">
        <w:rPr>
          <w:rtl w:val="0"/>
        </w:rPr>
        <w:t xml:space="preserve">Solomon sat at the left beneath a fringed canopy. His ivory throne, in accordance with the biblical description, was raised on a flight of steps and was flanked by sculptured lions. The king wore a crown and a long mantle; his right hand, grasping the sceptre, rested on the head of the lion, and he held out his left as he leaned forward to greet the Queen of Sheba.</w:t>
        <w:br w:type="textWrapping"/>
        <w:t xml:space="preserve">[witregel]</w:t>
      </w:r>
    </w:p>
    <w:p w:rsidR="00000000" w:rsidDel="00000000" w:rsidP="00000000" w:rsidRDefault="00000000" w:rsidRPr="00000000" w14:paraId="00000025">
      <w:pPr>
        <w:spacing w:after="0" w:line="360" w:lineRule="auto"/>
        <w:rPr/>
      </w:pPr>
      <w:r w:rsidDel="00000000" w:rsidR="00000000" w:rsidRPr="00000000">
        <w:rPr>
          <w:rtl w:val="0"/>
        </w:rPr>
        <w:t xml:space="preserve">The dusky Eastern queen was shown kneeling before Solomon in an attitude of reverence. She was followed by three female attendants, like­wise dark-skinned, one of whom held up the long train of her garment. At the foot of the steps below the queen appeared two of her followers bearing gifts: one was a burly half-naked slave carrying a heavy gold vessel on his shoulders, and the other was a grinning </w:t>
      </w:r>
      <w:commentRangeStart w:id="14"/>
      <w:commentRangeStart w:id="15"/>
      <w:r w:rsidDel="00000000" w:rsidR="00000000" w:rsidRPr="00000000">
        <w:rPr>
          <w:rtl w:val="0"/>
        </w:rPr>
        <w:t xml:space="preserve">Negro</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boy in a striped coat who held a parrot on his wrist while a monkey clung to his back. On the opposite side stood two of Solomon’s warriors in full armour, the nearer one holding a spear and shield, and the second with hands resting on the hilt of his sword. The precious vessels laid out on the table behind the two guards suggested the king’s wealth. The palatial architecture in the background consisted of two coffered barrel vaults divided by a pier, to the face of which was attached a fluted column.</w:t>
      </w:r>
      <w:commentRangeEnd w:id="13"/>
      <w:r w:rsidDel="00000000" w:rsidR="00000000" w:rsidRPr="00000000">
        <w:commentReference w:id="13"/>
      </w:r>
      <w:r w:rsidDel="00000000" w:rsidR="00000000" w:rsidRPr="00000000">
        <w:rPr>
          <w:rtl w:val="0"/>
        </w:rPr>
        <w:br w:type="textWrapping"/>
        <w:t xml:space="preserve">[witregel]</w:t>
      </w:r>
    </w:p>
    <w:p w:rsidR="00000000" w:rsidDel="00000000" w:rsidP="00000000" w:rsidRDefault="00000000" w:rsidRPr="00000000" w14:paraId="00000026">
      <w:pPr>
        <w:spacing w:after="0" w:line="360" w:lineRule="auto"/>
        <w:rPr/>
      </w:pPr>
      <w:commentRangeStart w:id="16"/>
      <w:commentRangeStart w:id="17"/>
      <w:commentRangeStart w:id="18"/>
      <w:commentRangeStart w:id="19"/>
      <w:r w:rsidDel="00000000" w:rsidR="00000000" w:rsidRPr="00000000">
        <w:rPr>
          <w:rtl w:val="0"/>
        </w:rPr>
        <w:t xml:space="preserve">Comparison with Rubens’s modello (Fig. 26) makes it clear that, of the various copies after the lost ceiling painting, the drawing by Müller in the Antwerp Print Room (Fig. 22) is the most trustworthy. The Negro page, for example, was so placed that his right hand was visible : this detail is correctly rendered in Müller’s drawing and in the print made after it by Preissler (Fig. 23); in three of De Wit’s drawings (cf. Fig. 24) and in the engraving by Punt the body of the boy is cut off at the waist and the hand is unseen. The drawing by De Wit in the Seilern album (Fig. 25) , which probably reflects the influence of Preissler’s engraving, is more accurate in this respect, though here again the right arm is out of place. Müller’s copy also agrees with the modello in showing a heavy arch at either end of the vaults, whereas De Wit pictures the vaulting as a simple half-cylinder. Müller’s drawing makes it appear, finally, that the head of the woman carrying Sheba’s train overlapped the background column.</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br w:type="textWrapping"/>
        <w:t xml:space="preserve">[witregel]</w:t>
      </w:r>
    </w:p>
    <w:p w:rsidR="00000000" w:rsidDel="00000000" w:rsidP="00000000" w:rsidRDefault="00000000" w:rsidRPr="00000000" w14:paraId="00000027">
      <w:pPr>
        <w:spacing w:after="0" w:line="360" w:lineRule="auto"/>
        <w:rPr/>
      </w:pPr>
      <w:commentRangeStart w:id="20"/>
      <w:commentRangeStart w:id="21"/>
      <w:r w:rsidDel="00000000" w:rsidR="00000000" w:rsidRPr="00000000">
        <w:rPr>
          <w:rtl w:val="0"/>
        </w:rPr>
        <w:t xml:space="preserve">In composing this subject Rubens borrowed freely from Tobias Stimmer’s woodcut illustration of Solomon and the Queen of Sheba (Neue Künstliche figuren Biblischer Historien, Basle, 1576; reprinted by G. Hirth, Munich, 1881, p. 91). In their general disposition the two scenes are strikingly similar; what is more, even Rubens’s figures, in their actions and in their placement in the composition, show a manifest dependence on Stimmer’s modest little illustration. But what makes the derivation quite certain is the fact that in the woodcut there appears, among Sheba’s attendants, a boy with a parrot on his wrist and a monkey on his shoulder. It is amusing to see how Rubens has made this inconspicuous motif into a prominent foreground feature.</w:t>
      </w:r>
    </w:p>
    <w:p w:rsidR="00000000" w:rsidDel="00000000" w:rsidP="00000000" w:rsidRDefault="00000000" w:rsidRPr="00000000" w14:paraId="00000028">
      <w:pPr>
        <w:spacing w:after="0" w:line="360" w:lineRule="auto"/>
        <w:rPr/>
      </w:pPr>
      <w:r w:rsidDel="00000000" w:rsidR="00000000" w:rsidRPr="00000000">
        <w:rPr>
          <w:rtl w:val="0"/>
        </w:rPr>
        <w:t xml:space="preserve">[witregel]</w:t>
        <w:br w:type="textWrapping"/>
        <w:t xml:space="preserve">But if the artist turned for inspiration to Stimmer for the narrative elements of the scene, it was from the monumental art of Paolo Veronese that he learned how to invest it with pageantry and drama. There can be no question of his indebtedness to Veronese’s ceiling painting of Esther and Ahasuerus in S. Sebastiano, Venice (</w:t>
      </w:r>
      <w:r w:rsidDel="00000000" w:rsidR="00000000" w:rsidRPr="00000000">
        <w:rPr>
          <w:i w:val="1"/>
          <w:iCs w:val="1"/>
          <w:rtl w:val="0"/>
        </w:rPr>
        <w:t xml:space="preserve">Fiocco, Veronese</w:t>
      </w:r>
      <w:r w:rsidDel="00000000" w:rsidR="00000000" w:rsidRPr="00000000">
        <w:rPr>
          <w:rtl w:val="0"/>
        </w:rPr>
        <w:t xml:space="preserve">, pi. xvi). The rounded canopy over the monarch, the attendant figures beneath the throne, not to mention the exhilarating view </w:t>
      </w:r>
      <w:r w:rsidDel="00000000" w:rsidR="00000000" w:rsidRPr="00000000">
        <w:rPr>
          <w:i w:val="1"/>
          <w:iCs w:val="1"/>
          <w:rtl w:val="0"/>
        </w:rPr>
        <w:t xml:space="preserve">di sotto in su</w:t>
      </w:r>
      <w:r w:rsidDel="00000000" w:rsidR="00000000" w:rsidRPr="00000000">
        <w:rPr>
          <w:rtl w:val="0"/>
        </w:rPr>
        <w:t xml:space="preserve">, all these features find their counterpart in Veronese’s great canvas.</w:t>
      </w:r>
    </w:p>
    <w:p w:rsidR="00000000" w:rsidDel="00000000" w:rsidP="00000000" w:rsidRDefault="00000000" w:rsidRPr="00000000" w14:paraId="00000029">
      <w:pPr>
        <w:spacing w:after="0" w:line="360" w:lineRule="auto"/>
        <w:rPr/>
      </w:pPr>
      <w:r w:rsidDel="00000000" w:rsidR="00000000" w:rsidRPr="00000000">
        <w:rPr>
          <w:rtl w:val="0"/>
        </w:rPr>
        <w:t xml:space="preserve">[witregel]</w:t>
      </w:r>
    </w:p>
    <w:p w:rsidR="00000000" w:rsidDel="00000000" w:rsidP="00000000" w:rsidRDefault="00000000" w:rsidRPr="00000000" w14:paraId="0000002A">
      <w:pPr>
        <w:spacing w:after="0" w:line="360" w:lineRule="auto"/>
        <w:rPr/>
      </w:pPr>
      <w:r w:rsidDel="00000000" w:rsidR="00000000" w:rsidRPr="00000000">
        <w:rPr>
          <w:rtl w:val="0"/>
        </w:rPr>
        <w:t xml:space="preserve">The striking pose of the slave, whose head is bent beneath the weight which he supports with both hands on his neck and shoulders, derives from the </w:t>
      </w:r>
      <w:r w:rsidDel="00000000" w:rsidR="00000000" w:rsidRPr="00000000">
        <w:rPr>
          <w:i w:val="1"/>
          <w:iCs w:val="1"/>
          <w:rtl w:val="0"/>
        </w:rPr>
        <w:t xml:space="preserve">Farnese Atlas</w:t>
      </w:r>
      <w:r w:rsidDel="00000000" w:rsidR="00000000" w:rsidRPr="00000000">
        <w:rPr>
          <w:rtl w:val="0"/>
        </w:rPr>
        <w:t xml:space="preserve">, now in Naples. A similar figure was earlier used by Rubens in the large </w:t>
      </w:r>
      <w:r w:rsidDel="00000000" w:rsidR="00000000" w:rsidRPr="00000000">
        <w:rPr>
          <w:i w:val="1"/>
          <w:iCs w:val="1"/>
          <w:rtl w:val="0"/>
        </w:rPr>
        <w:t xml:space="preserve">Adoration of the Magi</w:t>
      </w:r>
      <w:r w:rsidDel="00000000" w:rsidR="00000000" w:rsidRPr="00000000">
        <w:rPr>
          <w:rtl w:val="0"/>
        </w:rPr>
        <w:t xml:space="preserve"> of 1610 in the Prado, Madrid (</w:t>
      </w:r>
      <w:r w:rsidDel="00000000" w:rsidR="00000000" w:rsidRPr="00000000">
        <w:rPr>
          <w:i w:val="1"/>
          <w:iCs w:val="1"/>
          <w:rtl w:val="0"/>
        </w:rPr>
        <w:t xml:space="preserve">K.d.K</w:t>
      </w:r>
      <w:r w:rsidDel="00000000" w:rsidR="00000000" w:rsidRPr="00000000">
        <w:rPr>
          <w:rtl w:val="0"/>
        </w:rPr>
        <w:t xml:space="preserve">., 26), and again in the </w:t>
      </w:r>
      <w:r w:rsidDel="00000000" w:rsidR="00000000" w:rsidRPr="00000000">
        <w:rPr>
          <w:i w:val="1"/>
          <w:iCs w:val="1"/>
          <w:rtl w:val="0"/>
        </w:rPr>
        <w:t xml:space="preserve">Abraham and Melchizedek</w:t>
      </w:r>
      <w:r w:rsidDel="00000000" w:rsidR="00000000" w:rsidRPr="00000000">
        <w:rPr>
          <w:rtl w:val="0"/>
        </w:rPr>
        <w:t xml:space="preserve"> in Caen (</w:t>
      </w:r>
      <w:r w:rsidDel="00000000" w:rsidR="00000000" w:rsidRPr="00000000">
        <w:rPr>
          <w:i w:val="1"/>
          <w:iCs w:val="1"/>
          <w:rtl w:val="0"/>
        </w:rPr>
        <w:t xml:space="preserve">K.d.K.</w:t>
      </w:r>
      <w:r w:rsidDel="00000000" w:rsidR="00000000" w:rsidRPr="00000000">
        <w:rPr>
          <w:rtl w:val="0"/>
        </w:rPr>
        <w:t xml:space="preserve">, 110 ) . (The figure is repeated, with some modifications, in the cartoon of </w:t>
      </w:r>
      <w:r w:rsidDel="00000000" w:rsidR="00000000" w:rsidRPr="00000000">
        <w:rPr>
          <w:i w:val="1"/>
          <w:iCs w:val="1"/>
          <w:rtl w:val="0"/>
        </w:rPr>
        <w:t xml:space="preserve">Abraham and Melchizedek</w:t>
      </w:r>
      <w:r w:rsidDel="00000000" w:rsidR="00000000" w:rsidRPr="00000000">
        <w:rPr>
          <w:rtl w:val="0"/>
        </w:rPr>
        <w:t xml:space="preserve"> now in the Ringling Museum at Sarasota, </w:t>
      </w:r>
      <w:r w:rsidDel="00000000" w:rsidR="00000000" w:rsidRPr="00000000">
        <w:rPr>
          <w:i w:val="1"/>
          <w:iCs w:val="1"/>
          <w:rtl w:val="0"/>
        </w:rPr>
        <w:t xml:space="preserve">K.d.K.</w:t>
      </w:r>
      <w:r w:rsidDel="00000000" w:rsidR="00000000" w:rsidRPr="00000000">
        <w:rPr>
          <w:rtl w:val="0"/>
        </w:rPr>
        <w:t xml:space="preserve">, 295.)</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2B">
      <w:pPr>
        <w:spacing w:after="0" w:line="360" w:lineRule="auto"/>
        <w:rPr/>
      </w:pPr>
      <w:r w:rsidDel="00000000" w:rsidR="00000000" w:rsidRPr="00000000">
        <w:rPr>
          <w:rtl w:val="0"/>
        </w:rPr>
        <w:t xml:space="preserve">[witregel]</w:t>
        <w:br w:type="textWrapping"/>
      </w:r>
      <w:commentRangeStart w:id="22"/>
      <w:r w:rsidDel="00000000" w:rsidR="00000000" w:rsidRPr="00000000">
        <w:rPr>
          <w:rtl w:val="0"/>
        </w:rPr>
        <w:t xml:space="preserve">The imposing arches in the background may be compared to the archi­tectural settings in such works as </w:t>
      </w:r>
      <w:r w:rsidDel="00000000" w:rsidR="00000000" w:rsidRPr="00000000">
        <w:rPr>
          <w:i w:val="1"/>
          <w:iCs w:val="1"/>
          <w:rtl w:val="0"/>
        </w:rPr>
        <w:t xml:space="preserve">The Madonna adored by Saints</w:t>
      </w:r>
      <w:r w:rsidDel="00000000" w:rsidR="00000000" w:rsidRPr="00000000">
        <w:rPr>
          <w:rtl w:val="0"/>
        </w:rPr>
        <w:t xml:space="preserve"> of 1606-7 in Grenoble (</w:t>
      </w:r>
      <w:r w:rsidDel="00000000" w:rsidR="00000000" w:rsidRPr="00000000">
        <w:rPr>
          <w:i w:val="1"/>
          <w:iCs w:val="1"/>
          <w:rtl w:val="0"/>
        </w:rPr>
        <w:t xml:space="preserve">K.d.K.</w:t>
      </w:r>
      <w:r w:rsidDel="00000000" w:rsidR="00000000" w:rsidRPr="00000000">
        <w:rPr>
          <w:rtl w:val="0"/>
        </w:rPr>
        <w:t xml:space="preserve">, 23) and </w:t>
      </w:r>
      <w:r w:rsidDel="00000000" w:rsidR="00000000" w:rsidRPr="00000000">
        <w:rPr>
          <w:i w:val="1"/>
          <w:iCs w:val="1"/>
          <w:rtl w:val="0"/>
        </w:rPr>
        <w:t xml:space="preserve">The Meeting of Abraham and Mel­chizedek</w:t>
      </w:r>
      <w:r w:rsidDel="00000000" w:rsidR="00000000" w:rsidRPr="00000000">
        <w:rPr>
          <w:rtl w:val="0"/>
        </w:rPr>
        <w:t xml:space="preserve"> in Caen (K.d.K., n o ). Instead of the single opening seen in these pictures, however, Rubens created a more monumental effect in the ceiling canvas by including two arches.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2C">
      <w:pPr>
        <w:rPr>
          <w:color w:val="60cbf3"/>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line="360" w:lineRule="auto"/>
        <w:rPr>
          <w:sz w:val="40"/>
          <w:szCs w:val="40"/>
        </w:rPr>
      </w:pPr>
      <w:r w:rsidDel="00000000" w:rsidR="00000000" w:rsidRPr="00000000">
        <w:rPr>
          <w:sz w:val="40"/>
          <w:szCs w:val="40"/>
          <w:rtl w:val="0"/>
        </w:rPr>
        <w:t xml:space="preserve">CRLB VIII.2</w:t>
      </w:r>
    </w:p>
    <w:p w:rsidR="00000000" w:rsidDel="00000000" w:rsidP="00000000" w:rsidRDefault="00000000" w:rsidRPr="00000000" w14:paraId="0000002E">
      <w:pPr>
        <w:pStyle w:val="Heading2"/>
        <w:rPr/>
      </w:pPr>
      <w:r w:rsidDel="00000000" w:rsidR="00000000" w:rsidRPr="00000000">
        <w:rPr>
          <w:rtl w:val="0"/>
        </w:rPr>
        <w:t xml:space="preserve">CRLB VIII.2, no. 119. St Ives of Treguier, Defender of Widows and Orphans</w:t>
      </w:r>
    </w:p>
    <w:p w:rsidR="00000000" w:rsidDel="00000000" w:rsidP="00000000" w:rsidRDefault="00000000" w:rsidRPr="00000000" w14:paraId="0000002F">
      <w:pPr>
        <w:spacing w:after="0" w:line="360" w:lineRule="auto"/>
        <w:rPr/>
      </w:pPr>
      <w:r w:rsidDel="00000000" w:rsidR="00000000" w:rsidRPr="00000000">
        <w:rPr>
          <w:rtl w:val="0"/>
        </w:rPr>
      </w:r>
    </w:p>
    <w:p w:rsidR="00000000" w:rsidDel="00000000" w:rsidP="00000000" w:rsidRDefault="00000000" w:rsidRPr="00000000" w14:paraId="00000030">
      <w:pPr>
        <w:spacing w:after="0" w:line="360" w:lineRule="auto"/>
        <w:rPr/>
      </w:pPr>
      <w:commentRangeStart w:id="23"/>
      <w:r w:rsidDel="00000000" w:rsidR="00000000" w:rsidRPr="00000000">
        <w:rPr>
          <w:rtl w:val="0"/>
        </w:rPr>
        <w:t xml:space="preserve">St. Ives (Yves), who died in 1303, was for a long time judge advocate under Alain de Bruc, bishop of Tréguier in Brittany. He became much beloved as a protector of the poor, judging their cases with equity and himself pleading before various courts on their behalf. He often paid the fines of his indigent clients and visited them in prison. He was canonized in 1347, and our infor­mation about him is largely derived from the documents assembled for that purpose: they are published in A. de la Borderie, Monuments originaux de l’Histoire de St. Yves, Saint-Brieux, 1887. His cult soon spread outside France; in the Netherlands he was popularly venerated towards the end of the sixteenth century as a patron of clerics and lawyers (Knipping, 1, pp. 232, 233).</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31">
      <w:pPr>
        <w:spacing w:after="0" w:line="360" w:lineRule="auto"/>
        <w:rPr/>
      </w:pPr>
      <w:r w:rsidDel="00000000" w:rsidR="00000000" w:rsidRPr="00000000">
        <w:rPr>
          <w:rtl w:val="0"/>
        </w:rPr>
        <w:br w:type="textWrapping"/>
      </w:r>
      <w:commentRangeStart w:id="24"/>
      <w:r w:rsidDel="00000000" w:rsidR="00000000" w:rsidRPr="00000000">
        <w:rPr>
          <w:rtl w:val="0"/>
        </w:rPr>
        <w:t xml:space="preserve">The picture shows the saint in his place of office, wearing a red gown. He is standing on the right, bending slightly forward to take a letter from the hand of a young widow with two children, who are kneeling on the left. On the right is a reading-desk with a legal volume on which the saint’s hand rests. Behind it, against a wall, are bookshelves and a packet of documents tied together, probably acknowledgments of debt. A flight of steps leads out of doors, where a wooded, hilly landscape can be seen.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2">
      <w:pPr>
        <w:spacing w:after="0" w:line="360" w:lineRule="auto"/>
        <w:rPr/>
      </w:pPr>
      <w:r w:rsidDel="00000000" w:rsidR="00000000" w:rsidRPr="00000000">
        <w:rPr>
          <w:rtl w:val="0"/>
        </w:rPr>
        <w:br w:type="textWrapping"/>
      </w:r>
      <w:commentRangeStart w:id="25"/>
      <w:r w:rsidDel="00000000" w:rsidR="00000000" w:rsidRPr="00000000">
        <w:rPr>
          <w:rtl w:val="0"/>
        </w:rPr>
        <w:t xml:space="preserve">The motif of the saint leaning forward bears a striking resemblance to two figures of St. Peter in works by Cigoli: one in </w:t>
      </w:r>
      <w:r w:rsidDel="00000000" w:rsidR="00000000" w:rsidRPr="00000000">
        <w:rPr>
          <w:i w:val="1"/>
          <w:iCs w:val="1"/>
          <w:rtl w:val="0"/>
        </w:rPr>
        <w:t xml:space="preserve">St. Peter and the Cripple</w:t>
      </w:r>
      <w:r w:rsidDel="00000000" w:rsidR="00000000" w:rsidRPr="00000000">
        <w:rPr>
          <w:rtl w:val="0"/>
        </w:rPr>
        <w:t xml:space="preserve"> (1606, now lost; engraved by Nicolas Dorigny [Paris, 1658-1746], see C. Le Blanc, Manuel de l’amateur d’eStampes, 11, Paris, 1854-1889, p. 139, No. 14) and the other in </w:t>
      </w:r>
      <w:r w:rsidDel="00000000" w:rsidR="00000000" w:rsidRPr="00000000">
        <w:rPr>
          <w:i w:val="1"/>
          <w:iCs w:val="1"/>
          <w:rtl w:val="0"/>
        </w:rPr>
        <w:t xml:space="preserve">Christ Walking on the Water</w:t>
      </w:r>
      <w:r w:rsidDel="00000000" w:rsidR="00000000" w:rsidRPr="00000000">
        <w:rPr>
          <w:rtl w:val="0"/>
        </w:rPr>
        <w:t xml:space="preserve"> in the Accademia at Carrara (cat. exh. Mostra del Cigoli e del suo Ambiente, San Miniato, 1959, No. 36, pi. xxxm ). Rubens in fact made a drawing, now in the Boymans-van Beuningen Museum, which may be based on one or other of these compositions (Burchard-d’HulSt, 1963, i, p. 42, No. 23; II, pi. 23). It seems to me, however, that in the last resort both Rubens’s St. Ives and Cigoli’s St. Peter derive from the figure of God the Father in </w:t>
      </w:r>
      <w:r w:rsidDel="00000000" w:rsidR="00000000" w:rsidRPr="00000000">
        <w:rPr>
          <w:i w:val="1"/>
          <w:iCs w:val="1"/>
          <w:rtl w:val="0"/>
        </w:rPr>
        <w:t xml:space="preserve">The Creation of Eve</w:t>
      </w:r>
      <w:r w:rsidDel="00000000" w:rsidR="00000000" w:rsidRPr="00000000">
        <w:rPr>
          <w:rtl w:val="0"/>
        </w:rPr>
        <w:t xml:space="preserve">, Michelangelo’s ceiling painting in the Sistine Chapel (K J.K ., Michelangelo, p. 25).</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33">
      <w:pPr>
        <w:spacing w:after="0" w:line="360" w:lineRule="auto"/>
        <w:rPr/>
      </w:pPr>
      <w:r w:rsidDel="00000000" w:rsidR="00000000" w:rsidRPr="00000000">
        <w:rPr>
          <w:rtl w:val="0"/>
        </w:rPr>
        <w:br w:type="textWrapping"/>
      </w:r>
      <w:commentRangeStart w:id="26"/>
      <w:r w:rsidDel="00000000" w:rsidR="00000000" w:rsidRPr="00000000">
        <w:rPr>
          <w:rtl w:val="0"/>
        </w:rPr>
        <w:t xml:space="preserve">Stylistically, as Held pointed out, the pifture belongs to the period 1615-20: </w:t>
        <w:br w:type="textWrapping"/>
        <w:t xml:space="preserve">this is especially marked in the calm, monumental composition, the plastic </w:t>
        <w:br w:type="textWrapping"/>
        <w:t xml:space="preserve">effect of the figures and the cool local colouring. It may be compared with the </w:t>
        <w:br w:type="textWrapping"/>
        <w:t xml:space="preserve">right panel of the former St. Francis triptych in St. Gummarus’s church at </w:t>
        <w:br w:type="textWrapping"/>
        <w:t xml:space="preserve">Lier (1, No. 98; Fig. 172), an altar-piece dated 1618: the face and garments of </w:t>
        <w:br w:type="textWrapping"/>
        <w:t xml:space="preserve">St. Clare in that pifture are very similar to those of the kneeling widow in the </w:t>
        <w:br w:type="textWrapping"/>
        <w:t xml:space="preserve">present one.</w:t>
      </w:r>
      <w:commentRangeEnd w:id="26"/>
      <w:r w:rsidDel="00000000" w:rsidR="00000000" w:rsidRPr="00000000">
        <w:commentReference w:id="26"/>
      </w:r>
      <w:r w:rsidDel="00000000" w:rsidR="00000000" w:rsidRPr="00000000">
        <w:rPr>
          <w:rtl w:val="0"/>
        </w:rPr>
        <w:br w:type="textWrapping"/>
      </w:r>
    </w:p>
    <w:p w:rsidR="00000000" w:rsidDel="00000000" w:rsidP="00000000" w:rsidRDefault="00000000" w:rsidRPr="00000000" w14:paraId="00000034">
      <w:pPr>
        <w:spacing w:after="0" w:line="360" w:lineRule="auto"/>
        <w:rPr/>
      </w:pPr>
      <w:commentRangeStart w:id="27"/>
      <w:r w:rsidDel="00000000" w:rsidR="00000000" w:rsidRPr="00000000">
        <w:rPr>
          <w:rtl w:val="0"/>
        </w:rPr>
        <w:t xml:space="preserve">There is no direct evidence of where this picture was until it was placed in the former Jesuit church at Louvain, now St. Michael’s, which was built in 1650-66. To judge from the eighteenth-century descriptions of this church, it did not contain any altar or chapel dedicated to St. Ives. There was such a chapel, however, in St. Peter's at Louvain, maintained by the Law Faculty of the University, which also had charge of St. Ives’s College in that city. In 1666 the Faculty commissioned a life-size silver Statue of their patron, to be placed above the chapel altar. This was also the year in which the Jesuit church was solemnly inaugurated, various relics being brought in procession for the occasion (E. Van Even, Louvain dans le passé et le présent, Louvain, i860, pp. 203, 213, 297). It may thus be that the picture of St. Ives was originally in the chapel in St. Peter’s and was presented or sold to the Jesuits in or about 1666, to complete the furnishing of the new church. In that case the silver Statue may have been intended to occupy the place vacated by the pifture. The Jesuits’ interest may have been connected with the establishment of a sodality of law Students within their walls: see Hiftoria collegii Soc. lesu Lovani 1543-1695 in the Archives Générales du Royaume at Brussels, ad 1666.</w:t>
      </w:r>
      <w:commentRangeEnd w:id="27"/>
      <w:r w:rsidDel="00000000" w:rsidR="00000000" w:rsidRPr="00000000">
        <w:commentReference w:id="27"/>
      </w:r>
      <w:r w:rsidDel="00000000" w:rsidR="00000000" w:rsidRPr="00000000">
        <w:rPr>
          <w:rtl w:val="0"/>
        </w:rPr>
        <w:br w:type="textWrapping"/>
      </w:r>
    </w:p>
    <w:p w:rsidR="00000000" w:rsidDel="00000000" w:rsidP="00000000" w:rsidRDefault="00000000" w:rsidRPr="00000000" w14:paraId="00000035">
      <w:pPr>
        <w:spacing w:after="0" w:line="360" w:lineRule="auto"/>
        <w:rPr/>
      </w:pPr>
      <w:r w:rsidDel="00000000" w:rsidR="00000000" w:rsidRPr="00000000">
        <w:rPr>
          <w:rtl w:val="0"/>
        </w:rPr>
        <w:t xml:space="preserve">The English art dealer George Gage, in a letter to Sir Dudley Carleton dated 14 March 1617, says that he "missed very narrowly Sigr Rubens 3 days since at Lovaine” (Rooses-Ruelens, 11, p. 104). Rooses’s suggestion that the painter’s visit was connefted with the commission for this work is borne out by the Stylistic dating of 1615-20, mentioned above.</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CRLB XIII.1, no. 11. Lion Hunt</w:t>
      </w:r>
    </w:p>
    <w:p w:rsidR="00000000" w:rsidDel="00000000" w:rsidP="00000000" w:rsidRDefault="00000000" w:rsidRPr="00000000" w14:paraId="00000038">
      <w:pPr>
        <w:spacing w:after="0" w:line="360" w:lineRule="auto"/>
        <w:rPr/>
      </w:pPr>
      <w:r w:rsidDel="00000000" w:rsidR="00000000" w:rsidRPr="00000000">
        <w:rPr>
          <w:rtl w:val="0"/>
        </w:rPr>
      </w:r>
    </w:p>
    <w:p w:rsidR="00000000" w:rsidDel="00000000" w:rsidP="00000000" w:rsidRDefault="00000000" w:rsidRPr="00000000" w14:paraId="00000039">
      <w:pPr>
        <w:spacing w:after="0" w:line="360" w:lineRule="auto"/>
        <w:rPr/>
      </w:pPr>
      <w:commentRangeStart w:id="28"/>
      <w:r w:rsidDel="00000000" w:rsidR="00000000" w:rsidRPr="00000000">
        <w:rPr>
          <w:rtl w:val="0"/>
        </w:rPr>
        <w:t xml:space="preserve">Four horsemen and three men on foot are in combat with a lion and a lioness. In the centre the lion has attacked a tur­baned man dressed in white, pulling him off his rearing horse; his hunting-spear, which he holds in both hands, is pointing upwards, but he has failed to hit the lion. Three other horsemen come to the rescue : on the left a Moor in a red tunic thrusts his spear into the lion’s back, on the right a turbaned Oriental with a long moustache takes aim at its neck with a spear, and in the centre a man in antique armour prepares to strike at it with his sword. Be­low right, a dying man lies prostrate ; on the left another man, also thrown to the ground, wards off the lioness with his sword, while another armed man with sword and shield hastens to his aid.</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3A">
      <w:pPr>
        <w:spacing w:after="0" w:line="360" w:lineRule="auto"/>
        <w:rPr/>
      </w:pPr>
      <w:r w:rsidDel="00000000" w:rsidR="00000000" w:rsidRPr="00000000">
        <w:rPr>
          <w:rtl w:val="0"/>
        </w:rPr>
      </w:r>
    </w:p>
    <w:p w:rsidR="00000000" w:rsidDel="00000000" w:rsidP="00000000" w:rsidRDefault="00000000" w:rsidRPr="00000000" w14:paraId="0000003B">
      <w:pPr>
        <w:spacing w:after="0" w:line="360" w:lineRule="auto"/>
        <w:rPr/>
      </w:pPr>
      <w:commentRangeStart w:id="29"/>
      <w:r w:rsidDel="00000000" w:rsidR="00000000" w:rsidRPr="00000000">
        <w:rPr>
          <w:rtl w:val="0"/>
        </w:rPr>
        <w:t xml:space="preserve">The provenance of this canvas cannot at present be reconstructed with absolute certainty. The earliest mention in the col­lection of the Electors of Bavaria is in the 1748 inventory of the Residenz at Mu­nich.1 It was long thought that it had pre­viously been at Schleissheim (where Sandrart was supposed to have seen it), and that it was commissioned from Rubens by Maximilian, Duke and subsequently Elector of Bavaria. In his letter of 28 April 1618, </w:t>
        <w:br w:type="textWrapping"/>
        <w:t xml:space="preserve">Rubens mentions to Carleton a Lion Hunt painted for the Duke of Bavaria, but it is now clear that this was a different work with a different composition. The painting referred to in the letter was at Schleissheim until 1800, but it was removed by the French and afterwards assigned to the Bordeaux museum, where it was destroyed by fire in 1870 (see under No. 6).</w:t>
      </w:r>
      <w:commentRangeEnd w:id="29"/>
      <w:r w:rsidDel="00000000" w:rsidR="00000000" w:rsidRPr="00000000">
        <w:commentReference w:id="29"/>
      </w:r>
      <w:r w:rsidDel="00000000" w:rsidR="00000000" w:rsidRPr="00000000">
        <w:rPr>
          <w:rtl w:val="0"/>
        </w:rPr>
        <w:t xml:space="preserve"> </w:t>
      </w:r>
      <w:commentRangeStart w:id="30"/>
      <w:r w:rsidDel="00000000" w:rsidR="00000000" w:rsidRPr="00000000">
        <w:rPr>
          <w:rtl w:val="0"/>
        </w:rPr>
        <w:t xml:space="preserve">The confusion between the two works was resolved by Ludwig Burchard, who pointed out that the Lion Hunt in the Pinakothek must date from later than 1618, probably c.1622, as a sketch for it appears on the reverse side of a panel, on the front of which is a sketch for the Marie de’ Medici series (No.11b).2 The early 1620s are a more likely date on stylistic grounds also. Rubens’s correspondence of the period has therefore been searched for a reference to this Lion Hunt. Around 1620 three hunting scenes are mentioned : </w:t>
      </w:r>
      <w:commentRangeEnd w:id="30"/>
      <w:r w:rsidDel="00000000" w:rsidR="00000000" w:rsidRPr="00000000">
        <w:commentReference w:id="30"/>
      </w:r>
      <w:r w:rsidDel="00000000" w:rsidR="00000000" w:rsidRPr="00000000">
        <w:rPr>
          <w:rtl w:val="0"/>
        </w:rPr>
        <w:t xml:space="preserve">(</w:t>
      </w:r>
      <w:commentRangeStart w:id="31"/>
      <w:r w:rsidDel="00000000" w:rsidR="00000000" w:rsidRPr="00000000">
        <w:rPr>
          <w:rtl w:val="0"/>
        </w:rPr>
        <w:t xml:space="preserve">1) A studio piece slightly retouched by Rubens; this was commissioned through Carleton by Lord Danvers, but refused by the latter when it proved of insufficient quality to present to the Prince of Wales. It was probably a copy after the Tiger Hunt: see under N0.7; (2) A large Lion Hunt, of which Rubens wrote to William Trumbull on 13 September 1621 that it was one of his best works and had been commissioned by Lord John Digby, who, Rubens believed, meant to present it to the Marquis of Hamilton;3 (3) In the same letter Rubens offered to paint for the Prince of Wales a better and less ‘terrible’ hunting scene in lieu of the rejected Tiger Hunt.4 </w:t>
      </w:r>
      <w:commentRangeEnd w:id="31"/>
      <w:r w:rsidDel="00000000" w:rsidR="00000000" w:rsidRPr="00000000">
        <w:commentReference w:id="31"/>
      </w:r>
      <w:commentRangeStart w:id="32"/>
      <w:r w:rsidDel="00000000" w:rsidR="00000000" w:rsidRPr="00000000">
        <w:rPr>
          <w:rtl w:val="0"/>
        </w:rPr>
        <w:t xml:space="preserve">Burchard appears at one stage to have thought that the Lion Hunt in the Pinakothek might be this third picture. This is unlikely, however: in the first place it is by no means less ferocious than the Tiger Hunt, rather the contrary, and secondly Rubens’s proposal to paint a substitute never seems to have been accepted or acted on. It is more probable that the Lion Hunt in the Pinakothek is to be identified with (2) above. Rubens’s description of that work seems to suit the painting at Munich: a large Lion Hunt, one of his best compositions, showing a high quality of execution. Rosand was the first to propose this identification, and I agree with it despite one serious argument to the contrary.5</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3C">
      <w:pPr>
        <w:spacing w:after="0" w:line="360" w:lineRule="auto"/>
        <w:rPr/>
      </w:pPr>
      <w:r w:rsidDel="00000000" w:rsidR="00000000" w:rsidRPr="00000000">
        <w:rPr>
          <w:rtl w:val="0"/>
        </w:rPr>
        <w:br w:type="textWrapping"/>
      </w:r>
      <w:commentRangeStart w:id="33"/>
      <w:r w:rsidDel="00000000" w:rsidR="00000000" w:rsidRPr="00000000">
        <w:rPr>
          <w:rtl w:val="0"/>
        </w:rPr>
        <w:t xml:space="preserve">That argument is as follows. A Lion Hunt by Rubens, of the type of the one at Schleissheim, was in a sale of 1847, the catalogue of which gave as previous owner ‘the Hon. Revd. Frederick Hamilton’, a descendant of the Marquis of Hamilton referred to in Rubens’s letter of 13 September 1621 as the intended recipient of a Lion Hunt. It has been concluded from this that the canvas sold in 1847, which became the property of Lord Northwick and is now in a private collection in Spain (No. 6, Copy [ 1]; Fig.51), is the same as that referred to in Rubens’s letter. At first sight this seems acceptable, but on closer inspection it is clear that the Northwick Lion Hunt does not altogether fit Rubens’s description of the Hamilton Lion Hunt. The former is a studio replica of a piece he had painted before 1618, and does not seem to deserve the emphatic selfpraise in his letter of 13 September 1621. We know, of course, from his correspondence with Carleton that he often spoke highly of studio replicas that had been thoroughly retouched by himself, but in my opinion his words must be taken more seriously in the present case; for, when Rubens referred in his letter to the Hamilton Lion Hunt, it was with a view to showing his critics of what he was capable. He needed to redeem his reputation from the damage it had suffered when the Prince of Wales refused to accept the Tiger Hunt, a studio work which Rubens had slightly retouched, not realizing for whom it was intended.6</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3D">
      <w:pPr>
        <w:spacing w:after="0" w:line="360" w:lineRule="auto"/>
        <w:rPr/>
      </w:pPr>
      <w:r w:rsidDel="00000000" w:rsidR="00000000" w:rsidRPr="00000000">
        <w:rPr>
          <w:rtl w:val="0"/>
        </w:rPr>
      </w:r>
    </w:p>
    <w:p w:rsidR="00000000" w:rsidDel="00000000" w:rsidP="00000000" w:rsidRDefault="00000000" w:rsidRPr="00000000" w14:paraId="0000003E">
      <w:pPr>
        <w:spacing w:after="0" w:line="360" w:lineRule="auto"/>
        <w:rPr/>
      </w:pPr>
      <w:commentRangeStart w:id="34"/>
      <w:r w:rsidDel="00000000" w:rsidR="00000000" w:rsidRPr="00000000">
        <w:rPr>
          <w:rtl w:val="0"/>
        </w:rPr>
        <w:t xml:space="preserve">Rubens now wished to prove that he was indeed capable of creating a masterpiece, and his letter was, so to speak, an invitation to his critics—like Toby Matthew, who had judged the Tiger Hunt so severely—to come to his studio and look at the Hamilton Lion Hunt, with which he was himself highly satisfied. It seems to me very unlikely that a work of the quality of the Northwick Lion Hunt would have stood the test. It is equally unlikely that Rubens would have referred to the matter as a completely new creation, since Carleton, who was directly involved in these negotiations, had possessed a studio replica of just this compositional type since 1618.1 have argued under No. 6 that that replica was in fact the Northwick Lion Hunt.7 When or how it became the property of the Revd. Frederick Hamilton is not clear. We have no proof that it had been in the family’s possession for a long time, and the eventful history of the Hamilton collection makes it improbable that it would be the same painting as the one which came into their possession at the beginning of the 17th century. To sum up, I believe that we are dealing here with two Lion Hunts by Rubens: one painted for the Marquis of Hamilton in 1621 and now in the Pinakothek (Fig.74), and another bought from Rubens by Carleton in 1618, which belonged to the Revd. Frederick Hamilton at the end of the 18th century or the beginning of the 19th, was afterwards acquired by Lord Northwick and is now in a private Spanish collection (N0.6, Copy [1]; Fig.51).</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3F">
      <w:pPr>
        <w:spacing w:after="0" w:line="360" w:lineRule="auto"/>
        <w:rPr/>
      </w:pPr>
      <w:r w:rsidDel="00000000" w:rsidR="00000000" w:rsidRPr="00000000">
        <w:rPr>
          <w:rtl w:val="0"/>
        </w:rPr>
      </w:r>
    </w:p>
    <w:p w:rsidR="00000000" w:rsidDel="00000000" w:rsidP="00000000" w:rsidRDefault="00000000" w:rsidRPr="00000000" w14:paraId="00000040">
      <w:pPr>
        <w:spacing w:after="0" w:line="360" w:lineRule="auto"/>
        <w:rPr/>
      </w:pPr>
      <w:commentRangeStart w:id="35"/>
      <w:r w:rsidDel="00000000" w:rsidR="00000000" w:rsidRPr="00000000">
        <w:rPr>
          <w:rtl w:val="0"/>
        </w:rPr>
        <w:t xml:space="preserve">It remains to investigate the fortunes of the Lion Hunt of 1621. We know that it became, as Rubens expected, the property of the Marquis of Hamilton: it appears in the list of paintings that James, the second marquis, in a will dated 14 March 1624 bequeathed to his son James, third Marquis and later first Duke of Hamilton.8 Most of the latter’s important collection was sold on the Continent after his execution in 1649; in this way over 400 paintings were acquired by the Archduke Leopold William, but the Lion Hunt was not among them. In fact there is no mention of it anywhere after 1624: unlike, e.g., Rubens’s Daniel in the Lions’ Den, it does not appear in later Hamilton inventories or descriptions of the Hamilton country seats.9 So I consider it likely that it left the possession of the first duke before his death. It may be identical with a picture from the collection of George Villiers, first Duke of Buckingham (1592-1628), which appears in 1635 on a list of works of art destined for his son, the second duke: ‘Ruebens.—The Hunting of Lyons’.10 Nothing is known of the provenance of this piece" or its subsequent fate: it is not mentioned in the sale catalogue of the second duke’s pictures in 1649." </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41">
      <w:pPr>
        <w:spacing w:after="0" w:line="360" w:lineRule="auto"/>
        <w:rPr/>
      </w:pPr>
      <w:r w:rsidDel="00000000" w:rsidR="00000000" w:rsidRPr="00000000">
        <w:rPr>
          <w:rtl w:val="0"/>
        </w:rPr>
      </w:r>
    </w:p>
    <w:p w:rsidR="00000000" w:rsidDel="00000000" w:rsidP="00000000" w:rsidRDefault="00000000" w:rsidRPr="00000000" w14:paraId="00000042">
      <w:pPr>
        <w:spacing w:after="0" w:line="360" w:lineRule="auto"/>
        <w:rPr/>
      </w:pPr>
      <w:commentRangeStart w:id="36"/>
      <w:r w:rsidDel="00000000" w:rsidR="00000000" w:rsidRPr="00000000">
        <w:rPr>
          <w:rtl w:val="0"/>
        </w:rPr>
        <w:t xml:space="preserve">Not until 1677 do we hear anything more of the Lion Hunt discussed under the present number. It was then in the possession of the duc de Richelieu, and Roger de Piles’s very full description makes it possible for the first time to affirm that it is a Lion Hunt of the type in the Pinakothek.'3 It is more than likely that the work in question is the original, and not a copy as Rooses thought.'4 On the basis of Bonnaffé’s studies of the Richelieu collections it has been thought that Armand-Jean de Vignerot du Plessis, duc de Richelieu (1629-1715), inherited the painting from his uncle Armand-Jean du Plessis, Cardinal Richelieu (1585-1642). If this Lion Hunt indeed belonged to the cardinal, it may be wondered whether it was the same as had belonged to the Marquis of Hamilton or whether the cardinal bought his painting from Rubens himself.'5 Personally, however, I do not consider it sufficiently proved that this Lion Hunt was in the cardinal’s collection. According to Bonnaffe it was in the cardinal’s apartments in the château de Richelieu (Indre-et-Loire), but it is not clear whether this was so in the cardinal’s lifetime: we have the impression that in his reconstruction of the interior decoration of the château Bonnaffé relied not so much on the 1642 inventory of the cardinal’s estate'6 as on the later description by Vignier (1676) or Catherinot (1687). His account of Rubens’s Lion Hunt, at all events, seems based on these later sources,17 and it may thus be that the Rubens canvas was in the château in the duke’s time but not earlier. If it really was a family heirloom, the duke’s artistic adviser Roger de Piles could surely not have supposed that it was painted for the King of Poland, as he wrote in his Dissertation.'8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43">
      <w:pPr>
        <w:spacing w:after="0" w:line="360" w:lineRule="auto"/>
        <w:rPr/>
      </w:pPr>
      <w:r w:rsidDel="00000000" w:rsidR="00000000" w:rsidRPr="00000000">
        <w:rPr>
          <w:rtl w:val="0"/>
        </w:rPr>
      </w:r>
    </w:p>
    <w:p w:rsidR="00000000" w:rsidDel="00000000" w:rsidP="00000000" w:rsidRDefault="00000000" w:rsidRPr="00000000" w14:paraId="00000044">
      <w:pPr>
        <w:spacing w:after="0" w:line="360" w:lineRule="auto"/>
        <w:rPr/>
      </w:pPr>
      <w:commentRangeStart w:id="37"/>
      <w:r w:rsidDel="00000000" w:rsidR="00000000" w:rsidRPr="00000000">
        <w:rPr>
          <w:rtl w:val="0"/>
        </w:rPr>
        <w:t xml:space="preserve">Should we then, following de Piles, accept that the Richelieu Lion Hunt had belonged to Wladyslaw IV, King of Poland (b.1595, reigned 1632-1648) (which would again throw doubt on the Hamilton provenance)?19 De Piles writes: ‘La chasse aux Lions, par exemple, &amp; la chute de S. Paul ont esté faites pour le Roy de Pologne.’ At first sight this seems likely enough, as the Munich Lion Hunt is very similar in style to the Conversion of St. Paul previously in Berlin,20 and the dimensions of the two paintings are about the same. However, the themes have nothing in common, so they are unlikely to have formed a pair. As regards the Conversion of St. Paul we are well informed as to de Piles’s source. From correspondence between the Paris art dealer Picart and Matthijs Musson in Antwerp we learn that there was in Paris in 1675 a Conversion of St. Paul by Rubens which—as the context makes clear—Picart was offering for sale to the duc de Richelieu. However, many qualified persons, such as ‘een van onse fraeste meesters’ and ‘eenen kender die Rubens dingen seer bemint’ (this probably referred to de Piles), believed that the work was only a studio copy retouched by the master.21 Picart had been assured that the original painting was in a church in Brussels, and he asked Musson to verify this. No one in Brussels appeared to know anything of such a work, but finally the Flemish engraver Gerard Edelinck, who lived in Paris, was told by a friend in Antwerp that the original Conversion of St. Paul was painted ‘for the King of Poland’.22 We do not know whether this was true, but de Piles took it to be so: it supported his belief that the canvas then in Paris was only a retouched copy, so that he would not buy it for the duc de Richelieu’s collection. He must have been struck, however, by the similarity in style between the Lion Hunt which was probably already in the duke's possession and the Conversion of St. Paul, of which he believed he had seen a copy only. The dimensions were probably about the same, and both works had been engraved by Schelte a Bolswert. It is very possible that for all these reasons he assumed the provenance of the Lion Hunt to be the same as what he believed to be that of the (original) Conversio)! of St. Paul, viz. the King of Poland. As regards the Lion Hunt at least, I suggest that he was mistaken and that it had probably belonged to the Marquis of Hamilton. </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45">
      <w:pPr>
        <w:spacing w:after="0" w:line="360" w:lineRule="auto"/>
        <w:rPr/>
      </w:pPr>
      <w:r w:rsidDel="00000000" w:rsidR="00000000" w:rsidRPr="00000000">
        <w:rPr>
          <w:rtl w:val="0"/>
        </w:rPr>
      </w:r>
    </w:p>
    <w:p w:rsidR="00000000" w:rsidDel="00000000" w:rsidP="00000000" w:rsidRDefault="00000000" w:rsidRPr="00000000" w14:paraId="00000046">
      <w:pPr>
        <w:spacing w:after="0" w:line="360" w:lineRule="auto"/>
        <w:rPr/>
      </w:pPr>
      <w:commentRangeStart w:id="38"/>
      <w:r w:rsidDel="00000000" w:rsidR="00000000" w:rsidRPr="00000000">
        <w:rPr>
          <w:rtl w:val="0"/>
        </w:rPr>
        <w:t xml:space="preserve">After the death of the duc de Richelieu in 1715 his collection was dispersed, and we again lose track of the Lion Hunt until it first appears in the inventory of the Munich Residenz in 1748. It has sometimes been supposed that it was bought by the Elector Maximilian II Emanuel (reigned 1679-1726), but there is no evidence of this.23 In 1738, on the other hand, a Lion Hunt by Rubens was in the sale of Count Thomas de Fraula, comprising seven figures and with the same dimensions as the canvas in the Pinakothek, with which it may be identical.24 It reappears in the Van Zwieren sale at The Hague on 12 April 1741,25 where it may have been bought by the Elector Charles Albert (reigned 1726-1743). The reconstruction of the pedigree that is proposed here is not continuous, and it may be that at one point or another we are dealing with a different picture from that in the Pinakothek. In particular the identification with the Lion Hunt mentioned in Rubens’s letter of 13 September 1621 remains somewhat hypothetical. However, there is no doubt that the Munich canvas was painted about that time. </w:t>
      </w:r>
      <w:commentRangeEnd w:id="38"/>
      <w:r w:rsidDel="00000000" w:rsidR="00000000" w:rsidRPr="00000000">
        <w:commentReference w:id="38"/>
      </w:r>
      <w:commentRangeStart w:id="39"/>
      <w:r w:rsidDel="00000000" w:rsidR="00000000" w:rsidRPr="00000000">
        <w:rPr>
          <w:rtl w:val="0"/>
        </w:rPr>
        <w:t xml:space="preserve">The elaborate composition based on a diagonal, the loose brushwork and warm colouring all point to a date after 1620. Moreover there are close parallels with other works of this period: for instance, the man lying on the ground on the right also appears in St. Michael striking down the Rebellious Angels, painted in 1621-1622 for the Count Palatine, Wolfgang Wilhelm of Neuburg.26 A further argument for this dating, as Burchard first noticed, is that a composition study for this Lion Hunt (No.nb; Fig.76) appears on the reverse of a panel in the collection of the Marquess of Cholmondeley, on which is painted a sketch for The Proxy Marriage of Maria de’ Medici. It is natural to suppose that the two sides of the panel were used at about the same time. Since the sketch for the Medici series can be dated between March and September 1622,27 and since the Lion Hunt on the reverse side must be earlier (see under No.nb), a date of 1621 seems reasonable for the latter.</w:t>
      </w:r>
      <w:commentRangeEnd w:id="39"/>
      <w:r w:rsidDel="00000000" w:rsidR="00000000" w:rsidRPr="00000000">
        <w:commentReference w:id="39"/>
      </w:r>
      <w:r w:rsidDel="00000000" w:rsidR="00000000" w:rsidRPr="00000000">
        <w:rPr>
          <w:rtl w:val="0"/>
        </w:rPr>
        <w:t xml:space="preserve"> </w:t>
      </w:r>
    </w:p>
    <w:p w:rsidR="00000000" w:rsidDel="00000000" w:rsidP="00000000" w:rsidRDefault="00000000" w:rsidRPr="00000000" w14:paraId="00000047">
      <w:pPr>
        <w:spacing w:after="0" w:line="360" w:lineRule="auto"/>
        <w:rPr/>
      </w:pPr>
      <w:r w:rsidDel="00000000" w:rsidR="00000000" w:rsidRPr="00000000">
        <w:rPr>
          <w:rtl w:val="0"/>
        </w:rPr>
      </w:r>
    </w:p>
    <w:p w:rsidR="00000000" w:rsidDel="00000000" w:rsidP="00000000" w:rsidRDefault="00000000" w:rsidRPr="00000000" w14:paraId="00000048">
      <w:pPr>
        <w:spacing w:after="0" w:line="360" w:lineRule="auto"/>
        <w:rPr/>
      </w:pPr>
      <w:commentRangeStart w:id="40"/>
      <w:r w:rsidDel="00000000" w:rsidR="00000000" w:rsidRPr="00000000">
        <w:rPr>
          <w:rtl w:val="0"/>
        </w:rPr>
        <w:t xml:space="preserve">Other preparatory material has survived besides the Cholmondeley sketch: another oil sketch in the Hermitage at Leningrad (No. 1 ta ; Fig.75), and two drawn figure studies (Nos. 11c and 11d ; Figs.77, 78). Two composition drawings are also sometimes connected with this Lion Hunt, in my opinion wrongly. The first, in the British Museum, London, is in fact a study for the Schleissheim Lion Hunt (No.6a; Figs.52, 53) : it clearly represents that composition, and the points of difference in no way suggest the Munich Lion Hunt (see full discussion under No.6a). The other composition drawing, in the Princes Gate Collection,28 has been linked with the Munich Lion Hunt by all who have so far written about it.29 It does indeed contain several motifs that occur in that work, notably the horseman with upraised sword facing the spectator and the man falling off his rearing horse. But on closer inspection it can be seen that there is no lion in the drawing, and some details suggest that it is a battle of horsemen and not a hunting scene.30 This is supported by the fact that the same motifs occur in an unpublished drawing in a similar style which clearly represents a battle of horsemen.3* Rubens also used the same motif of an unseated (Oriental) rider in an equestrian battle, The Conquest of Tunis in Berlin.32 </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49">
      <w:pPr>
        <w:spacing w:after="0" w:line="360" w:lineRule="auto"/>
        <w:rPr/>
      </w:pPr>
      <w:r w:rsidDel="00000000" w:rsidR="00000000" w:rsidRPr="00000000">
        <w:rPr>
          <w:rtl w:val="0"/>
        </w:rPr>
      </w:r>
    </w:p>
    <w:p w:rsidR="00000000" w:rsidDel="00000000" w:rsidP="00000000" w:rsidRDefault="00000000" w:rsidRPr="00000000" w14:paraId="0000004A">
      <w:pPr>
        <w:spacing w:after="0" w:line="360" w:lineRule="auto"/>
        <w:rPr/>
      </w:pPr>
      <w:commentRangeStart w:id="41"/>
      <w:r w:rsidDel="00000000" w:rsidR="00000000" w:rsidRPr="00000000">
        <w:rPr>
          <w:rtl w:val="0"/>
        </w:rPr>
        <w:t xml:space="preserve">If it is accepted that the Princes Gate drawing is not a preparatory study for the Munich Lion Hunt, two problems connected with the drawing no longer arise. The first of these is the discrepancy in date between the recto and verso of the drawing. The supposed Lion Hunt was dated C.1622 to agree with the dating of the Munich canvas, while the sketch for Diana and her Nymphs surprised by Actaeon was dated in the 1630s; both sides can now perhaps be assigned to this later date.33</w:t>
      </w:r>
    </w:p>
    <w:p w:rsidR="00000000" w:rsidDel="00000000" w:rsidP="00000000" w:rsidRDefault="00000000" w:rsidRPr="00000000" w14:paraId="0000004B">
      <w:pPr>
        <w:spacing w:after="0" w:line="360" w:lineRule="auto"/>
        <w:rPr/>
      </w:pPr>
      <w:r w:rsidDel="00000000" w:rsidR="00000000" w:rsidRPr="00000000">
        <w:rPr>
          <w:rtl w:val="0"/>
        </w:rPr>
      </w:r>
    </w:p>
    <w:p w:rsidR="00000000" w:rsidDel="00000000" w:rsidP="00000000" w:rsidRDefault="00000000" w:rsidRPr="00000000" w14:paraId="0000004C">
      <w:pPr>
        <w:spacing w:after="0" w:line="360" w:lineRule="auto"/>
        <w:rPr/>
      </w:pPr>
      <w:r w:rsidDel="00000000" w:rsidR="00000000" w:rsidRPr="00000000">
        <w:rPr>
          <w:rtl w:val="0"/>
        </w:rPr>
        <w:t xml:space="preserve">The problem of the proper place of the Princes Gate drawing in the genesis of the composition of this Lion Hunt also disappears. As Held pointed out, although the general lines of the drawing seem to point to an earlier stage than the two oil sketches, the fully developed motif of the unseated rider represents a more mature stage than the oil sketch in the Hermitage. The solution seems to be that the Princes Gate drawing, some ten years later than the Munich Lion Hunt, borrowed some elements from that composition, including the fallen rider, but not, for instance, the horse rearing in contrapposto: here, as in The Conquest of Tunis, a different attitude was chosen for the horse. </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4D">
      <w:pPr>
        <w:spacing w:after="0" w:line="360" w:lineRule="auto"/>
        <w:rPr/>
      </w:pPr>
      <w:r w:rsidDel="00000000" w:rsidR="00000000" w:rsidRPr="00000000">
        <w:rPr>
          <w:rtl w:val="0"/>
        </w:rPr>
      </w:r>
    </w:p>
    <w:p w:rsidR="00000000" w:rsidDel="00000000" w:rsidP="00000000" w:rsidRDefault="00000000" w:rsidRPr="00000000" w14:paraId="0000004E">
      <w:pPr>
        <w:spacing w:after="0" w:line="360" w:lineRule="auto"/>
        <w:rPr/>
      </w:pPr>
      <w:commentRangeStart w:id="42"/>
      <w:r w:rsidDel="00000000" w:rsidR="00000000" w:rsidRPr="00000000">
        <w:rPr>
          <w:rtl w:val="0"/>
        </w:rPr>
        <w:t xml:space="preserve">We can now reconstruct the genesis of the Munich Lion Hunt. While it contains reminiscences of several of Rubens’s earlier hunting scenes, the emphatic diagonal line of the rearing horse and its rider plunging to the ground creates a totally new type of composition. The horse’s pose is not the same as in the London and Dresden Lion Hunts or the Rennes Tiger Hunt (Figs.39, 63, 57): the animal is seen from below, its head and forefeet turning in different directions. Rubens could have seen this contrapposto effect in a number of antique works,34 and he knew it from a Defeat of Sennacherib designed by Christoph Schwarz, after which he made a drawing.35 On the other hand, as Haberditzl pointed out, both the horse and the lion derive from the famous antique statuary group in the Palazzo dei Conservatori in Rome (cf. the copy, Fig. 15).36 In the sketch at Leningrad this part of the central motif seems already to be approaching its definitive form as regards the horse and to a lesser extent the lion; not, however, the man plunging to the ground, which is the strongest reason to place this sketch earlier than that belonging to the Marquess of Cholmondeley (see further under No.i ib). It is true that the Leningrad sketch comes closer to the final painting than the Cholmondeley sketch in several other motifs, such as the man on the left protecting a fallen huntsman with his shield, or the helmeted rider in the centre raising his right arm to strike the lion, or again the horse with lowered head on the far right. But these are all less important motifs, some of which are familiar from previous hunting scenes. By contrast the pose of the Oriental falling headlong, as we see it in the Munich canvas and the Cholmondeley sketch, is a splendid and quite new invention. It is not yet fully realized in the Leningrad sketch, where this figure fails in particular to exhibit the contrapposto motif corresponding to that of the horse, with his arms twisted forward and his head turned back. </w:t>
      </w:r>
      <w:commentRangeStart w:id="43"/>
      <w:r w:rsidDel="00000000" w:rsidR="00000000" w:rsidRPr="00000000">
        <w:rPr>
          <w:rtl w:val="0"/>
        </w:rPr>
        <w:t xml:space="preserve">In antiquity and in the Renaissance plunging figures of this kind often occurred in equestrian battles, and the falling Phaethon was also depicted in this way. Rubens must certainly have had such examples in mind when he designed this Lion Hunt, but the formulation he hit upon in this case gives an impression of complete novelty.37 As mentioned above, he reused it some years later in The Conquest of Tunis and two drawings for a Battle of Horsemen.</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4F">
      <w:pPr>
        <w:spacing w:after="0" w:line="360" w:lineRule="auto"/>
        <w:rPr/>
      </w:pPr>
      <w:r w:rsidDel="00000000" w:rsidR="00000000" w:rsidRPr="00000000">
        <w:rPr>
          <w:rtl w:val="0"/>
        </w:rPr>
      </w:r>
    </w:p>
    <w:p w:rsidR="00000000" w:rsidDel="00000000" w:rsidP="00000000" w:rsidRDefault="00000000" w:rsidRPr="00000000" w14:paraId="00000050">
      <w:pPr>
        <w:spacing w:after="0" w:line="360" w:lineRule="auto"/>
        <w:rPr/>
      </w:pPr>
      <w:commentRangeStart w:id="44"/>
      <w:r w:rsidDel="00000000" w:rsidR="00000000" w:rsidRPr="00000000">
        <w:rPr>
          <w:rtl w:val="0"/>
        </w:rPr>
        <w:t xml:space="preserve">Thus the rearing horse in contrapposto first occurs in the Leningrad sketch, while in the Cholmondeley sketch the entire group with the horse, its unseated rider and the lion achieved its definitive form. The group was repeated almost literally in the Munich painting, but use was made of both sketches to perfect the composition. The borrowings from the Leningrad sketch have been described above. From the Cholmondeley sketch Rubens took over the horseman on the left, whose mount is kicking out backwards, but who in this case carries a shield, like the leftmost horseman in the sketch for Lion Hunt of the King of Persia (N0.9; Fig.65). The pose of the recumbent man on the left, driving his sword into the lioness’s mouth, was, as Hubala pointed out, previously used by Rubens for an executioner in a Beheading of John the Baptist (of which only copies are known), and is ultimately based on the antique Laocoon.38 The helmeted rider in the upper centre has the same pose as Rubens’s St.George in the Prado.39 It is probable that there were finished study drawings for all these figures. Only two have survived : one of the torso of the falling Oriental (No.iid; Fig.78), and one of the torso of the turbaned horseman wielding a spear on the right (No.iic; Fig.77).</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51">
      <w:pPr>
        <w:spacing w:after="0" w:line="360" w:lineRule="auto"/>
        <w:rPr/>
      </w:pPr>
      <w:r w:rsidDel="00000000" w:rsidR="00000000" w:rsidRPr="00000000">
        <w:rPr>
          <w:rtl w:val="0"/>
        </w:rPr>
      </w:r>
    </w:p>
    <w:p w:rsidR="00000000" w:rsidDel="00000000" w:rsidP="00000000" w:rsidRDefault="00000000" w:rsidRPr="00000000" w14:paraId="00000052">
      <w:pPr>
        <w:spacing w:after="0" w:line="360" w:lineRule="auto"/>
        <w:rPr/>
      </w:pPr>
      <w:commentRangeStart w:id="45"/>
      <w:r w:rsidDel="00000000" w:rsidR="00000000" w:rsidRPr="00000000">
        <w:rPr>
          <w:rtl w:val="0"/>
        </w:rPr>
        <w:t xml:space="preserve">The Lion Hunt in the Pinakothek is one of Rubens’s most famous and most often reproduced works. It was originally regarded as wholly autograph (Smith, Waagen). Rooses was the first to note that the studio must be credited with a large share; he suggested the name of Van Dyck, and attributed the landscape and animals to Wildens.40 Since then the execution has been generally ascribed to Van Dyck, and Rubens is thought to have barely retouched the work (Bode, Oldenbourg, Aust, Müller Hofstede). Heinz Rosenbaum is the only critic who explicitly rejected the attribution to Van Dyck on stylistic grounds, a judgement endorsed by Burchard. When the execution was first attributed to Van Dyck it was thought that this Lion Hunt must be dated C.1618, as it was identified with the one painted for Maximilian of Bavaria. As A. Scharf pointed out, the date of c.1622 proposed by Burchard created a difficulty as regards Van Dyck’s share in the work, as he was then in Italy. This line of thought was further developed by Rosand. It should be noted, however, that Rosand’s proposed identification of the Munich painting with the Lion Hunt mentioned in Rubens’s letter of 13 September 1621—an identification which I accept—tends to make the argument about Van Dyck’s absence in Italy irrelevant. For the statement in Rubens’s letter that the Lion Hunt was nearly completed means that work on it must have been proceeding in the first half of 1621, when Van Dyck was probably in Antwerp; according to one source, he did not leave for Italy until 3 October of that year.4' On the other hand, it is not likely that he was then employed in Rubens’s studio on the same footing as before his first visit to England, so that his part in the Lion Hunt is indeed subject to question.</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53">
      <w:pPr>
        <w:spacing w:after="0" w:line="360" w:lineRule="auto"/>
        <w:rPr/>
      </w:pPr>
      <w:r w:rsidDel="00000000" w:rsidR="00000000" w:rsidRPr="00000000">
        <w:rPr>
          <w:rtl w:val="0"/>
        </w:rPr>
      </w:r>
    </w:p>
    <w:p w:rsidR="00000000" w:rsidDel="00000000" w:rsidP="00000000" w:rsidRDefault="00000000" w:rsidRPr="00000000" w14:paraId="00000054">
      <w:pPr>
        <w:spacing w:after="0" w:line="360" w:lineRule="auto"/>
        <w:rPr/>
      </w:pPr>
      <w:commentRangeStart w:id="46"/>
      <w:r w:rsidDel="00000000" w:rsidR="00000000" w:rsidRPr="00000000">
        <w:rPr>
          <w:rtl w:val="0"/>
        </w:rPr>
        <w:t xml:space="preserve">The Munich canvas can in my opinion be regarded as a completely autograph work by the master (cf. Rubens’s letter of 13 September 1621: ‘toute de ma main’). Some parts may appear weaker in a photograph, but this criticism falls to the ground when the original is studied. Certain outlines are no doubt rather carelessly drawn (e.g. the hands of the Moor and of the horseman in a helmet, and the forelegs of the brown horse), but the effect of the painting depends not so much on the drawing as on colour and brushwork. The tones are subtly varied and harmonized. The Moor’s red tunic, for instance, is softened with pink ; there are wine-red shadows in the pink cloak42 of the helmeted rider; the horseman on the right wears a reddish-brown cloak and a dark brownish-green garment, and is mounted on a chestnut; this group contrasts most effectively with the richly varied white shades of the rearing horse and the unseated huntsman. The touch is calm yet lively, nowhere analytic—not even in the lions’ coats, which are certainly by Rubens himself—and gives an impression of pearly light.</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55">
      <w:pPr>
        <w:spacing w:after="0" w:line="360" w:lineRule="auto"/>
        <w:rPr/>
      </w:pPr>
      <w:r w:rsidDel="00000000" w:rsidR="00000000" w:rsidRPr="00000000">
        <w:rPr>
          <w:rtl w:val="0"/>
        </w:rPr>
      </w:r>
    </w:p>
    <w:p w:rsidR="00000000" w:rsidDel="00000000" w:rsidP="00000000" w:rsidRDefault="00000000" w:rsidRPr="00000000" w14:paraId="00000056">
      <w:pPr>
        <w:spacing w:after="0" w:line="360" w:lineRule="auto"/>
        <w:rPr/>
      </w:pPr>
      <w:commentRangeStart w:id="47"/>
      <w:r w:rsidDel="00000000" w:rsidR="00000000" w:rsidRPr="00000000">
        <w:rPr>
          <w:rtl w:val="0"/>
        </w:rPr>
        <w:t xml:space="preserve">There do not appear to be any slightly varying studio replicas of the Munich Lion Hunt, as there are of many other hunting scenes by Rubens. None of the copies known to me is of sufficient quality to be classed as a studio replica, and the divergences from the original are too slight to support the idea that there was a studio variant. Rubens had this Lion Hunt engraved by Schelte a Bolswert (see under No.11; Fig.8o), and some copies follow this engraving rather than the original, as is shown by small details. No reproductions of copies (3)-(6) are known to me, so that 1 cannot judge whether they follow the Munich canvas or the engraving. </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57">
      <w:pPr>
        <w:spacing w:after="0" w:line="360" w:lineRule="auto"/>
        <w:rPr/>
      </w:pPr>
      <w:r w:rsidDel="00000000" w:rsidR="00000000" w:rsidRPr="00000000">
        <w:rPr>
          <w:rtl w:val="0"/>
        </w:rPr>
      </w:r>
    </w:p>
    <w:p w:rsidR="00000000" w:rsidDel="00000000" w:rsidP="00000000" w:rsidRDefault="00000000" w:rsidRPr="00000000" w14:paraId="00000058">
      <w:pPr>
        <w:spacing w:after="0" w:line="360" w:lineRule="auto"/>
        <w:rPr/>
      </w:pPr>
      <w:commentRangeStart w:id="48"/>
      <w:r w:rsidDel="00000000" w:rsidR="00000000" w:rsidRPr="00000000">
        <w:rPr>
          <w:rtl w:val="0"/>
        </w:rPr>
        <w:t xml:space="preserve">Copy (1) in the Plantin-Moretus Museum was in the Moretus family’s possession as early as 1658; its quality, however, does not seem to me to be that of a studio replica made under Rubens’s </w:t>
      </w:r>
      <w:commentRangeStart w:id="49"/>
      <w:r w:rsidDel="00000000" w:rsidR="00000000" w:rsidRPr="00000000">
        <w:rPr>
          <w:rtl w:val="0"/>
        </w:rPr>
        <w:t xml:space="preserve">supervision</w:t>
      </w:r>
      <w:commentRangeEnd w:id="49"/>
      <w:r w:rsidDel="00000000" w:rsidR="00000000" w:rsidRPr="00000000">
        <w:commentReference w:id="49"/>
      </w:r>
      <w:r w:rsidDel="00000000" w:rsidR="00000000" w:rsidRPr="00000000">
        <w:rPr>
          <w:rtl w:val="0"/>
        </w:rPr>
        <w:t xml:space="preserve">.</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Voetnoten</w:t>
      </w:r>
    </w:p>
    <w:p w:rsidR="00000000" w:rsidDel="00000000" w:rsidP="00000000" w:rsidRDefault="00000000" w:rsidRPr="00000000" w14:paraId="0000005B">
      <w:pPr>
        <w:rPr/>
      </w:pPr>
      <w:r w:rsidDel="00000000" w:rsidR="00000000" w:rsidRPr="00000000">
        <w:rPr>
          <w:rtl w:val="0"/>
        </w:rPr>
        <w:t xml:space="preserve">In het CRLB wordt gebruik gemaakt van eindnoten achteraan de entryteksten. Dit is niet altijd ideaal omdat teksten lang kunnen zijn en het van de lezer vraagt om veel te bladeren. Nog storender wordt het bij kruisreferenties in de noten.</w:t>
      </w:r>
    </w:p>
    <w:p w:rsidR="00000000" w:rsidDel="00000000" w:rsidP="00000000" w:rsidRDefault="00000000" w:rsidRPr="00000000" w14:paraId="0000005C">
      <w:pPr>
        <w:rPr/>
      </w:pPr>
      <w:r w:rsidDel="00000000" w:rsidR="00000000" w:rsidRPr="00000000">
        <w:rPr>
          <w:rtl w:val="0"/>
        </w:rPr>
        <w:t xml:space="preserve">Schermweergave laat toe om hier oplossingen te zoeken.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HNAJournal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HNA plaatst de noten achteraan de tekst. De lezer kan snel naar de noot navigeren door op het nootnummer in de tekst te klikken. Ook terugkeren naar de tekst gaat snel door in de noot op de ‘return’ knop te drukken. Echter, door in de tekst de cursor op het nootnummer te plaatsen, zonder klikken, komt ook een pop-up die de tekst weergeeft. Dit laat de lezer toe om snel door te lezen, zonder te moeten navigeren. In zekere zin maakt dit een aparte notensectie overbodig.</w:t>
      </w:r>
    </w:p>
    <w:p w:rsidR="00000000" w:rsidDel="00000000" w:rsidP="00000000" w:rsidRDefault="00000000" w:rsidRPr="00000000" w14:paraId="00000061">
      <w:pPr>
        <w:rPr/>
      </w:pPr>
      <w:r w:rsidDel="00000000" w:rsidR="00000000" w:rsidRPr="00000000">
        <w:rPr/>
        <w:drawing>
          <wp:inline distB="0" distT="0" distL="0" distR="0">
            <wp:extent cx="5260681" cy="2089892"/>
            <wp:effectExtent b="0" l="0" r="0" t="0"/>
            <wp:docPr descr="Afbeelding met tekst, schermopname&#10;&#10;Door AI gegenereerde inhoud is mogelijk onjuist." id="8" name="image2.png"/>
            <a:graphic>
              <a:graphicData uri="http://schemas.openxmlformats.org/drawingml/2006/picture">
                <pic:pic>
                  <pic:nvPicPr>
                    <pic:cNvPr descr="Afbeelding met tekst, schermopname&#10;&#10;Door AI gegenereerde inhoud is mogelijk onjuist." id="0" name="image2.png"/>
                    <pic:cNvPicPr preferRelativeResize="0"/>
                  </pic:nvPicPr>
                  <pic:blipFill>
                    <a:blip r:embed="rId12"/>
                    <a:srcRect b="0" l="0" r="0" t="0"/>
                    <a:stretch>
                      <a:fillRect/>
                    </a:stretch>
                  </pic:blipFill>
                  <pic:spPr>
                    <a:xfrm>
                      <a:off x="0" y="0"/>
                      <a:ext cx="5260681" cy="208989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Bijkomstig is dat paragrafen bij HNA genummerd zijn. Dit kan ook voor Rubens Online interessant zijn. Laat onderzoekers toe om preciezer te refereren en navigeren naar informatie in de teksten.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Rijksmuseum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Gelijkaardige oplossing aan HNA. Er is een aparte notensectie, maar klikken op een nootnummer in de tekst stuurt de lezer niet door naar deze sectie. De noottekst opent zich in popup en blijft staan tot de lezer op tekst klikt.</w:t>
      </w:r>
    </w:p>
    <w:p w:rsidR="00000000" w:rsidDel="00000000" w:rsidP="00000000" w:rsidRDefault="00000000" w:rsidRPr="00000000" w14:paraId="00000067">
      <w:pPr>
        <w:rPr/>
      </w:pPr>
      <w:r w:rsidDel="00000000" w:rsidR="00000000" w:rsidRPr="00000000">
        <w:rPr/>
        <w:drawing>
          <wp:inline distB="0" distT="0" distL="0" distR="0">
            <wp:extent cx="5760720" cy="1710690"/>
            <wp:effectExtent b="0" l="0" r="0" t="0"/>
            <wp:docPr descr="Afbeelding met tekst, schermopname, Lettertype&#10;&#10;Door AI gegenereerde inhoud is mogelijk onjuist." id="7" name="image6.png"/>
            <a:graphic>
              <a:graphicData uri="http://schemas.openxmlformats.org/drawingml/2006/picture">
                <pic:pic>
                  <pic:nvPicPr>
                    <pic:cNvPr descr="Afbeelding met tekst, schermopname, Lettertype&#10;&#10;Door AI gegenereerde inhoud is mogelijk onjuist." id="0" name="image6.png"/>
                    <pic:cNvPicPr preferRelativeResize="0"/>
                  </pic:nvPicPr>
                  <pic:blipFill>
                    <a:blip r:embed="rId13"/>
                    <a:srcRect b="0" l="0" r="0" t="0"/>
                    <a:stretch>
                      <a:fillRect/>
                    </a:stretch>
                  </pic:blipFill>
                  <pic:spPr>
                    <a:xfrm>
                      <a:off x="0" y="0"/>
                      <a:ext cx="5760720" cy="171069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Paragrafen zijn niet genummerd, maar teksten zijn ook beperkt in lengte.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The Peck Collection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Noten openen in popup en blijven staan tot lezer opnieuw op tekst klikt. Ook onderaan tekst beschikbaar.</w:t>
      </w:r>
    </w:p>
    <w:p w:rsidR="00000000" w:rsidDel="00000000" w:rsidP="00000000" w:rsidRDefault="00000000" w:rsidRPr="00000000" w14:paraId="0000006D">
      <w:pPr>
        <w:rPr/>
      </w:pPr>
      <w:r w:rsidDel="00000000" w:rsidR="00000000" w:rsidRPr="00000000">
        <w:rPr>
          <w:rtl w:val="0"/>
        </w:rPr>
        <w:t xml:space="preserve">Geen genummerde paragrafen.</w:t>
      </w:r>
    </w:p>
    <w:p w:rsidR="00000000" w:rsidDel="00000000" w:rsidP="00000000" w:rsidRDefault="00000000" w:rsidRPr="00000000" w14:paraId="0000006E">
      <w:pPr>
        <w:rPr/>
      </w:pPr>
      <w:r w:rsidDel="00000000" w:rsidR="00000000" w:rsidRPr="00000000">
        <w:rPr/>
        <w:drawing>
          <wp:inline distB="0" distT="0" distL="0" distR="0">
            <wp:extent cx="5760720" cy="1687195"/>
            <wp:effectExtent b="0" l="0" r="0" t="0"/>
            <wp:docPr descr="Afbeelding met tekst, schermopname, Lettertype, lijn&#10;&#10;Door AI gegenereerde inhoud is mogelijk onjuist." id="10" name="image4.png"/>
            <a:graphic>
              <a:graphicData uri="http://schemas.openxmlformats.org/drawingml/2006/picture">
                <pic:pic>
                  <pic:nvPicPr>
                    <pic:cNvPr descr="Afbeelding met tekst, schermopname, Lettertype, lijn&#10;&#10;Door AI gegenereerde inhoud is mogelijk onjuist." id="0" name="image4.png"/>
                    <pic:cNvPicPr preferRelativeResize="0"/>
                  </pic:nvPicPr>
                  <pic:blipFill>
                    <a:blip r:embed="rId14"/>
                    <a:srcRect b="0" l="0" r="0" t="0"/>
                    <a:stretch>
                      <a:fillRect/>
                    </a:stretch>
                  </pic:blipFill>
                  <pic:spPr>
                    <a:xfrm>
                      <a:off x="0" y="0"/>
                      <a:ext cx="5760720" cy="16871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Washington, National Gallery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Vulgariserende teksten bij kunstwerkrecords in de online collectie. Daarnaast ook een doorkliklink naar wetenschappelijke tekst in Online Scholarly Catalogue, wanneer er een artikel bestaat voor het kunstwerk. </w:t>
      </w:r>
    </w:p>
    <w:p w:rsidR="00000000" w:rsidDel="00000000" w:rsidP="00000000" w:rsidRDefault="00000000" w:rsidRPr="00000000" w14:paraId="00000072">
      <w:pPr>
        <w:rPr/>
      </w:pPr>
      <w:r w:rsidDel="00000000" w:rsidR="00000000" w:rsidRPr="00000000">
        <w:rPr>
          <w:rtl w:val="0"/>
        </w:rPr>
        <w:t xml:space="preserve">OSC is weliswaar anders dan wat we met Rubens Online beogen, het is meer traditioneel van vorm. Noten (en figuren) verschijnen in een popup venster aan de zijkant wanneer erop wordt geklikt. Lezer moet op kruis drukken om deze terug te sluiten. Geen aparte notensectie onderaan zoals bij HNA.</w:t>
      </w:r>
    </w:p>
    <w:p w:rsidR="00000000" w:rsidDel="00000000" w:rsidP="00000000" w:rsidRDefault="00000000" w:rsidRPr="00000000" w14:paraId="00000073">
      <w:pPr>
        <w:rPr>
          <w:b w:val="1"/>
          <w:bCs w:val="1"/>
        </w:rPr>
      </w:pPr>
      <w:r w:rsidDel="00000000" w:rsidR="00000000" w:rsidRPr="00000000">
        <w:rPr>
          <w:b w:val="1"/>
          <w:bCs w:val="1"/>
        </w:rPr>
        <w:drawing>
          <wp:inline distB="0" distT="0" distL="0" distR="0">
            <wp:extent cx="5760720" cy="1180465"/>
            <wp:effectExtent b="0" l="0" r="0" t="0"/>
            <wp:docPr descr="Afbeelding met tekst, schermopname, Lettertype&#10;&#10;Door AI gegenereerde inhoud is mogelijk onjuist." id="9" name="image1.png"/>
            <a:graphic>
              <a:graphicData uri="http://schemas.openxmlformats.org/drawingml/2006/picture">
                <pic:pic>
                  <pic:nvPicPr>
                    <pic:cNvPr descr="Afbeelding met tekst, schermopname, Lettertype&#10;&#10;Door AI gegenereerde inhoud is mogelijk onjuist." id="0" name="image1.png"/>
                    <pic:cNvPicPr preferRelativeResize="0"/>
                  </pic:nvPicPr>
                  <pic:blipFill>
                    <a:blip r:embed="rId15"/>
                    <a:srcRect b="0" l="0" r="0" t="0"/>
                    <a:stretch>
                      <a:fillRect/>
                    </a:stretch>
                  </pic:blipFill>
                  <pic:spPr>
                    <a:xfrm>
                      <a:off x="0" y="0"/>
                      <a:ext cx="5760720" cy="11804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Pr>
        <w:drawing>
          <wp:inline distB="0" distT="0" distL="0" distR="0">
            <wp:extent cx="5760720" cy="2631440"/>
            <wp:effectExtent b="0" l="0" r="0" t="0"/>
            <wp:docPr descr="Afbeelding met tekst, Menselijk gezicht, schermopname, person&#10;&#10;Door AI gegenereerde inhoud is mogelijk onjuist." id="12" name="image7.png"/>
            <a:graphic>
              <a:graphicData uri="http://schemas.openxmlformats.org/drawingml/2006/picture">
                <pic:pic>
                  <pic:nvPicPr>
                    <pic:cNvPr descr="Afbeelding met tekst, Menselijk gezicht, schermopname, person&#10;&#10;Door AI gegenereerde inhoud is mogelijk onjuist." id="0" name="image7.png"/>
                    <pic:cNvPicPr preferRelativeResize="0"/>
                  </pic:nvPicPr>
                  <pic:blipFill>
                    <a:blip r:embed="rId16"/>
                    <a:srcRect b="0" l="0" r="0" t="0"/>
                    <a:stretch>
                      <a:fillRect/>
                    </a:stretch>
                  </pic:blipFill>
                  <pic:spPr>
                    <a:xfrm>
                      <a:off x="0" y="0"/>
                      <a:ext cx="5760720" cy="26314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RIHA Journal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Paragrafen genummerd</w:t>
      </w:r>
    </w:p>
    <w:p w:rsidR="00000000" w:rsidDel="00000000" w:rsidP="00000000" w:rsidRDefault="00000000" w:rsidRPr="00000000" w14:paraId="00000079">
      <w:pPr>
        <w:rPr/>
      </w:pPr>
      <w:r w:rsidDel="00000000" w:rsidR="00000000" w:rsidRPr="00000000">
        <w:rPr>
          <w:rtl w:val="0"/>
        </w:rPr>
        <w:t xml:space="preserve">Voetnoten onderaan. Klikken op nootnummer navigeert lezer naar voetnoot. Terug navigeren opnieuw door op nummer van noot te klikken.</w:t>
      </w:r>
    </w:p>
    <w:p w:rsidR="00000000" w:rsidDel="00000000" w:rsidP="00000000" w:rsidRDefault="00000000" w:rsidRPr="00000000" w14:paraId="0000007A">
      <w:pPr>
        <w:rPr/>
      </w:pPr>
      <w:r w:rsidDel="00000000" w:rsidR="00000000" w:rsidRPr="00000000">
        <w:rPr/>
        <w:drawing>
          <wp:inline distB="0" distT="0" distL="0" distR="0">
            <wp:extent cx="5760720" cy="1229360"/>
            <wp:effectExtent b="0" l="0" r="0" t="0"/>
            <wp:docPr descr="Afbeelding met tekst, schermopname, Lettertype, informatie&#10;&#10;Door AI gegenereerde inhoud is mogelijk onjuist." id="11" name="image3.png"/>
            <a:graphic>
              <a:graphicData uri="http://schemas.openxmlformats.org/drawingml/2006/picture">
                <pic:pic>
                  <pic:nvPicPr>
                    <pic:cNvPr descr="Afbeelding met tekst, schermopname, Lettertype, informatie&#10;&#10;Door AI gegenereerde inhoud is mogelijk onjuist." id="0" name="image3.png"/>
                    <pic:cNvPicPr preferRelativeResize="0"/>
                  </pic:nvPicPr>
                  <pic:blipFill>
                    <a:blip r:embed="rId17"/>
                    <a:srcRect b="0" l="0" r="0" t="0"/>
                    <a:stretch>
                      <a:fillRect/>
                    </a:stretch>
                  </pic:blipFill>
                  <pic:spPr>
                    <a:xfrm>
                      <a:off x="0" y="0"/>
                      <a:ext cx="5760720" cy="122936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0" distT="0" distL="0" distR="0">
            <wp:extent cx="5760720" cy="1257300"/>
            <wp:effectExtent b="0" l="0" r="0" t="0"/>
            <wp:docPr descr="Afbeelding met tekst, schermopname, Lettertype, informatie&#10;&#10;Door AI gegenereerde inhoud is mogelijk onjuist." id="13" name="image8.png"/>
            <a:graphic>
              <a:graphicData uri="http://schemas.openxmlformats.org/drawingml/2006/picture">
                <pic:pic>
                  <pic:nvPicPr>
                    <pic:cNvPr descr="Afbeelding met tekst, schermopname, Lettertype, informatie&#10;&#10;Door AI gegenereerde inhoud is mogelijk onjuist." id="0" name="image8.png"/>
                    <pic:cNvPicPr preferRelativeResize="0"/>
                  </pic:nvPicPr>
                  <pic:blipFill>
                    <a:blip r:embed="rId18"/>
                    <a:srcRect b="0" l="0" r="0" t="0"/>
                    <a:stretch>
                      <a:fillRect/>
                    </a:stretch>
                  </pic:blipFill>
                  <pic:spPr>
                    <a:xfrm>
                      <a:off x="0" y="0"/>
                      <a:ext cx="576072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cht Vanoppen" w:id="13" w:date="2025-07-28T10:09:0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Compositie</w:t>
      </w:r>
    </w:p>
  </w:comment>
  <w:comment w:author="Brecht Vanoppen" w:id="8" w:date="2025-07-31T09:30:00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Noten volgen nu achter de tekst. Dit kan worden herdacht.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Idee is om bij lezen van tekst de noot in een pop-up te laten verschijnen wanneer user met cursor zweeft of klikt op noot.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Daarnaast best ook notenapparaat als tekst behouden achteraan. Dit is nodig voor zoekfunctie.</w:t>
      </w:r>
    </w:p>
  </w:comment>
  <w:comment w:author="Brecht Vanoppen" w:id="5" w:date="2025-07-30T17:04:0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Insprong in CRLB om nieuwe alinea aan te duiden. </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Voorstel: witregel. Is duidelijker.</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Eventueel paragrafen nummeren. Dit laat onderzoekers toe om meer precies te refereren naar online teksten. Anders moet lezer veel scrollen/searchen</w:t>
      </w:r>
    </w:p>
  </w:comment>
  <w:comment w:author="Elise Gacoms" w:id="49" w:date="2025-07-30T15:57:00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Kunnen aanpassingen, correcties, toevoegingen via een voetnoot? Wordt elke aanpassing een nieuwe versie?</w:t>
      </w:r>
    </w:p>
  </w:comment>
  <w:comment w:author="Brecht Vanoppen" w:id="25" w:date="2025-07-28T10:28:00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Inspiratiebronnen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Relaties met objecten niet van Rubens</w:t>
      </w:r>
    </w:p>
  </w:comment>
  <w:comment w:author="Brecht Vanoppen" w:id="48" w:date="2025-07-28T12:17:0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comment>
  <w:comment w:author="Brecht Vanoppen" w:id="26" w:date="2025-07-28T10:29:00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Datering</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 stilistische vergelijking met objecten van Rubens</w:t>
      </w:r>
    </w:p>
  </w:comment>
  <w:comment w:author="Brecht Vanoppen" w:id="27" w:date="2025-07-28T10:30:00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p>
  </w:comment>
  <w:comment w:author="Brecht Vanoppen" w:id="16" w:date="2025-07-28T10:09:00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Meer gedetailleerd beschrijving op basis van visuele bronnen (kopieën/relaties met objecten).</w:t>
      </w:r>
    </w:p>
  </w:comment>
  <w:comment w:author="Elise Gacoms" w:id="17" w:date="2025-07-30T15:33:0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moeten beslissen of we willen linken in de tekst zelf. Of dat het gewoon ‘platte tekst’ wordt.</w:t>
      </w:r>
    </w:p>
  </w:comment>
  <w:comment w:author="Elise Gacoms" w:id="18" w:date="2025-07-30T15:50:00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Toevoegen van rijk tekstveld zou wel de voorkeur zijn.</w:t>
      </w:r>
    </w:p>
  </w:comment>
  <w:comment w:author="Elise Gacoms" w:id="19" w:date="2025-07-30T15:52:0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Matchen via AI?</w:t>
      </w:r>
    </w:p>
  </w:comment>
  <w:comment w:author="Brecht Vanoppen" w:id="28" w:date="2025-07-28T11:53:0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Beschrijving compositie</w:t>
      </w:r>
    </w:p>
  </w:comment>
  <w:comment w:author="Brecht Vanoppen" w:id="22" w:date="2025-07-28T10:11:00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Meer vergelijkingen met werken van Rubens</w:t>
      </w:r>
    </w:p>
  </w:comment>
  <w:comment w:author="Brecht Vanoppen" w:id="29" w:date="2025-07-28T11:55:00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p>
  </w:comment>
  <w:comment w:author="Brecht Vanoppen" w:id="20" w:date="2025-07-28T10:11:0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Ontleding van de compositie om inspiratiebronnen te achterhalen.</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Relaties met objecten niet door Rubens</w:t>
      </w:r>
    </w:p>
  </w:comment>
  <w:comment w:author="Elise Gacoms" w:id="21" w:date="2025-07-30T15:34:0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Zitten soms wel in RKD (bv. Titiaan) als object. Of beschreven tekstueel als artistiek verband.</w:t>
      </w:r>
    </w:p>
  </w:comment>
  <w:comment w:author="Brecht Vanoppen" w:id="23" w:date="2025-07-28T10:25:00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Onderwerp</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Hagiografisch</w:t>
      </w:r>
    </w:p>
  </w:comment>
  <w:comment w:author="Brecht Vanoppen" w:id="30" w:date="2025-07-28T12:02:00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datering</w:t>
      </w:r>
    </w:p>
  </w:comment>
  <w:comment w:author="Brecht Vanoppen" w:id="24" w:date="2025-07-28T10:26:0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Compositie</w:t>
      </w:r>
    </w:p>
  </w:comment>
  <w:comment w:author="Brecht Vanoppen" w:id="31" w:date="2025-07-28T12:04:00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Correspondentie Rubens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Relaties met objecten van Rubens</w:t>
      </w:r>
    </w:p>
  </w:comment>
  <w:comment w:author="Brecht Vanoppen" w:id="41" w:date="2025-07-28T12:29:0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 met objecten van Rubens</w:t>
      </w:r>
    </w:p>
  </w:comment>
  <w:comment w:author="Brecht Vanoppen" w:id="42" w:date="2025-07-28T13:13:0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Creatieproces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Relaties met objecten van Rubens</w:t>
      </w:r>
    </w:p>
  </w:comment>
  <w:comment w:author="Brecht Vanoppen" w:id="32" w:date="2025-07-28T12:04:0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Identificatie</w:t>
      </w:r>
    </w:p>
  </w:comment>
  <w:comment w:author="Brecht Vanoppen" w:id="9" w:date="2025-07-31T09:32:0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Maken we hier een verrijkte kruisverwijzing van die lezer navigeert naar de betreffende noot?</w:t>
      </w:r>
    </w:p>
  </w:comment>
  <w:comment w:author="Brecht Vanoppen" w:id="43" w:date="2025-07-28T13:14:0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Inspiratiebronnen</w:t>
      </w:r>
    </w:p>
  </w:comment>
  <w:comment w:author="Brecht Vanoppen" w:id="33" w:date="2025-07-28T12:06:0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Identificatie tegenargument</w:t>
      </w:r>
    </w:p>
  </w:comment>
  <w:comment w:author="Brecht Vanoppen" w:id="10" w:date="2025-07-31T09:31:0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Gebruik van latijnse afkortingen binnen notenapparaat is steeds minder in gebruik. In CRLB styleguide werd ooit beslist om dit niet meer te doen en in de plaats altijd met verkorte referentie te werken (maar deze beslissing is niet goed opgevolgd).</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Vraag blijft: behouden of aanpassen naar verkorte term?</w:t>
      </w:r>
    </w:p>
  </w:comment>
  <w:comment w:author="Brecht Vanoppen" w:id="0" w:date="2025-07-31T10:06:0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Ook van namen van medewerkers verrijkte tekst maken? Kan user brengen naar pagina met resultaten waar alle werken met medewerking van deze persoon gefilterd zijn.</w:t>
      </w:r>
    </w:p>
  </w:comment>
  <w:comment w:author="Brecht Vanoppen" w:id="44" w:date="2025-07-28T13:16:0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Creatieproces</w:t>
      </w:r>
    </w:p>
  </w:comment>
  <w:comment w:author="Brecht Vanoppen" w:id="34" w:date="2025-07-28T12:09:00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Correspondentie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Andere objecten van Rubens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p>
  </w:comment>
  <w:comment w:author="Brecht Vanoppen" w:id="11" w:date="2025-07-31T09:37:0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Noten van deze lengte kunnen we niet laten verschijnen in pop-up. </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Optie voorzien om eerste zinnen te tonen en dan moet user op ‘meer’ klikken en worden genavigeerd naar betreffende noot in het notenapparaat?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Kunnen nootnummers in notenapparaat ook verrijken zodat user direct terug naar tekst kan navigeren om verder te lezen.</w:t>
      </w:r>
    </w:p>
  </w:comment>
  <w:comment w:author="Brecht Vanoppen" w:id="1" w:date="2025-07-30T17:13:0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Titels van werken altijd cursief in CRLB. Zou ik behouden, maar eventueel in andere kleur om te tonen dat dit verrijkte tekst is.</w:t>
      </w:r>
    </w:p>
  </w:comment>
  <w:comment w:author="Brecht Vanoppen" w:id="38" w:date="2025-07-28T12:25:0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p>
  </w:comment>
  <w:comment w:author="Brecht Vanoppen" w:id="45" w:date="2025-07-28T13:15:0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Toeschrijving</w:t>
      </w:r>
    </w:p>
  </w:comment>
  <w:comment w:author="Brecht Vanoppen" w:id="35" w:date="2025-07-28T12:14:0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Identificatie</w:t>
      </w:r>
    </w:p>
  </w:comment>
  <w:comment w:author="Brecht Vanoppen" w:id="12" w:date="2025-07-28T13:17:0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Historiek</w:t>
      </w:r>
    </w:p>
  </w:comment>
  <w:comment w:author="Brecht Vanoppen" w:id="2" w:date="2025-07-30T17:09:00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Platte verwijzing mogelijks niet meer relevant in online tekst. Hier kan andere oplossing voor worden gezocht.</w:t>
      </w:r>
    </w:p>
  </w:comment>
  <w:comment w:author="Brecht Vanoppen" w:id="39" w:date="2025-07-28T12:25:0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Datering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Relaties met objecten van Rubens</w:t>
      </w:r>
    </w:p>
  </w:comment>
  <w:comment w:author="Brecht Vanoppen" w:id="46" w:date="2025-07-28T12:18:0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Toeschrijving</w:t>
      </w:r>
    </w:p>
  </w:comment>
  <w:comment w:author="Brecht Vanoppen" w:id="36" w:date="2025-07-28T12:16:0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Identificatie</w:t>
      </w:r>
    </w:p>
  </w:comment>
  <w:comment w:author="Brecht Vanoppen" w:id="6" w:date="2025-07-31T09:56:0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is een verwijzing naar een werk van Rubens, gepubliceerd in het CRLB. Voor AI zal dit haast onmogelijk zijn te begrijpen, dus dit vraagt handmatig ingrijpen als we hier een verrijkte tekst willen maken.</w:t>
      </w:r>
    </w:p>
  </w:comment>
  <w:comment w:author="Brecht Vanoppen" w:id="3" w:date="2025-07-30T17:11: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Gedachtestreepje heeft oude vorm. Nu geven we voorkeur aan em-dash. Is duidelijker.</w:t>
      </w:r>
    </w:p>
  </w:comment>
  <w:comment w:author="Brecht Vanoppen" w:id="40" w:date="2025-07-28T12:27:0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Relaties met objecten van Rubens +</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Creatieproces</w:t>
      </w:r>
    </w:p>
  </w:comment>
  <w:comment w:author="Brecht Vanoppen" w:id="47" w:date="2025-07-28T12:17:00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comment>
  <w:comment w:author="Brecht Vanoppen" w:id="37" w:date="2025-07-28T12:22:00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Herkomst</w:t>
      </w:r>
    </w:p>
  </w:comment>
  <w:comment w:author="Brecht Vanoppen" w:id="14" w:date="2025-07-28T09:56:0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kan niet in de Rubens Online.</w:t>
      </w:r>
    </w:p>
  </w:comment>
  <w:comment w:author="Elise Gacoms" w:id="15" w:date="2025-07-30T15:26:0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Cfr. DEBIAS-tool: woord niet vervangen maar kritische noot bij vermelden.</w:t>
      </w:r>
    </w:p>
  </w:comment>
  <w:comment w:author="Brecht Vanoppen" w:id="7" w:date="2025-07-31T09:13:0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Oudere CRLB teksten wilden referenties ook al eens in tekst plaatsen. In dit specifieke geval stoort het niet, maar in andere gevallen kan het de leesbaarheid verminderen.</w:t>
      </w:r>
    </w:p>
  </w:comment>
  <w:comment w:author="Brecht Vanoppen" w:id="4" w:date="2025-07-30T17:32:0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Noten volgen nu achter de tekst. Dit kan worden herdacht.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D" w15:done="0"/>
  <w15:commentEx w15:paraId="00000082" w15:done="0"/>
  <w15:commentEx w15:paraId="00000086" w15:done="0"/>
  <w15:commentEx w15:paraId="00000087" w15:done="0"/>
  <w15:commentEx w15:paraId="00000089" w15:done="0"/>
  <w15:commentEx w15:paraId="0000008A" w15:done="0"/>
  <w15:commentEx w15:paraId="0000008C" w15:done="0"/>
  <w15:commentEx w15:paraId="0000008D" w15:done="0"/>
  <w15:commentEx w15:paraId="0000008E" w15:done="0"/>
  <w15:commentEx w15:paraId="0000008F" w15:paraIdParent="0000008E" w15:done="0"/>
  <w15:commentEx w15:paraId="00000090" w15:paraIdParent="0000008E" w15:done="0"/>
  <w15:commentEx w15:paraId="00000091" w15:paraIdParent="0000008E" w15:done="0"/>
  <w15:commentEx w15:paraId="00000092" w15:done="0"/>
  <w15:commentEx w15:paraId="00000093" w15:done="0"/>
  <w15:commentEx w15:paraId="00000094" w15:done="0"/>
  <w15:commentEx w15:paraId="00000097" w15:done="0"/>
  <w15:commentEx w15:paraId="00000098" w15:paraIdParent="00000097" w15:done="0"/>
  <w15:commentEx w15:paraId="0000009A" w15:done="0"/>
  <w15:commentEx w15:paraId="0000009B" w15:done="0"/>
  <w15:commentEx w15:paraId="0000009C" w15:done="0"/>
  <w15:commentEx w15:paraId="0000009E" w15:done="0"/>
  <w15:commentEx w15:paraId="0000009F" w15:done="0"/>
  <w15:commentEx w15:paraId="000000A1" w15:done="0"/>
  <w15:commentEx w15:paraId="000000A3" w15:done="0"/>
  <w15:commentEx w15:paraId="000000A4" w15:done="0"/>
  <w15:commentEx w15:paraId="000000A5" w15:done="0"/>
  <w15:commentEx w15:paraId="000000A7" w15:done="0"/>
  <w15:commentEx w15:paraId="000000AA" w15:done="0"/>
  <w15:commentEx w15:paraId="000000AB" w15:done="0"/>
  <w15:commentEx w15:paraId="000000AC" w15:done="0"/>
  <w15:commentEx w15:paraId="000000AF" w15:done="0"/>
  <w15:commentEx w15:paraId="000000B4" w15:done="0"/>
  <w15:commentEx w15:paraId="000000B5" w15:done="0"/>
  <w15:commentEx w15:paraId="000000B6" w15:done="0"/>
  <w15:commentEx w15:paraId="000000B7" w15:done="0"/>
  <w15:commentEx w15:paraId="000000B9" w15:done="0"/>
  <w15:commentEx w15:paraId="000000BA" w15:done="0"/>
  <w15:commentEx w15:paraId="000000BB" w15:done="0"/>
  <w15:commentEx w15:paraId="000000BD" w15:done="0"/>
  <w15:commentEx w15:paraId="000000BE" w15:done="0"/>
  <w15:commentEx w15:paraId="000000C0" w15:done="0"/>
  <w15:commentEx w15:paraId="000000C1" w15:done="0"/>
  <w15:commentEx w15:paraId="000000C2" w15:done="0"/>
  <w15:commentEx w15:paraId="000000C4" w15:done="0"/>
  <w15:commentEx w15:paraId="000000C5" w15:done="0"/>
  <w15:commentEx w15:paraId="000000C6" w15:done="0"/>
  <w15:commentEx w15:paraId="000000C7" w15:done="0"/>
  <w15:commentEx w15:paraId="000000C8" w15:paraIdParent="000000C7" w15:done="0"/>
  <w15:commentEx w15:paraId="000000C9" w15:done="0"/>
  <w15:commentEx w15:paraId="000000C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5-07-28T10:09:00Z"/>
  <w16cex:commentExtensible w16cex:durableId="00000002" w16cex:dateUtc="2025-07-31T09:30:00Z"/>
  <w16cex:commentExtensible w16cex:durableId="00000003" w16cex:dateUtc="2025-07-30T17:04:00Z"/>
  <w16cex:commentExtensible w16cex:durableId="00000004" w16cex:dateUtc="2025-07-30T15:57:00Z"/>
  <w16cex:commentExtensible w16cex:durableId="00000005" w16cex:dateUtc="2025-07-28T10:28:00Z"/>
  <w16cex:commentExtensible w16cex:durableId="00000006" w16cex:dateUtc="2025-07-28T12:17:00Z"/>
  <w16cex:commentExtensible w16cex:durableId="00000007" w16cex:dateUtc="2025-07-28T10:29:00Z"/>
  <w16cex:commentExtensible w16cex:durableId="00000008" w16cex:dateUtc="2025-07-28T10:30:00Z"/>
  <w16cex:commentExtensible w16cex:durableId="00000009" w16cex:dateUtc="2025-07-28T10:09:00Z"/>
  <w16cex:commentExtensible w16cex:durableId="0000000A" w16cex:dateUtc="2025-07-30T15:33:00Z"/>
  <w16cex:commentExtensible w16cex:durableId="0000000B" w16cex:dateUtc="2025-07-30T15:50:00Z"/>
  <w16cex:commentExtensible w16cex:durableId="0000000C" w16cex:dateUtc="2025-07-30T15:52:00Z"/>
  <w16cex:commentExtensible w16cex:durableId="0000000D" w16cex:dateUtc="2025-07-28T11:53:00Z"/>
  <w16cex:commentExtensible w16cex:durableId="0000000E" w16cex:dateUtc="2025-07-28T10:11:00Z"/>
  <w16cex:commentExtensible w16cex:durableId="0000000F" w16cex:dateUtc="2025-07-28T11:55:00Z"/>
  <w16cex:commentExtensible w16cex:durableId="00000010" w16cex:dateUtc="2025-07-28T10:11:00Z"/>
  <w16cex:commentExtensible w16cex:durableId="00000011" w16cex:dateUtc="2025-07-30T15:34:00Z"/>
  <w16cex:commentExtensible w16cex:durableId="00000012" w16cex:dateUtc="2025-07-28T10:25:00Z"/>
  <w16cex:commentExtensible w16cex:durableId="00000013" w16cex:dateUtc="2025-07-28T12:02:00Z"/>
  <w16cex:commentExtensible w16cex:durableId="00000014" w16cex:dateUtc="2025-07-28T10:26:00Z"/>
  <w16cex:commentExtensible w16cex:durableId="00000015" w16cex:dateUtc="2025-07-28T12:04:00Z"/>
  <w16cex:commentExtensible w16cex:durableId="00000016" w16cex:dateUtc="2025-07-28T12:29:00Z"/>
  <w16cex:commentExtensible w16cex:durableId="00000017" w16cex:dateUtc="2025-07-28T13:13:00Z"/>
  <w16cex:commentExtensible w16cex:durableId="00000018" w16cex:dateUtc="2025-07-28T12:04:00Z"/>
  <w16cex:commentExtensible w16cex:durableId="00000019" w16cex:dateUtc="2025-07-31T09:32:00Z"/>
  <w16cex:commentExtensible w16cex:durableId="0000001A" w16cex:dateUtc="2025-07-28T13:14:00Z"/>
  <w16cex:commentExtensible w16cex:durableId="0000001B" w16cex:dateUtc="2025-07-28T12:06:00Z"/>
  <w16cex:commentExtensible w16cex:durableId="0000001C" w16cex:dateUtc="2025-07-31T09:31:00Z"/>
  <w16cex:commentExtensible w16cex:durableId="0000001D" w16cex:dateUtc="2025-07-31T10:06:00Z"/>
  <w16cex:commentExtensible w16cex:durableId="0000001E" w16cex:dateUtc="2025-07-28T13:16:00Z"/>
  <w16cex:commentExtensible w16cex:durableId="0000001F" w16cex:dateUtc="2025-07-28T12:09:00Z"/>
  <w16cex:commentExtensible w16cex:durableId="00000020" w16cex:dateUtc="2025-07-31T09:37:00Z"/>
  <w16cex:commentExtensible w16cex:durableId="00000021" w16cex:dateUtc="2025-07-30T17:13:00Z"/>
  <w16cex:commentExtensible w16cex:durableId="00000022" w16cex:dateUtc="2025-07-28T12:25:00Z"/>
  <w16cex:commentExtensible w16cex:durableId="00000023" w16cex:dateUtc="2025-07-28T13:15:00Z"/>
  <w16cex:commentExtensible w16cex:durableId="00000024" w16cex:dateUtc="2025-07-28T12:14:00Z"/>
  <w16cex:commentExtensible w16cex:durableId="00000025" w16cex:dateUtc="2025-07-28T13:17:00Z"/>
  <w16cex:commentExtensible w16cex:durableId="00000026" w16cex:dateUtc="2025-07-30T17:09:00Z"/>
  <w16cex:commentExtensible w16cex:durableId="00000027" w16cex:dateUtc="2025-07-28T12:25:00Z"/>
  <w16cex:commentExtensible w16cex:durableId="00000028" w16cex:dateUtc="2025-07-28T12:18:00Z"/>
  <w16cex:commentExtensible w16cex:durableId="00000029" w16cex:dateUtc="2025-07-28T12:16:00Z"/>
  <w16cex:commentExtensible w16cex:durableId="0000002A" w16cex:dateUtc="2025-07-31T09:56:00Z"/>
  <w16cex:commentExtensible w16cex:durableId="0000002B" w16cex:dateUtc="2025-07-30T17:11:00Z"/>
  <w16cex:commentExtensible w16cex:durableId="0000002C" w16cex:dateUtc="2025-07-28T12:27:00Z"/>
  <w16cex:commentExtensible w16cex:durableId="0000002D" w16cex:dateUtc="2025-07-28T12:17:00Z"/>
  <w16cex:commentExtensible w16cex:durableId="0000002E" w16cex:dateUtc="2025-07-28T12:22:00Z"/>
  <w16cex:commentExtensible w16cex:durableId="0000002F" w16cex:dateUtc="2025-07-28T09:56:00Z"/>
  <w16cex:commentExtensible w16cex:durableId="00000030" w16cex:dateUtc="2025-07-30T15:26:00Z"/>
  <w16cex:commentExtensible w16cex:durableId="00000031" w16cex:dateUtc="2025-07-31T09:13:00Z"/>
  <w16cex:commentExtensible w16cex:durableId="00000032" w16cex:dateUtc="2025-07-30T17:32: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7D" w16cid:durableId="00000001"/>
  <w16cid:commentId w16cid:paraId="00000082" w16cid:durableId="00000002"/>
  <w16cid:commentId w16cid:paraId="00000086" w16cid:durableId="00000003"/>
  <w16cid:commentId w16cid:paraId="00000087" w16cid:durableId="00000004"/>
  <w16cid:commentId w16cid:paraId="00000089" w16cid:durableId="00000005"/>
  <w16cid:commentId w16cid:paraId="0000008A" w16cid:durableId="00000006"/>
  <w16cid:commentId w16cid:paraId="0000008C" w16cid:durableId="00000007"/>
  <w16cid:commentId w16cid:paraId="0000008D" w16cid:durableId="00000008"/>
  <w16cid:commentId w16cid:paraId="0000008E" w16cid:durableId="00000009"/>
  <w16cid:commentId w16cid:paraId="0000008F" w16cid:durableId="0000000A"/>
  <w16cid:commentId w16cid:paraId="00000090" w16cid:durableId="0000000B"/>
  <w16cid:commentId w16cid:paraId="00000091" w16cid:durableId="0000000C"/>
  <w16cid:commentId w16cid:paraId="00000092" w16cid:durableId="0000000D"/>
  <w16cid:commentId w16cid:paraId="00000093" w16cid:durableId="0000000E"/>
  <w16cid:commentId w16cid:paraId="00000094" w16cid:durableId="0000000F"/>
  <w16cid:commentId w16cid:paraId="00000097" w16cid:durableId="00000010"/>
  <w16cid:commentId w16cid:paraId="00000098" w16cid:durableId="00000011"/>
  <w16cid:commentId w16cid:paraId="0000009A" w16cid:durableId="00000012"/>
  <w16cid:commentId w16cid:paraId="0000009B" w16cid:durableId="00000013"/>
  <w16cid:commentId w16cid:paraId="0000009C" w16cid:durableId="00000014"/>
  <w16cid:commentId w16cid:paraId="0000009E" w16cid:durableId="00000015"/>
  <w16cid:commentId w16cid:paraId="0000009F" w16cid:durableId="00000016"/>
  <w16cid:commentId w16cid:paraId="000000A1" w16cid:durableId="00000017"/>
  <w16cid:commentId w16cid:paraId="000000A3" w16cid:durableId="00000018"/>
  <w16cid:commentId w16cid:paraId="000000A4" w16cid:durableId="00000019"/>
  <w16cid:commentId w16cid:paraId="000000A5" w16cid:durableId="0000001A"/>
  <w16cid:commentId w16cid:paraId="000000A7" w16cid:durableId="0000001B"/>
  <w16cid:commentId w16cid:paraId="000000AA" w16cid:durableId="0000001C"/>
  <w16cid:commentId w16cid:paraId="000000AB" w16cid:durableId="0000001D"/>
  <w16cid:commentId w16cid:paraId="000000AC" w16cid:durableId="0000001E"/>
  <w16cid:commentId w16cid:paraId="000000AF" w16cid:durableId="0000001F"/>
  <w16cid:commentId w16cid:paraId="000000B4" w16cid:durableId="00000020"/>
  <w16cid:commentId w16cid:paraId="000000B5" w16cid:durableId="00000021"/>
  <w16cid:commentId w16cid:paraId="000000B6" w16cid:durableId="00000022"/>
  <w16cid:commentId w16cid:paraId="000000B7" w16cid:durableId="00000023"/>
  <w16cid:commentId w16cid:paraId="000000B9" w16cid:durableId="00000024"/>
  <w16cid:commentId w16cid:paraId="000000BA" w16cid:durableId="00000025"/>
  <w16cid:commentId w16cid:paraId="000000BB" w16cid:durableId="00000026"/>
  <w16cid:commentId w16cid:paraId="000000BD" w16cid:durableId="00000027"/>
  <w16cid:commentId w16cid:paraId="000000BE" w16cid:durableId="00000028"/>
  <w16cid:commentId w16cid:paraId="000000C0" w16cid:durableId="00000029"/>
  <w16cid:commentId w16cid:paraId="000000C1" w16cid:durableId="0000002A"/>
  <w16cid:commentId w16cid:paraId="000000C2" w16cid:durableId="0000002B"/>
  <w16cid:commentId w16cid:paraId="000000C4" w16cid:durableId="0000002C"/>
  <w16cid:commentId w16cid:paraId="000000C5" w16cid:durableId="0000002D"/>
  <w16cid:commentId w16cid:paraId="000000C6" w16cid:durableId="0000002E"/>
  <w16cid:commentId w16cid:paraId="000000C7" w16cid:durableId="0000002F"/>
  <w16cid:commentId w16cid:paraId="000000C8" w16cid:durableId="00000030"/>
  <w16cid:commentId w16cid:paraId="000000C9" w16cid:durableId="00000031"/>
  <w16cid:commentId w16cid:paraId="000000CA" w16cid:durableId="0000003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pPr>
    <w:rPr>
      <w:color w:val="000000"/>
      <w:sz w:val="40"/>
      <w:szCs w:val="40"/>
    </w:rPr>
  </w:style>
  <w:style w:type="paragraph" w:styleId="Heading2">
    <w:name w:val="heading 2"/>
    <w:basedOn w:val="Normal"/>
    <w:next w:val="Normal"/>
    <w:pPr>
      <w:keepNext w:val="1"/>
      <w:keepLines w:val="1"/>
      <w:spacing w:after="80" w:before="160" w:lineRule="auto"/>
    </w:pPr>
    <w:rPr>
      <w:b w:val="1"/>
      <w:bCs w:val="1"/>
      <w:color w:val="0f4761"/>
      <w:sz w:val="28"/>
      <w:szCs w:val="28"/>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8.png"/><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0x010100F28DCEF2892D3245B514F77F6D7C2F3E</vt:lpwstr>
  </property>
  <property fmtid="{D5CDD505-2E9C-101B-9397-08002B2CF9AE}" pid="3" name="MediaServiceImageTags">
    <vt:lpwstr>MediaServiceImageTags</vt:lpwstr>
  </property>
</Properties>
</file>