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0" w:after="180"/>
        <w:jc w:val="center"/>
        <w:rPr>
          <w:rFonts w:ascii="Times New Roman" w:hAnsi="Times New Roman" w:cs="Times New Roman"/>
          <w:color w:val="000000"/>
          <w:sz w:val="24"/>
          <w:szCs w:val="24"/>
        </w:rPr>
      </w:pPr>
      <w:r>
        <w:rPr>
          <w:rFonts w:cs="Times New Roman" w:ascii="Times New Roman" w:hAnsi="Times New Roman"/>
          <w:b w:val="false"/>
          <w:bCs w:val="false"/>
          <w:color w:val="000000"/>
          <w:sz w:val="24"/>
          <w:szCs w:val="24"/>
        </w:rPr>
        <w:t>Researcher-library collaborations: Data repositories as a service for researchers</w:t>
      </w:r>
    </w:p>
    <w:p>
      <w:pPr>
        <w:pStyle w:val="Heading2"/>
        <w:spacing w:lineRule="auto" w:line="480" w:before="0" w:after="180"/>
        <w:jc w:val="center"/>
        <w:rPr>
          <w:rFonts w:ascii="Times New Roman" w:hAnsi="Times New Roman" w:cs="Times New Roman"/>
          <w:color w:val="000000"/>
          <w:sz w:val="24"/>
          <w:szCs w:val="24"/>
        </w:rPr>
      </w:pPr>
      <w:bookmarkStart w:id="0" w:name="introduction"/>
      <w:bookmarkEnd w:id="0"/>
      <w:r>
        <w:rPr>
          <w:rFonts w:cs="Times New Roman" w:ascii="Times New Roman" w:hAnsi="Times New Roman"/>
          <w:color w:val="000000"/>
          <w:sz w:val="24"/>
          <w:szCs w:val="24"/>
        </w:rPr>
        <w:t>Introduction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(Databrary, 2015a) is a repository for storing and sharing videos collected as raw data in the context of research about human development and learning.  The project has financial support from the National Science Foundation (BCS-1238599) and the National Institute of Child Health and Human Development (U01-HD-076595).  New York University (NYU) hosts the library and its staff, with additional support from The Pennsylvania State University (PSU).  Databrary began accepting contributions in early 2014 and opened for general use in October 2014.  In less than a year of operation, the number of institutions with authorized users has grown to 40, with 79 individual investigators from North America, Europe, South America, and Australia.  As of March 2015, 35 individual contributors representing 25 different universities have contributed video data or excerpts.  From the outset, Databrary has been designed to meet researchers’ needs, not as an isolated project initiated by the library or the central IT department.  Databrary has focused on a specific scholarly domain, the developmental and learning sciences, and on a particular data type – video.</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Most researchers in the developmental and learning sciences collect video as raw data, but ethical and technical barriers to sharing video have made open data sharing uncommon.  While personally identifying information can be removed from text-based data, videos contain faces, voices, names spoken aloud, and sometimes views of the homes of research participants.  These cannot be removed without reducing the information content.  Further, the collection of video and other identifiable or sensitive information requires approval by a research ethics board and informed consent from the participants.  The consent process formalizes a promise by the research team to protect participants’ identities from disclosure.  Researchers risk breaking this promise if digital images are viewed or released to others without authorization.  At the same time, video has significant potential for re-use.  Video uniquely captures the complexity and richness of behavior.  Videos recorded in one experimental setting for one purpose may often be used by other investigators for different purposes.  As such, sharing video has large potential payoffs if researchers trust that their data will be treated with the proper care and participants grant permission to share.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To realize the promise of video data sharing, Databrary has learned to focus on reducing barriers and on forging community consensus.  Project innovations include the development of policies to enable sharing of identifiable data, the creation of technical infrastructure that implements secure sharing, easy citation of data and related materials, and the adoption of practices that encourage researchers to share what, with whom, and when they are most comfortable.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Beyond these elements, launching the repository has required Databrary to engage a wide range of expertise, including experts in the NYU Library and project staff with training in library and information science.  That expertise has played a vital role.  By engaging researchers in a community committed to data sharing, Databrary has learned about the diverse curation requirements of datasets collected through very different lab processes, especially how to represent those datasets in a standard fashion for future access and re-use.  Accordingly, the Databrary project offers insights about ways libraries and librarians may engage with scholars in specific topical domains in order to serve emerging demands for sharing research data.</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In this paper, we will discuss how Databrary has established itself as a data repository that works closely and frequently with researchers.  We will describe how Databrary has found solutions to many of the barriers that limit video sharing through close interaction with our target community.  Finally, we will outline future enhancements to Databrary that will further this work and suggest lessons that library and information scientists might draw from Databrary’s experience.</w:t>
      </w:r>
    </w:p>
    <w:p>
      <w:pPr>
        <w:pStyle w:val="Heading2"/>
        <w:spacing w:lineRule="auto" w:line="480" w:before="0" w:after="180"/>
        <w:jc w:val="center"/>
        <w:rPr>
          <w:rFonts w:ascii="Times New Roman" w:hAnsi="Times New Roman" w:cs="Times New Roman"/>
          <w:color w:val="000000"/>
          <w:sz w:val="24"/>
          <w:szCs w:val="24"/>
        </w:rPr>
      </w:pPr>
      <w:bookmarkStart w:id="1" w:name="literature-review"/>
      <w:bookmarkEnd w:id="1"/>
      <w:r>
        <w:rPr>
          <w:rFonts w:cs="Times New Roman" w:ascii="Times New Roman" w:hAnsi="Times New Roman"/>
          <w:color w:val="000000"/>
          <w:sz w:val="24"/>
          <w:szCs w:val="24"/>
        </w:rPr>
        <w:t>Literature Review</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strong ties to the NYU library but operates autonomously.  A sampling of the literature on data repositories and data curation shows that these structural features fall well within established norms.  Some repositories capture research data across domains (Lyle, 2014; Witt, 2012), while others commit to a specific field of study (Peer &amp; Green 2012; Ardini, Pan, Qin, &amp; Cooley, 2014).  Creating and operating research data repositories pose many challenges. How repositories are established within their host institutions and how they interface with content producers turn out to be critical.</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Collaborations between libraries and research entities or content producers are common.  The collaboration between Purdue Library Systems and Information Technology at Purdue (ITaP) provides one example (Witt, 2012).  The Inter-university Consortium for Political and Social Research (ICPSR) provides another.  ICPSR emerged from the Institute for Social Research at the University of Michigan to encompass a consortium of institutional partners (Lyle, 2014). Yale’s Office of Digital Assets and Infrastructure (ODAI) collaborates with the Institution for Social and Policy Studies (ISPS) on an open data repository in the social sciences (Peer &amp; Green, 2012).  Some, but not all, of the literature provides detail about how these sorts of collaborations emerge or about which collaborators take the initiative.</w:t>
      </w:r>
    </w:p>
    <w:p>
      <w:pPr>
        <w:pStyle w:val="Normal"/>
        <w:spacing w:lineRule="auto" w:line="480" w:before="0" w:after="0"/>
        <w:rPr/>
      </w:pPr>
      <w:r>
        <w:rPr>
          <w:rFonts w:cs="Times New Roman" w:ascii="Times New Roman" w:hAnsi="Times New Roman"/>
          <w:color w:val="000000"/>
        </w:rPr>
        <w:tab/>
        <w:t xml:space="preserve">The literature on library practices and responsibilities describes how new policies and practices around communication </w:t>
      </w:r>
      <w:ins w:id="0" w:author="Unknown Author" w:date="2015-05-19T18:29:00Z">
        <w:r>
          <w:rPr>
            <w:rFonts w:cs="Times New Roman" w:ascii="Times New Roman" w:hAnsi="Times New Roman"/>
            <w:color w:val="000000"/>
          </w:rPr>
          <w:t xml:space="preserve">and engagement </w:t>
        </w:r>
      </w:ins>
      <w:r>
        <w:rPr>
          <w:rFonts w:cs="Times New Roman" w:ascii="Times New Roman" w:hAnsi="Times New Roman"/>
          <w:color w:val="000000"/>
        </w:rPr>
        <w:t xml:space="preserve">with the scientific community </w:t>
      </w:r>
      <w:del w:id="1" w:author="Unknown Author" w:date="2015-05-19T18:26:00Z">
        <w:r>
          <w:rPr>
            <w:rFonts w:cs="Times New Roman" w:ascii="Times New Roman" w:hAnsi="Times New Roman"/>
            <w:color w:val="000000"/>
          </w:rPr>
          <w:delText>have been critical to the success of data repositories</w:delText>
        </w:r>
      </w:del>
      <w:ins w:id="2" w:author="Unknown Author" w:date="2015-05-19T18:26:00Z">
        <w:r>
          <w:rPr>
            <w:rFonts w:cs="Times New Roman" w:ascii="Times New Roman" w:hAnsi="Times New Roman"/>
            <w:color w:val="000000"/>
          </w:rPr>
          <w:t xml:space="preserve">will be critical in the </w:t>
        </w:r>
      </w:ins>
      <w:ins w:id="3" w:author="Unknown Author" w:date="2015-05-20T11:34:00Z">
        <w:r>
          <w:rPr>
            <w:rFonts w:eastAsia="Cambria" w:cs="Times New Roman" w:ascii="Times New Roman" w:hAnsi="Times New Roman"/>
            <w:color w:val="000000"/>
          </w:rPr>
          <w:t>development</w:t>
        </w:r>
      </w:ins>
      <w:ins w:id="4" w:author="Unknown Author" w:date="2015-05-20T11:34:00Z">
        <w:r>
          <w:rPr>
            <w:rFonts w:cs="Times New Roman" w:ascii="Times New Roman" w:hAnsi="Times New Roman"/>
            <w:color w:val="000000"/>
          </w:rPr>
          <w:t xml:space="preserve"> of successful</w:t>
        </w:r>
      </w:ins>
      <w:ins w:id="5" w:author="Unknown Author" w:date="2015-05-19T18:27:00Z">
        <w:r>
          <w:rPr>
            <w:rFonts w:cs="Times New Roman" w:ascii="Times New Roman" w:hAnsi="Times New Roman"/>
            <w:color w:val="000000"/>
          </w:rPr>
          <w:t xml:space="preserve"> research data</w:t>
        </w:r>
      </w:ins>
      <w:ins w:id="6" w:author="Unknown Author" w:date="2015-05-20T11:34:00Z">
        <w:r>
          <w:rPr>
            <w:rFonts w:cs="Times New Roman" w:ascii="Times New Roman" w:hAnsi="Times New Roman"/>
            <w:color w:val="000000"/>
          </w:rPr>
          <w:t xml:space="preserve"> repositories</w:t>
        </w:r>
      </w:ins>
      <w:ins w:id="7" w:author="Unknown Author" w:date="2015-05-19T18:32:00Z">
        <w:r>
          <w:rPr>
            <w:rFonts w:cs="Times New Roman" w:ascii="Times New Roman" w:hAnsi="Times New Roman"/>
            <w:color w:val="000000"/>
          </w:rPr>
          <w:t xml:space="preserve"> that enhance scholarly practice</w:t>
        </w:r>
      </w:ins>
      <w:ins w:id="8" w:author="Unknown Author" w:date="2015-05-19T18:30:00Z">
        <w:r>
          <w:rPr>
            <w:rFonts w:cs="Times New Roman" w:ascii="Times New Roman" w:hAnsi="Times New Roman"/>
            <w:color w:val="000000"/>
          </w:rPr>
          <w:t xml:space="preserve"> (Ogburn, 2010)</w:t>
        </w:r>
      </w:ins>
      <w:r>
        <w:rPr>
          <w:rFonts w:cs="Times New Roman" w:ascii="Times New Roman" w:hAnsi="Times New Roman"/>
          <w:color w:val="000000"/>
        </w:rPr>
        <w:t xml:space="preserve">.  Purdue’s Data Curation Center (DCC), for example, has developed a process for interviewing researchers about their data curation needs in contributing to data repositories (Carlson, 2012).  </w:t>
      </w:r>
      <w:ins w:id="9" w:author="Unknown Author" w:date="2015-05-19T18:25:00Z">
        <w:r>
          <w:rPr>
            <w:rFonts w:cs="Times New Roman" w:ascii="Times New Roman" w:hAnsi="Times New Roman"/>
            <w:color w:val="000000"/>
          </w:rPr>
          <w:t>From these interview</w:t>
        </w:r>
      </w:ins>
      <w:ins w:id="10" w:author="Unknown Author" w:date="2015-05-19T18:26:00Z">
        <w:r>
          <w:rPr>
            <w:rFonts w:cs="Times New Roman" w:ascii="Times New Roman" w:hAnsi="Times New Roman"/>
            <w:color w:val="000000"/>
          </w:rPr>
          <w:t xml:space="preserve">s, </w:t>
        </w:r>
      </w:ins>
      <w:r>
        <w:rPr>
          <w:rFonts w:cs="Times New Roman" w:ascii="Times New Roman" w:hAnsi="Times New Roman"/>
          <w:color w:val="000000"/>
        </w:rPr>
        <w:t>Carlson (2012) finds that “services that do not align with real-world needs of researchers will not be used.”  Librarians</w:t>
      </w:r>
      <w:del w:id="11" w:author="Unknown Author" w:date="2015-05-19T18:56:00Z">
        <w:r>
          <w:rPr>
            <w:rFonts w:cs="Times New Roman" w:ascii="Times New Roman" w:hAnsi="Times New Roman"/>
            <w:color w:val="000000"/>
          </w:rPr>
          <w:delText>,</w:delText>
        </w:r>
      </w:del>
      <w:r>
        <w:rPr>
          <w:rFonts w:cs="Times New Roman" w:ascii="Times New Roman" w:hAnsi="Times New Roman"/>
          <w:color w:val="000000"/>
        </w:rPr>
        <w:t xml:space="preserve"> have strengths in metadata creation and standardization across domains.  Their involvement can help reduce barriers to sharing that often plague data dissemination, particularly where research cultures differ drastically (MacMillian, 2014).  A librarian who is embedded with and informed by working with researchers can ensure better material description and documentation.  This results in a better repository and more high quality research outcomes (Federer, 2013).  </w:t>
      </w:r>
      <w:del w:id="12" w:author="Unknown Author" w:date="2015-05-20T11:39:00Z">
        <w:r>
          <w:rPr>
            <w:rFonts w:cs="Times New Roman" w:ascii="Times New Roman" w:hAnsi="Times New Roman"/>
            <w:strike/>
            <w:color w:val="000000"/>
          </w:rPr>
          <w:delText xml:space="preserve">Some predict that the role of liaison librarians in data repository building will increase: Researchers will welcome assistance in reducing the burden of describing and preparing data for preservation, and this will convince more researchers to contribute data </w:delText>
        </w:r>
      </w:del>
      <w:ins w:id="13" w:author="Unknown Author" w:date="2015-05-20T11:37:00Z">
        <w:r>
          <w:rPr>
            <w:rFonts w:cs="Times New Roman" w:ascii="Times New Roman" w:hAnsi="Times New Roman"/>
            <w:color w:val="000000"/>
          </w:rPr>
          <w:t>Librarians acting in a liaison capacity can also guide and assist researchers in research data management tools, practices, and systems that make it easi</w:t>
        </w:r>
      </w:ins>
      <w:ins w:id="14" w:author="Unknown Author" w:date="2015-05-20T11:38:00Z">
        <w:r>
          <w:rPr>
            <w:rFonts w:cs="Times New Roman" w:ascii="Times New Roman" w:hAnsi="Times New Roman"/>
            <w:color w:val="000000"/>
          </w:rPr>
          <w:t>er for the latter to describe and prepare their data for preservation</w:t>
        </w:r>
      </w:ins>
      <w:ins w:id="15" w:author="Unknown Author" w:date="2015-05-22T11:19:00Z">
        <w:r>
          <w:rPr>
            <w:rFonts w:cs="Times New Roman" w:ascii="Times New Roman" w:hAnsi="Times New Roman"/>
            <w:color w:val="000000"/>
          </w:rPr>
          <w:t xml:space="preserve"> </w:t>
        </w:r>
      </w:ins>
      <w:r>
        <w:rPr>
          <w:rFonts w:cs="Times New Roman" w:ascii="Times New Roman" w:hAnsi="Times New Roman"/>
          <w:color w:val="000000"/>
        </w:rPr>
        <w:t xml:space="preserve">(McLure, Level, Cranston, Oehlerts, &amp; Culbertson, 2014).  The Databrary team’s experiences working with investigators to curate research data bear out these </w:t>
      </w:r>
      <w:del w:id="16" w:author="Unknown Author" w:date="2015-05-20T11:38:00Z">
        <w:r>
          <w:rPr>
            <w:rFonts w:cs="Times New Roman" w:ascii="Times New Roman" w:hAnsi="Times New Roman"/>
            <w:color w:val="000000"/>
          </w:rPr>
          <w:delText>predictions</w:delText>
        </w:r>
      </w:del>
      <w:ins w:id="17" w:author="Unknown Author" w:date="2015-05-20T11:38:00Z">
        <w:r>
          <w:rPr>
            <w:rFonts w:cs="Times New Roman" w:ascii="Times New Roman" w:hAnsi="Times New Roman"/>
            <w:color w:val="000000"/>
          </w:rPr>
          <w:t>observations</w:t>
        </w:r>
      </w:ins>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t>Developing successful data repositories require</w:t>
      </w:r>
      <w:del w:id="18" w:author="Unknown Author" w:date="2015-05-20T12:08:00Z">
        <w:r>
          <w:rPr>
            <w:rFonts w:cs="Times New Roman" w:ascii="Times New Roman" w:hAnsi="Times New Roman"/>
            <w:color w:val="000000"/>
          </w:rPr>
          <w:delText>s</w:delText>
        </w:r>
      </w:del>
      <w:ins w:id="19" w:author="Unknown Author" w:date="2015-05-20T11:49:00Z">
        <w:r>
          <w:rPr>
            <w:rFonts w:cs="Times New Roman" w:ascii="Times New Roman" w:hAnsi="Times New Roman"/>
            <w:color w:val="000000"/>
          </w:rPr>
          <w:t xml:space="preserve"> new</w:t>
        </w:r>
      </w:ins>
      <w:r>
        <w:rPr>
          <w:rFonts w:cs="Times New Roman" w:ascii="Times New Roman" w:hAnsi="Times New Roman"/>
          <w:color w:val="000000"/>
        </w:rPr>
        <w:t xml:space="preserve"> practices for managing workflows involving technology and metadata creation.  Research data include</w:t>
      </w:r>
      <w:del w:id="20" w:author="Lisa Steiger" w:date="2015-05-21T16:54:00Z">
        <w:r>
          <w:rPr>
            <w:rFonts w:cs="Times New Roman" w:ascii="Times New Roman" w:hAnsi="Times New Roman"/>
            <w:color w:val="000000"/>
          </w:rPr>
          <w:delText>s</w:delText>
        </w:r>
      </w:del>
      <w:r>
        <w:rPr>
          <w:rFonts w:cs="Times New Roman" w:ascii="Times New Roman" w:hAnsi="Times New Roman"/>
          <w:color w:val="000000"/>
        </w:rPr>
        <w:t xml:space="preserve"> diverse materials related to scholarly process and scholarly products.  This means that research data differ from other products of research such as journal articles and books, and it raises questions about how libraries should respond.  How should libraries represent datasets in a manner that allows them to be cataloged, preserved, and cited (Wickett, Sacchi, Dubin, &amp; Renear, 2012; Hourclé, 2008)?  Representing research data outside of its original context risks making the data more difficult to interpret (Borgman, 2012).  Can libraries meet the needs of researchers who are increasingly held responsible for documenting and sharing the raw data from their research along with its products and derivatives (Heidorn, 2011; Greenberg, White, Carrier, &amp; Scherle, 2009)?  Propagating research data is fast becoming a core component of scientific communication, but a bridge between researchers and repository staff must be built to facilitate that propagation (Castelli, Manghi, &amp; Thanos, 2013).  A survey of repository staff workers in Australia and New Zealand illustrates some of the challenges ahead.  It found that building digital data repositories will require library workers to develop new skills related to the software driving these repositories and skills to communicate with IT departments (Simons &amp; Richardson, 2012).  Library staff will also need to develop working knowledge about semantic web-based metadata schema like the Resource Description Framework (RDF), multimedia file formats, and access concerns like copyright legislation and open access standards (Simons &amp; Richardson, 2012). </w:t>
      </w:r>
      <w:ins w:id="21" w:author="Unknown Author" w:date="2015-05-20T11:50:00Z">
        <w:r>
          <w:rPr>
            <w:rFonts w:cs="Times New Roman" w:ascii="Times New Roman" w:hAnsi="Times New Roman"/>
            <w:color w:val="000000"/>
          </w:rPr>
          <w:t xml:space="preserve"> </w:t>
        </w:r>
      </w:ins>
      <w:ins w:id="22" w:author="Unknown Author" w:date="2015-05-20T11:51:00Z">
        <w:r>
          <w:rPr>
            <w:rFonts w:cs="Times New Roman" w:ascii="Times New Roman" w:hAnsi="Times New Roman"/>
            <w:color w:val="000000"/>
          </w:rPr>
          <w:t>Libraries are a natural place for these new role</w:t>
        </w:r>
      </w:ins>
      <w:ins w:id="23" w:author="Unknown Author" w:date="2015-05-20T11:52:00Z">
        <w:r>
          <w:rPr>
            <w:rFonts w:cs="Times New Roman" w:ascii="Times New Roman" w:hAnsi="Times New Roman"/>
            <w:color w:val="000000"/>
          </w:rPr>
          <w:t xml:space="preserve">s and practices to emerge, but they are not trivial shifts that include also the </w:t>
        </w:r>
      </w:ins>
      <w:ins w:id="24" w:author="Unknown Author" w:date="2015-05-20T11:54:00Z">
        <w:r>
          <w:rPr>
            <w:rFonts w:cs="Times New Roman" w:ascii="Times New Roman" w:hAnsi="Times New Roman"/>
            <w:color w:val="000000"/>
          </w:rPr>
          <w:t>reorganization of roles, positions, and library infrastructure</w:t>
        </w:r>
      </w:ins>
      <w:ins w:id="25" w:author="Unknown Author" w:date="2015-05-20T11:55:00Z">
        <w:r>
          <w:rPr>
            <w:rFonts w:cs="Times New Roman" w:ascii="Times New Roman" w:hAnsi="Times New Roman"/>
            <w:color w:val="000000"/>
          </w:rPr>
          <w:t xml:space="preserve"> to support research data curation (Giarlo, 2013).</w:t>
        </w:r>
      </w:ins>
      <w:r>
        <w:rPr>
          <w:rFonts w:cs="Times New Roman" w:ascii="Times New Roman" w:hAnsi="Times New Roman"/>
          <w:color w:val="000000"/>
        </w:rPr>
        <w:t xml:space="preserve"> The Databrary project team’s experience echoes many of these points.  Staff who lack library or information science backgrounds have had to learn about curation, preservation, and metadata, and staff with that background have had to acquire a range of new technical skills common to software development.</w:t>
      </w:r>
    </w:p>
    <w:p>
      <w:pPr>
        <w:pStyle w:val="Heading2"/>
        <w:spacing w:lineRule="auto" w:line="480" w:before="0" w:after="180"/>
        <w:jc w:val="center"/>
        <w:rPr>
          <w:rFonts w:ascii="Times New Roman" w:hAnsi="Times New Roman" w:cs="Times New Roman"/>
          <w:color w:val="000000"/>
          <w:sz w:val="24"/>
          <w:szCs w:val="24"/>
        </w:rPr>
      </w:pPr>
      <w:bookmarkStart w:id="2" w:name="description-of-services"/>
      <w:bookmarkEnd w:id="2"/>
      <w:r>
        <w:rPr>
          <w:rFonts w:cs="Times New Roman" w:ascii="Times New Roman" w:hAnsi="Times New Roman"/>
          <w:color w:val="000000"/>
          <w:sz w:val="24"/>
          <w:szCs w:val="24"/>
        </w:rPr>
        <w:t>Description of Services</w:t>
      </w:r>
    </w:p>
    <w:p>
      <w:pPr>
        <w:pStyle w:val="Normal"/>
        <w:spacing w:lineRule="auto" w:line="480" w:before="0" w:after="0"/>
        <w:rPr/>
      </w:pPr>
      <w:r>
        <w:rPr>
          <w:rFonts w:cs="Times New Roman" w:ascii="Times New Roman" w:hAnsi="Times New Roman"/>
          <w:color w:val="000000"/>
        </w:rPr>
        <w:tab/>
        <w:t xml:space="preserve">Databrary’s core </w:t>
      </w:r>
      <w:del w:id="26" w:author="Unknown Author" w:date="2015-05-20T12:12:00Z">
        <w:r>
          <w:rPr>
            <w:rFonts w:cs="Times New Roman" w:ascii="Times New Roman" w:hAnsi="Times New Roman"/>
            <w:color w:val="000000"/>
          </w:rPr>
          <w:delText>competencies</w:delText>
        </w:r>
      </w:del>
      <w:ins w:id="27" w:author="Unknown Author" w:date="2015-05-20T12:12:00Z">
        <w:r>
          <w:rPr>
            <w:rFonts w:cs="Times New Roman" w:ascii="Times New Roman" w:hAnsi="Times New Roman"/>
            <w:color w:val="000000"/>
          </w:rPr>
          <w:t>strengths</w:t>
        </w:r>
      </w:ins>
      <w:r>
        <w:rPr>
          <w:rFonts w:cs="Times New Roman" w:ascii="Times New Roman" w:hAnsi="Times New Roman"/>
          <w:color w:val="000000"/>
        </w:rPr>
        <w:t xml:space="preserve"> are a focus on community outreach and the provision of services for scholarly communication,</w:t>
      </w:r>
      <w:del w:id="28" w:author="Lisa Steiger" w:date="2015-05-21T16:55:00Z">
        <w:r>
          <w:rPr>
            <w:rFonts w:cs="Times New Roman" w:ascii="Times New Roman" w:hAnsi="Times New Roman"/>
            <w:color w:val="000000"/>
          </w:rPr>
          <w:delText xml:space="preserve"> </w:delText>
        </w:r>
      </w:del>
      <w:del w:id="29" w:author="Unknown Author" w:date="2015-05-20T12:09:00Z">
        <w:r>
          <w:rPr>
            <w:rFonts w:cs="Times New Roman" w:ascii="Times New Roman" w:hAnsi="Times New Roman"/>
            <w:color w:val="000000"/>
          </w:rPr>
          <w:delText>support from institutional partners</w:delText>
        </w:r>
      </w:del>
      <w:ins w:id="30" w:author="Unknown Author" w:date="2015-05-20T12:10:00Z">
        <w:r>
          <w:rPr>
            <w:rFonts w:cs="Times New Roman" w:ascii="Times New Roman" w:hAnsi="Times New Roman"/>
            <w:color w:val="000000"/>
          </w:rPr>
          <w:t xml:space="preserve"> the </w:t>
        </w:r>
      </w:ins>
      <w:ins w:id="31" w:author="Unknown Author" w:date="2015-05-20T12:09:00Z">
        <w:r>
          <w:rPr>
            <w:rFonts w:cs="Times New Roman" w:ascii="Times New Roman" w:hAnsi="Times New Roman"/>
            <w:color w:val="000000"/>
          </w:rPr>
          <w:t xml:space="preserve">ability to </w:t>
        </w:r>
      </w:ins>
      <w:ins w:id="32" w:author="Unknown Author" w:date="2015-05-20T12:10:00Z">
        <w:r>
          <w:rPr>
            <w:rFonts w:cs="Times New Roman" w:ascii="Times New Roman" w:hAnsi="Times New Roman"/>
            <w:color w:val="000000"/>
          </w:rPr>
          <w:t>establish institutional partnerships</w:t>
        </w:r>
      </w:ins>
      <w:r>
        <w:rPr>
          <w:rFonts w:cs="Times New Roman" w:ascii="Times New Roman" w:hAnsi="Times New Roman"/>
          <w:color w:val="000000"/>
        </w:rPr>
        <w:t>, services for data curation developed with the guidance of information professionals, and a strong technical infrastructure.  We discuss each of these in turn.</w:t>
      </w:r>
    </w:p>
    <w:p>
      <w:pPr>
        <w:pStyle w:val="Heading3"/>
        <w:spacing w:lineRule="auto" w:line="480" w:before="0" w:after="180"/>
        <w:rPr>
          <w:rFonts w:ascii="Times New Roman" w:hAnsi="Times New Roman" w:cs="Times New Roman"/>
          <w:color w:val="000000"/>
          <w:sz w:val="24"/>
          <w:szCs w:val="24"/>
        </w:rPr>
      </w:pPr>
      <w:bookmarkStart w:id="3" w:name="community-outreach-and-scholarly-communi"/>
      <w:bookmarkEnd w:id="3"/>
      <w:r>
        <w:rPr>
          <w:rFonts w:cs="Times New Roman" w:ascii="Times New Roman" w:hAnsi="Times New Roman"/>
          <w:color w:val="000000"/>
          <w:sz w:val="24"/>
          <w:szCs w:val="24"/>
        </w:rPr>
        <w:t>Community Outreach and Scholarly Communication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From the outset, Databrary has sought to connect with the research community in a meaningful way, in part by hiring staff who understand both the professional needs of researchers and the requirements for preserving information and facilitating access to it.  Early on, the project team came to understand that researchers were more likely to share video data with colleagues who were part of the same scholarly community – people who held the same understanding about the sensitivities involved in sharing identifiable data related to children and families.  At the same time, the team understood that it would have to change prevailing sentiments about the feasibility of sharing video data openly and bring knowledge about data curation and preservation practices to researchers largely unfamiliar with these topics.  This led to a decision to hire two staff, one with specific responsibilities for community outreach and a second with experience in library and information science.  These team members and our technical staff interact directly with researchers, providing hands-on support at every stage of the researcher’s interactions with Databrary.  Staff assist with initial user registration, consult with research ethics boards, and</w:t>
      </w:r>
      <w:bookmarkStart w:id="4" w:name="_GoBack"/>
      <w:bookmarkEnd w:id="4"/>
      <w:r>
        <w:rPr>
          <w:rFonts w:cs="Times New Roman" w:ascii="Times New Roman" w:hAnsi="Times New Roman"/>
          <w:color w:val="000000"/>
        </w:rPr>
        <w:t xml:space="preserve"> manage data curation (see Curation below).  The Databrary team actively seeks out new potential contributors and datasets, and the team has established partnerships with some of the main scholarly associations in the developmental and learning sciences: the Society for Research in Child Development (SRCD), the International Congress on Infant Studies (ICIS), the Cognitive Development Society (CDS), and the American Educational Research Association (AERA).</w:t>
      </w:r>
    </w:p>
    <w:p>
      <w:pPr>
        <w:pStyle w:val="Normal"/>
        <w:spacing w:lineRule="auto" w:line="480" w:before="0" w:after="0"/>
        <w:rPr/>
      </w:pPr>
      <w:r>
        <w:rPr>
          <w:rFonts w:cs="Times New Roman" w:ascii="Times New Roman" w:hAnsi="Times New Roman"/>
          <w:color w:val="000000"/>
        </w:rPr>
        <w:tab/>
        <w:t xml:space="preserve">Databrary has also attempted to forge a consensus on professional values concerning the questions of what materials to share, when in the research life cycle should materials be shared, who should share, and how one should acknowledge the use of shared data and other materials.  </w:t>
      </w:r>
      <w:del w:id="33" w:author="Unknown Author" w:date="2015-05-20T14:12:00Z">
        <w:r>
          <w:rPr>
            <w:rFonts w:cs="Times New Roman" w:ascii="Times New Roman" w:hAnsi="Times New Roman"/>
            <w:color w:val="000000"/>
          </w:rPr>
          <w:delText>A</w:delText>
        </w:r>
      </w:del>
      <w:ins w:id="34" w:author="Unknown Author" w:date="2015-05-20T14:12:00Z">
        <w:r>
          <w:rPr>
            <w:rFonts w:cs="Times New Roman" w:ascii="Times New Roman" w:hAnsi="Times New Roman"/>
            <w:color w:val="000000"/>
          </w:rPr>
          <w:t>Databrary's</w:t>
        </w:r>
      </w:ins>
      <w:r>
        <w:rPr>
          <w:rFonts w:cs="Times New Roman" w:ascii="Times New Roman" w:hAnsi="Times New Roman"/>
          <w:color w:val="000000"/>
        </w:rPr>
        <w:t xml:space="preserve"> Data Sharing Manifesto (Databrary, 2015b) articulates</w:t>
      </w:r>
      <w:del w:id="35" w:author="Unknown Author" w:date="2015-05-20T14:12:00Z">
        <w:r>
          <w:rPr>
            <w:rFonts w:cs="Times New Roman" w:ascii="Times New Roman" w:hAnsi="Times New Roman"/>
            <w:color w:val="000000"/>
          </w:rPr>
          <w:delText xml:space="preserve"> the project’s philosophy.  It suggests</w:delText>
        </w:r>
      </w:del>
      <w:r>
        <w:rPr>
          <w:rFonts w:cs="Times New Roman" w:ascii="Times New Roman" w:hAnsi="Times New Roman"/>
          <w:color w:val="000000"/>
        </w:rPr>
        <w:t xml:space="preserve"> that </w:t>
      </w:r>
      <w:r>
        <w:rPr>
          <w:rFonts w:cs="Times New Roman" w:ascii="Times New Roman" w:hAnsi="Times New Roman"/>
          <w:i/>
          <w:color w:val="000000"/>
        </w:rPr>
        <w:t>all</w:t>
      </w:r>
      <w:r>
        <w:rPr>
          <w:rFonts w:cs="Times New Roman" w:ascii="Times New Roman" w:hAnsi="Times New Roman"/>
          <w:color w:val="000000"/>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  </w:t>
      </w:r>
      <w:ins w:id="36" w:author="Unknown Author" w:date="2015-05-20T14:12:00Z">
        <w:r>
          <w:rPr>
            <w:rFonts w:cs="Times New Roman" w:ascii="Times New Roman" w:hAnsi="Times New Roman"/>
            <w:color w:val="000000"/>
          </w:rPr>
          <w:t xml:space="preserve">Played out in actual practice, </w:t>
        </w:r>
      </w:ins>
      <w:ins w:id="37" w:author="Unknown Author" w:date="2015-05-20T14:16:00Z">
        <w:r>
          <w:rPr>
            <w:rFonts w:cs="Times New Roman" w:ascii="Times New Roman" w:hAnsi="Times New Roman"/>
            <w:color w:val="000000"/>
          </w:rPr>
          <w:t>addressing</w:t>
        </w:r>
      </w:ins>
      <w:ins w:id="38" w:author="Unknown Author" w:date="2015-05-20T14:13:00Z">
        <w:r>
          <w:rPr>
            <w:rFonts w:cs="Times New Roman" w:ascii="Times New Roman" w:hAnsi="Times New Roman"/>
            <w:color w:val="000000"/>
          </w:rPr>
          <w:t xml:space="preserve"> the needs of researchers as they determine when and what to share, and who shares is an ongoing process that we continue to learn more about.  </w:t>
        </w:r>
      </w:ins>
      <w:ins w:id="39" w:author="Unknown Author" w:date="2015-05-20T14:19:00Z">
        <w:r>
          <w:rPr>
            <w:rFonts w:cs="Times New Roman" w:ascii="Times New Roman" w:hAnsi="Times New Roman"/>
            <w:color w:val="000000"/>
          </w:rPr>
          <w:t xml:space="preserve">Providing the ability for researchers to upload data as the collect it, with the option to share later, is </w:t>
        </w:r>
      </w:ins>
      <w:ins w:id="40" w:author="Unknown Author" w:date="2015-05-20T14:20:00Z">
        <w:r>
          <w:rPr>
            <w:rFonts w:cs="Times New Roman" w:ascii="Times New Roman" w:hAnsi="Times New Roman"/>
            <w:color w:val="000000"/>
          </w:rPr>
          <w:t>valuable for engaging those researchers that are hesitant</w:t>
        </w:r>
      </w:ins>
      <w:ins w:id="41" w:author="Unknown Author" w:date="2015-05-20T14:21:00Z">
        <w:r>
          <w:rPr>
            <w:rFonts w:cs="Times New Roman" w:ascii="Times New Roman" w:hAnsi="Times New Roman"/>
            <w:color w:val="000000"/>
          </w:rPr>
          <w:t xml:space="preserve"> but still committed to sharing.  Additionally, b</w:t>
        </w:r>
      </w:ins>
      <w:ins w:id="42" w:author="Unknown Author" w:date="2015-05-20T14:16:00Z">
        <w:r>
          <w:rPr>
            <w:rFonts w:cs="Times New Roman" w:ascii="Times New Roman" w:hAnsi="Times New Roman"/>
            <w:color w:val="000000"/>
          </w:rPr>
          <w:t xml:space="preserve">uilding tools that not only </w:t>
        </w:r>
      </w:ins>
      <w:ins w:id="43" w:author="Unknown Author" w:date="2015-05-20T14:17:00Z">
        <w:r>
          <w:rPr>
            <w:rFonts w:cs="Times New Roman" w:ascii="Times New Roman" w:hAnsi="Times New Roman"/>
            <w:color w:val="000000"/>
          </w:rPr>
          <w:t>facilitate deposits of research data, but also put a high priority on learning from and reusing the data of others as a community provides a compelling starting point for researchers to know wh</w:t>
        </w:r>
      </w:ins>
      <w:ins w:id="44" w:author="Unknown Author" w:date="2015-05-20T14:18:00Z">
        <w:r>
          <w:rPr>
            <w:rFonts w:cs="Times New Roman" w:ascii="Times New Roman" w:hAnsi="Times New Roman"/>
            <w:color w:val="000000"/>
          </w:rPr>
          <w:t xml:space="preserve">at they might need to provide so that other researchers might understand the data they collected.  </w:t>
        </w:r>
      </w:ins>
      <w:r>
        <w:rPr>
          <w:rFonts w:cs="Times New Roman" w:ascii="Times New Roman" w:hAnsi="Times New Roman"/>
          <w:color w:val="000000"/>
        </w:rPr>
        <w:t>To support proper citation behavior, Databrary provides valid uniform resource identifiers (URIs) in a standard format for datasets as a whole and for subcomponents within them.  The system also connects via persistent identifiers (i.e. Digital Object Identifiers) to publications associated with a dataset.  Library and information science experts have been instrumental in shaping the design and implementation of these features.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Finally, through communication with researchers we learned about the important connections between data privacy requirements, trust in the security of the repository, and a potential contributor’s support for open data sharing.  Databrary has had to create policies and technical systems to protect data privacy and establish trust.  Sharing identifiable research data requires that the Databrary system restrict access to materials on the basis of the permissions granted by individual participants and on the level of sharing a researcher has granted.  Databrary offers several levels of permissions, allowing researchers to share data only with their own lab, in bi-lateral relationships with specific individual Databrary users, with the entire community of authorized Databrary researchers, or in limited cases, with the general public.  Because of this, Databrary staff work closely with data contributors to determine how a dataset’s original distribution restrictions, usually governed by a research ethics board (e.g. IRB), map to Databrary’s access levels.  As such, privacy becomes a significant component in the curation process.</w:t>
      </w:r>
    </w:p>
    <w:p>
      <w:pPr>
        <w:pStyle w:val="Heading3"/>
        <w:spacing w:lineRule="auto" w:line="480" w:before="0" w:after="180"/>
        <w:rPr>
          <w:rFonts w:ascii="Times New Roman" w:hAnsi="Times New Roman" w:cs="Times New Roman"/>
          <w:color w:val="000000"/>
          <w:sz w:val="24"/>
          <w:szCs w:val="24"/>
        </w:rPr>
      </w:pPr>
      <w:bookmarkStart w:id="5" w:name="institutional-positioning"/>
      <w:bookmarkEnd w:id="5"/>
      <w:r>
        <w:rPr>
          <w:rFonts w:cs="Times New Roman" w:ascii="Times New Roman" w:hAnsi="Times New Roman"/>
          <w:color w:val="000000"/>
          <w:sz w:val="24"/>
          <w:szCs w:val="24"/>
        </w:rPr>
        <w:t>Institutional Positioning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has established relations with a diverse “internal” community, as well.  The project relies on several collaborations and partnerships within NYU.  These enable Databrary to navigate swiftly between the University Library and the community of researchers on campus and elsewhere.  The system employs a hybrid technical architecture, developed initially by the NYU Libraries together with the central IT organization.  The Databrary web application uses central IT servers and storage.  The Libraries and central IT, in turn, guarantee the preservation of Databrary collections indefinitely, even if the project funding is interrupted.  This partnership requires that Databrary follow digital preservation best practices, described further below.  This model is new for the Libraries and central IT, but it represents a desired direction for enhanced central support for research data repositories across the University.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Another significant partnership has been with the Office of Sponsored Programs.  Normally, this office does not work closely with projects once funding has been received.  However, in the case of the Databrary project, this office has been an engaged partner, helping to develop new policies for granting access.  The office acts as a model university Authorized Organizational Representative, a role that is critical in the legal and policy framework Databrary developed for sharing between institutions.  Similarly, the General Counsel’s office, ordinarily a strictly administrative office that challenges or defends legal issues, has also been engaged developing the legal and policy framework for inter-institutional sharing.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 document called the Databrary Access Agreement enables inter-institutional sharing (Databrary, 2015c).  This agreement is signed by an authorizing official, commonly referred to as an Authorized Organizational Representative in the U.S. context, or someone that has the authority to affirm the enforcement of research practices on behalf of an institution elsewhere.  This is typically the director of an Office of Sponsored Programs.  Individual researchers may then be authorized by an officer at their institution to access and share data using Databrary.  Researchers agree to treat data from Databrary with the same standards of care and ethical concern that would apply to data they collect themselves, to respect the desired release preferences of people depicted in data they contribute to Databrary, and to supervise the use of Databrary materials by students or staff under their guidance.  The agreement permits both access to the data and, with ethics board approval, contributions.  To our knowledge, this combination of privileges makes the agreement novel, and like other aspects of the Databrary project, it emerged as a way to reduce barriers to sharing that the team discovered in engaging with the target scholarly community.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By bringing together and creating collaborations among various administrative entities in new ways, Databrary has also influenced university administrative processes themselves.  These relationships were envisioned from the start, with the collaborating units participating in conversations even before proposal writing began.</w:t>
      </w:r>
    </w:p>
    <w:p>
      <w:pPr>
        <w:pStyle w:val="Heading3"/>
        <w:spacing w:lineRule="auto" w:line="480" w:before="0" w:after="180"/>
        <w:rPr>
          <w:rFonts w:ascii="Times New Roman" w:hAnsi="Times New Roman" w:cs="Times New Roman"/>
          <w:color w:val="000000"/>
          <w:sz w:val="24"/>
          <w:szCs w:val="24"/>
        </w:rPr>
      </w:pPr>
      <w:bookmarkStart w:id="6" w:name="curation"/>
      <w:bookmarkEnd w:id="6"/>
      <w:r>
        <w:rPr>
          <w:rFonts w:cs="Times New Roman" w:ascii="Times New Roman" w:hAnsi="Times New Roman"/>
          <w:color w:val="000000"/>
          <w:sz w:val="24"/>
          <w:szCs w:val="24"/>
        </w:rPr>
        <w:t>Curation</w:t>
      </w:r>
    </w:p>
    <w:p>
      <w:pPr>
        <w:pStyle w:val="Normal"/>
        <w:spacing w:lineRule="auto" w:line="480" w:before="0" w:after="0"/>
        <w:rPr/>
      </w:pPr>
      <w:r>
        <w:rPr>
          <w:rFonts w:cs="Times New Roman" w:ascii="Times New Roman" w:hAnsi="Times New Roman"/>
          <w:color w:val="000000"/>
        </w:rPr>
        <w:tab/>
      </w:r>
      <w:ins w:id="45" w:author="Unknown Author" w:date="2015-05-20T12:15:00Z">
        <w:r>
          <w:rPr>
            <w:rFonts w:cs="Times New Roman" w:ascii="Times New Roman" w:hAnsi="Times New Roman"/>
            <w:color w:val="000000"/>
          </w:rPr>
          <w:t>T</w:t>
        </w:r>
      </w:ins>
      <w:del w:id="46" w:author="Unknown Author" w:date="2015-05-20T12:15:00Z">
        <w:r>
          <w:rPr>
            <w:rFonts w:cs="Times New Roman" w:ascii="Times New Roman" w:hAnsi="Times New Roman"/>
            <w:color w:val="000000"/>
          </w:rPr>
          <w:delText>Of course, t</w:delText>
        </w:r>
      </w:del>
      <w:r>
        <w:rPr>
          <w:rFonts w:cs="Times New Roman" w:ascii="Times New Roman" w:hAnsi="Times New Roman"/>
          <w:color w:val="000000"/>
        </w:rPr>
        <w:t xml:space="preserve">he main purpose of Databrary’s community outreach efforts, internal partnerships, and policy framework is to secure data deposits.  Databrary supports </w:t>
      </w:r>
      <w:ins w:id="47" w:author="Unknown Author" w:date="2015-05-20T13:24:00Z">
        <w:r>
          <w:rPr>
            <w:rFonts w:cs="Times New Roman" w:ascii="Times New Roman" w:hAnsi="Times New Roman"/>
            <w:color w:val="000000"/>
          </w:rPr>
          <w:t>'</w:t>
        </w:r>
      </w:ins>
      <w:del w:id="48" w:author="Unknown Author" w:date="2015-05-20T13:24:00Z">
        <w:r>
          <w:rPr>
            <w:rFonts w:cs="Times New Roman" w:ascii="Times New Roman" w:hAnsi="Times New Roman"/>
            <w:color w:val="000000"/>
          </w:rPr>
          <w:delText>‘</w:delText>
        </w:r>
      </w:del>
      <w:r>
        <w:rPr>
          <w:rFonts w:cs="Times New Roman" w:ascii="Times New Roman" w:hAnsi="Times New Roman"/>
          <w:color w:val="000000"/>
        </w:rPr>
        <w:t>after-the-fact</w:t>
      </w:r>
      <w:ins w:id="49" w:author="Unknown Author" w:date="2015-05-20T13:24:00Z">
        <w:r>
          <w:rPr>
            <w:rFonts w:cs="Times New Roman" w:ascii="Times New Roman" w:hAnsi="Times New Roman"/>
            <w:color w:val="000000"/>
          </w:rPr>
          <w:t>'</w:t>
        </w:r>
      </w:ins>
      <w:del w:id="50"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and </w:t>
      </w:r>
      <w:ins w:id="51" w:author="Unknown Author" w:date="2015-05-20T13:24:00Z">
        <w:r>
          <w:rPr>
            <w:rFonts w:cs="Times New Roman" w:ascii="Times New Roman" w:hAnsi="Times New Roman"/>
            <w:color w:val="000000"/>
          </w:rPr>
          <w:t>'</w:t>
        </w:r>
      </w:ins>
      <w:del w:id="52" w:author="Unknown Author" w:date="2015-05-20T13:24:00Z">
        <w:r>
          <w:rPr>
            <w:rFonts w:cs="Times New Roman" w:ascii="Times New Roman" w:hAnsi="Times New Roman"/>
            <w:color w:val="000000"/>
          </w:rPr>
          <w:delText>‘</w:delText>
        </w:r>
      </w:del>
      <w:r>
        <w:rPr>
          <w:rFonts w:cs="Times New Roman" w:ascii="Times New Roman" w:hAnsi="Times New Roman"/>
          <w:color w:val="000000"/>
        </w:rPr>
        <w:t>active</w:t>
      </w:r>
      <w:ins w:id="53" w:author="Unknown Author" w:date="2015-05-20T13:25:00Z">
        <w:r>
          <w:rPr>
            <w:rFonts w:cs="Times New Roman" w:ascii="Times New Roman" w:hAnsi="Times New Roman"/>
            <w:color w:val="000000"/>
          </w:rPr>
          <w:t>'</w:t>
        </w:r>
      </w:ins>
      <w:del w:id="54" w:author="Unknown Author" w:date="2015-05-20T13:24:00Z">
        <w:r>
          <w:rPr>
            <w:rFonts w:cs="Times New Roman" w:ascii="Times New Roman" w:hAnsi="Times New Roman"/>
            <w:color w:val="000000"/>
          </w:rPr>
          <w:delText>’</w:delText>
        </w:r>
      </w:del>
      <w:r>
        <w:rPr>
          <w:rFonts w:cs="Times New Roman" w:ascii="Times New Roman" w:hAnsi="Times New Roman"/>
          <w:color w:val="000000"/>
        </w:rPr>
        <w:t xml:space="preserve"> curation</w:t>
      </w:r>
      <w:ins w:id="55" w:author="Unknown Author" w:date="2015-05-20T12:20:00Z">
        <w:r>
          <w:rPr>
            <w:rFonts w:cs="Times New Roman" w:ascii="Times New Roman" w:hAnsi="Times New Roman"/>
            <w:color w:val="000000"/>
          </w:rPr>
          <w:t xml:space="preserve"> or what Giarlo (2013) refers to as 'post hoc' and 'sheer curation', respectively</w:t>
        </w:r>
      </w:ins>
      <w:r>
        <w:rPr>
          <w:rFonts w:cs="Times New Roman" w:ascii="Times New Roman" w:hAnsi="Times New Roman"/>
          <w:color w:val="000000"/>
        </w:rPr>
        <w:t xml:space="preserve">.  After-the-fact curation consists of ingesting datasets after data collection has been completed, typically after all study products (research papers, analyses, etc.) have been created.  After-the-fact curation nearly always involves significant assistance and effort from a library and information science professional </w:t>
      </w:r>
      <w:del w:id="56" w:author="Unknown Author" w:date="2015-05-20T13:25:00Z">
        <w:r>
          <w:rPr>
            <w:rFonts w:cs="Times New Roman" w:ascii="Times New Roman" w:hAnsi="Times New Roman"/>
            <w:color w:val="000000"/>
          </w:rPr>
          <w:delText>and</w:delText>
        </w:r>
      </w:del>
      <w:ins w:id="57" w:author="Unknown Author" w:date="2015-05-20T13:25:00Z">
        <w:r>
          <w:rPr>
            <w:rFonts w:cs="Times New Roman" w:ascii="Times New Roman" w:hAnsi="Times New Roman"/>
            <w:color w:val="000000"/>
          </w:rPr>
          <w:t>as well as</w:t>
        </w:r>
      </w:ins>
      <w:r>
        <w:rPr>
          <w:rFonts w:cs="Times New Roman" w:ascii="Times New Roman" w:hAnsi="Times New Roman"/>
          <w:color w:val="000000"/>
        </w:rPr>
        <w:t xml:space="preserve"> time and energy on the part of the original researcher to convey the essential aspects of their dataset for ingestion.  Active curation involves tools</w:t>
      </w:r>
      <w:ins w:id="58" w:author="Unknown Author" w:date="2015-05-20T13:25:00Z">
        <w:r>
          <w:rPr>
            <w:rFonts w:cs="Times New Roman" w:ascii="Times New Roman" w:hAnsi="Times New Roman"/>
            <w:color w:val="000000"/>
          </w:rPr>
          <w:t xml:space="preserve"> built into Databrary</w:t>
        </w:r>
      </w:ins>
      <w:r>
        <w:rPr>
          <w:rFonts w:cs="Times New Roman" w:ascii="Times New Roman" w:hAnsi="Times New Roman"/>
          <w:color w:val="000000"/>
        </w:rPr>
        <w:t xml:space="preserve"> that enable researchers to organize and manage their raw data and metadata in the midst of its collection.  Databrary has built a user interface that allows researchers to enter study metadata and upload their videos after each data collection.  Making active curation a regular part of a researcher’s workflow then makes sharing a quick and final step.</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Every data repository faces the problem of defining a metadata schema that will accept a wide variety of datasets while adding a level of standardization that allows deposits to be easily searched (Hourclé, 2008; Orchard, 2014).  The Databrary team learned early on that requiring only a minimal amount of metadata was preferable to making exhaustive data descriptions mandatory.  The latter burdens researchers, reducing their incentive to participate.  Moreover, the developmental and learning sciences community supports a diverse range of research topics, and with few exceptions, no common metadata ontologies have emerged.  As a result, Databrary chose to create a system that defines minimum requirements for metadata, but supports the addition of information beyond that minimum even after a dataset has been deposited.  This approach standardizes the internal representation of datasets while facilitating discovery and sharing from the outset.  We think it also lays a foundation for the emergence of stricter metadata standards as they achieve consensus within the user community.</w:t>
      </w:r>
      <w:bookmarkStart w:id="7" w:name="after-the-fact-curation"/>
      <w:bookmarkEnd w:id="7"/>
      <w:r>
        <w:rPr>
          <w:rFonts w:cs="Times New Roman" w:ascii="Times New Roman" w:hAnsi="Times New Roman"/>
          <w:color w:val="000000"/>
        </w:rPr>
        <w:tab/>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r>
      <w:r>
        <w:rPr>
          <w:rFonts w:cs="Times New Roman" w:ascii="Times New Roman" w:hAnsi="Times New Roman"/>
          <w:b/>
          <w:bCs/>
          <w:color w:val="000000"/>
        </w:rPr>
        <w:t>After-the-fact curation.</w:t>
      </w:r>
      <w:r>
        <w:rPr>
          <w:rFonts w:cs="Times New Roman" w:ascii="Times New Roman" w:hAnsi="Times New Roman"/>
          <w:color w:val="000000"/>
        </w:rPr>
        <w:t xml:space="preserve">  Communication with researchers remains a key component in the curation of data they have already collected.  This includes mostly video data from a study that completed recently, but also video data that had been collected many years or decades ago and has been stored archivally.  Databrary staff discuss datasets with researchers planning on making contributions early in the curation process.  Frequent communication with researchers helps the Databrary staff understand how target contributors envision the representation of their data inside the repository.  These discussions also inform the ongoing development of the metadata schema, ensuring that it continues to meet the diverse needs of a wide range of individual labs.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Databrary’s model for seeking permission to share data is new, most data eligible for after-the-fact curation were gathered under a different set of provisions.  So, communication between Databrary staff and the researcher helps forge a mutual understanding about how to interpret pre-existing restrictions in a way compatible with Databrary’s policies and ethical principles.  Indeed, access restrictions are themselves essential metadata.  Because access restrictions apply to the study level, session level (i.e. analytic units within studies), and individual file levels, gathering them constitutes a non-trivial curation effort.  However, the problems encountered in, and solved by, curating each new dataset informs the process of curating new contributions.  Finally, embedded library staff collaborate with colleagues who have content domain knowledge to ensure the quality and organization of all ingested data.</w:t>
      </w:r>
    </w:p>
    <w:p>
      <w:pPr>
        <w:pStyle w:val="Normal"/>
        <w:spacing w:lineRule="auto" w:line="480" w:before="0" w:after="0"/>
        <w:rPr/>
      </w:pPr>
      <w:r>
        <w:rPr>
          <w:rFonts w:cs="Times New Roman" w:ascii="Times New Roman" w:hAnsi="Times New Roman"/>
          <w:color w:val="000000"/>
        </w:rPr>
        <w:tab/>
        <w:t xml:space="preserve">Once a dataset has been approved for ingesting and the contributor has been authorized for access, staff begin to gather, organize, and prepare the data.  </w:t>
      </w:r>
      <w:ins w:id="59" w:author="Unknown Author" w:date="2015-05-20T13:31:00Z">
        <w:r>
          <w:rPr>
            <w:rFonts w:cs="Times New Roman" w:ascii="Times New Roman" w:hAnsi="Times New Roman"/>
            <w:color w:val="000000"/>
          </w:rPr>
          <w:t>S</w:t>
        </w:r>
      </w:ins>
      <w:del w:id="60" w:author="Unknown Author" w:date="2015-05-20T13:31:00Z">
        <w:r>
          <w:rPr>
            <w:rFonts w:cs="Times New Roman" w:ascii="Times New Roman" w:hAnsi="Times New Roman"/>
            <w:color w:val="000000"/>
          </w:rPr>
          <w:delText>Occasionally, s</w:delText>
        </w:r>
      </w:del>
      <w:r>
        <w:rPr>
          <w:rFonts w:cs="Times New Roman" w:ascii="Times New Roman" w:hAnsi="Times New Roman"/>
          <w:color w:val="000000"/>
        </w:rPr>
        <w:t xml:space="preserve">taff will review data for personal information Databrary does not wish to upload, such as </w:t>
      </w:r>
      <w:ins w:id="61" w:author="Unknown Author" w:date="2015-05-20T13:31:00Z">
        <w:r>
          <w:rPr>
            <w:rFonts w:cs="Times New Roman" w:ascii="Times New Roman" w:hAnsi="Times New Roman"/>
            <w:color w:val="000000"/>
          </w:rPr>
          <w:t xml:space="preserve">recording of </w:t>
        </w:r>
      </w:ins>
      <w:r>
        <w:rPr>
          <w:rFonts w:cs="Times New Roman" w:ascii="Times New Roman" w:hAnsi="Times New Roman"/>
          <w:color w:val="000000"/>
        </w:rPr>
        <w:t>residential addresses or Social Security numbers.  In the case of older video collections, where relevant metadata may have been lost or never documented, staff also review videos for any relevant metadata related to participant tasks or conditions.  In these circumstances, staff with expertise in library science and in behavioral science work side by side.</w:t>
      </w:r>
    </w:p>
    <w:p>
      <w:pPr>
        <w:pStyle w:val="Normal"/>
        <w:spacing w:lineRule="auto" w:line="480" w:before="0" w:after="0"/>
        <w:rPr/>
      </w:pPr>
      <w:r>
        <w:rPr>
          <w:rFonts w:cs="Times New Roman" w:ascii="Times New Roman" w:hAnsi="Times New Roman"/>
          <w:color w:val="000000"/>
        </w:rPr>
        <w:tab/>
        <w:t xml:space="preserve">Finally, once all the metadata have been organized into a set of comma-separated value (CSV) files, and video files have been uploaded to a staging server for ingest, a set of server scripts merge the metadata into a JSON file which is then </w:t>
      </w:r>
      <w:del w:id="62" w:author="Unknown Author" w:date="2015-05-20T13:32:00Z">
        <w:r>
          <w:rPr>
            <w:rFonts w:cs="Times New Roman" w:ascii="Times New Roman" w:hAnsi="Times New Roman"/>
            <w:color w:val="000000"/>
          </w:rPr>
          <w:delText>uploaded</w:delText>
        </w:r>
      </w:del>
      <w:ins w:id="63" w:author="Unknown Author" w:date="2015-05-20T13:32:00Z">
        <w:r>
          <w:rPr>
            <w:rFonts w:cs="Times New Roman" w:ascii="Times New Roman" w:hAnsi="Times New Roman"/>
            <w:color w:val="000000"/>
          </w:rPr>
          <w:t>submitted</w:t>
        </w:r>
      </w:ins>
      <w:r>
        <w:rPr>
          <w:rFonts w:cs="Times New Roman" w:ascii="Times New Roman" w:hAnsi="Times New Roman"/>
          <w:color w:val="000000"/>
        </w:rPr>
        <w:t xml:space="preserve"> via the web application.  This initiates the uploading of the video assets, the creation of research sessions and records, video transcoding</w:t>
      </w:r>
      <w:del w:id="64" w:author="Unknown Author" w:date="2015-05-22T11:18:00Z">
        <w:r>
          <w:rPr>
            <w:rFonts w:cs="Times New Roman" w:ascii="Times New Roman" w:hAnsi="Times New Roman"/>
            <w:color w:val="000000"/>
          </w:rPr>
          <w:delText xml:space="preserve"> into</w:delText>
        </w:r>
      </w:del>
      <w:del w:id="65" w:author="Unknown Author" w:date="2015-05-20T13:32:00Z">
        <w:r>
          <w:rPr>
            <w:rFonts w:cs="Times New Roman" w:ascii="Times New Roman" w:hAnsi="Times New Roman"/>
            <w:color w:val="000000"/>
          </w:rPr>
          <w:delText xml:space="preserve"> </w:delText>
        </w:r>
      </w:del>
      <w:ins w:id="66" w:author="Unknown Author" w:date="2015-05-22T11:18:00Z">
        <w:r>
          <w:rPr>
            <w:rFonts w:cs="Times New Roman" w:ascii="Times New Roman" w:hAnsi="Times New Roman"/>
            <w:color w:val="000000"/>
          </w:rPr>
          <w:t>to</w:t>
        </w:r>
      </w:ins>
      <w:del w:id="67" w:author="Unknown Author" w:date="2015-05-20T13:32:00Z">
        <w:r>
          <w:rPr>
            <w:rFonts w:cs="Times New Roman" w:ascii="Times New Roman" w:hAnsi="Times New Roman"/>
            <w:color w:val="000000"/>
          </w:rPr>
          <w:delText>to</w:delText>
        </w:r>
      </w:del>
      <w:r>
        <w:rPr>
          <w:rFonts w:cs="Times New Roman" w:ascii="Times New Roman" w:hAnsi="Times New Roman"/>
          <w:color w:val="000000"/>
        </w:rPr>
        <w:t xml:space="preserve"> a standard format, and clipping of video assets to remove identifying information where specified in the ingest script.  After upload, the original and resulting video assets are stored on the long-term preservation location within NYU’s ITS data centers as described below.</w:t>
      </w:r>
    </w:p>
    <w:p>
      <w:pPr>
        <w:pStyle w:val="Normal"/>
        <w:spacing w:lineRule="auto" w:line="480" w:before="0" w:after="0"/>
        <w:rPr/>
      </w:pPr>
      <w:r>
        <w:rPr>
          <w:rFonts w:cs="Times New Roman" w:ascii="Times New Roman" w:hAnsi="Times New Roman"/>
          <w:color w:val="000000"/>
        </w:rPr>
        <w:tab/>
      </w:r>
      <w:r>
        <w:rPr>
          <w:rFonts w:cs="Times New Roman" w:ascii="Times New Roman" w:hAnsi="Times New Roman"/>
          <w:b/>
          <w:bCs/>
          <w:color w:val="000000"/>
        </w:rPr>
        <w:t>Active curation.</w:t>
      </w:r>
      <w:r>
        <w:rPr>
          <w:rFonts w:cs="Times New Roman" w:ascii="Times New Roman" w:hAnsi="Times New Roman"/>
          <w:color w:val="000000"/>
        </w:rPr>
        <w:t xml:space="preserve">  The curation of data well after its collection requires significant resources.  Moreover, Databrary staff learned early on that many researchers balk at the prospect of preparing data for sharing once a study has ended.  </w:t>
      </w:r>
      <w:ins w:id="68" w:author="Unknown Author" w:date="2015-05-20T14:44:00Z">
        <w:r>
          <w:rPr>
            <w:rFonts w:cs="Times New Roman" w:ascii="Times New Roman" w:hAnsi="Times New Roman"/>
            <w:color w:val="000000"/>
          </w:rPr>
          <w:t>This is understandable considering that re</w:t>
        </w:r>
      </w:ins>
      <w:ins w:id="69" w:author="Unknown Author" w:date="2015-05-20T14:45:00Z">
        <w:r>
          <w:rPr>
            <w:rFonts w:cs="Times New Roman" w:ascii="Times New Roman" w:hAnsi="Times New Roman"/>
            <w:color w:val="000000"/>
          </w:rPr>
          <w:t xml:space="preserve">searchers who invest a lot of time in interpretting and processing their data are less likely to share (Borgman, 2012) and that after-the-fact data curation does not scale well (Giarlo, 2013).  </w:t>
        </w:r>
      </w:ins>
      <w:del w:id="70" w:author="Unknown Author" w:date="2015-05-20T13:43:00Z">
        <w:r>
          <w:rPr>
            <w:rFonts w:cs="Times New Roman" w:ascii="Times New Roman" w:hAnsi="Times New Roman"/>
            <w:color w:val="000000"/>
          </w:rPr>
          <w:delText>Data sharing has few concrete rewards relative to other scholarly activities.  Thus, while providing expertise to assist with after-the-fact data curation reduces barriers to sharing, the time commitment required of the researcher remains a substantial deterrent.</w:delText>
        </w:r>
      </w:del>
      <w:r>
        <w:rPr>
          <w:rFonts w:cs="Times New Roman" w:ascii="Times New Roman" w:hAnsi="Times New Roman"/>
          <w:color w:val="000000"/>
        </w:rPr>
        <w:t xml:space="preserve">  </w:t>
      </w:r>
      <w:del w:id="71" w:author="Unknown Author" w:date="2015-05-20T13:44:00Z">
        <w:r>
          <w:rPr>
            <w:rFonts w:cs="Times New Roman" w:ascii="Times New Roman" w:hAnsi="Times New Roman"/>
            <w:color w:val="000000"/>
          </w:rPr>
          <w:delText xml:space="preserve">Further, </w:delText>
        </w:r>
      </w:del>
      <w:r>
        <w:rPr>
          <w:rFonts w:cs="Times New Roman" w:ascii="Times New Roman" w:hAnsi="Times New Roman"/>
          <w:color w:val="000000"/>
        </w:rPr>
        <w:t>Databrary’s founders envisioned the site as more than a passive repository, but as an active community where users browse, comment on, excerpt, cite, modify, deposit, and reuse data.  Realizing this vision meant that Databrary needed to provide tools that assist with managing and preserving research data from early on in the research life cycle.  In order to be useful, the tools would have to reflect what we observed to be common practices for researchers in data collection and management.</w:t>
      </w:r>
    </w:p>
    <w:p>
      <w:pPr>
        <w:pStyle w:val="Normal"/>
        <w:spacing w:lineRule="auto" w:line="480" w:before="0" w:after="0"/>
        <w:rPr/>
      </w:pPr>
      <w:r>
        <w:rPr>
          <w:rFonts w:cs="Times New Roman" w:ascii="Times New Roman" w:hAnsi="Times New Roman"/>
          <w:color w:val="000000"/>
        </w:rPr>
        <w:tab/>
        <w:t xml:space="preserve">The team incorporated insights drawn from observations of data management practices in a sample of laboratories.  From them we created a set of data management features that empower researchers </w:t>
      </w:r>
      <w:del w:id="72" w:author="Unknown Author" w:date="2015-05-22T11:19:00Z">
        <w:r>
          <w:rPr>
            <w:rFonts w:cs="Times New Roman" w:ascii="Times New Roman" w:hAnsi="Times New Roman"/>
            <w:color w:val="000000"/>
          </w:rPr>
          <w:delText>to</w:delText>
        </w:r>
      </w:del>
      <w:r>
        <w:rPr>
          <w:rFonts w:cs="Times New Roman" w:ascii="Times New Roman" w:hAnsi="Times New Roman"/>
          <w:color w:val="000000"/>
        </w:rPr>
        <w:t xml:space="preserve"> </w:t>
      </w:r>
      <w:del w:id="73" w:author="Unknown Author" w:date="2015-05-20T14:46:00Z">
        <w:r>
          <w:rPr>
            <w:rFonts w:cs="Times New Roman" w:ascii="Times New Roman" w:hAnsi="Times New Roman"/>
            <w:i/>
            <w:color w:val="000000"/>
          </w:rPr>
          <w:delText>actively curate</w:delText>
        </w:r>
      </w:del>
      <w:del w:id="74" w:author="Unknown Author" w:date="2015-05-20T14:46:00Z">
        <w:r>
          <w:rPr>
            <w:rFonts w:cs="Times New Roman" w:ascii="Times New Roman" w:hAnsi="Times New Roman"/>
            <w:color w:val="000000"/>
          </w:rPr>
          <w:delText xml:space="preserve"> their own projects – </w:delText>
        </w:r>
      </w:del>
      <w:r>
        <w:rPr>
          <w:rFonts w:cs="Times New Roman" w:ascii="Times New Roman" w:hAnsi="Times New Roman"/>
          <w:color w:val="000000"/>
        </w:rPr>
        <w:t>to upload data with accompanying metadata</w:t>
      </w:r>
      <w:del w:id="75" w:author="Unknown Author" w:date="2015-05-20T14:46:00Z">
        <w:r>
          <w:rPr>
            <w:rFonts w:cs="Times New Roman" w:ascii="Times New Roman" w:hAnsi="Times New Roman"/>
            <w:color w:val="000000"/>
          </w:rPr>
          <w:delText xml:space="preserve"> –</w:delText>
        </w:r>
      </w:del>
      <w:r>
        <w:rPr>
          <w:rFonts w:cs="Times New Roman" w:ascii="Times New Roman" w:hAnsi="Times New Roman"/>
          <w:color w:val="000000"/>
        </w:rPr>
        <w:t xml:space="preserve"> as each study unfolds.  We have designed and implemented a spreadsheet interface (see Figure 1) for entering, editing, and viewing session-level metadata (e.g. participants, conditions of study, tasks in the experiment, session access levels, study groups etc.).  Most researchers use desktop spreadsheets for precisely this purpose in their own labs, making the interface and functionality transparent to users.  We have also implemented a timeline for uploading, viewing, and tagging video assets related to sessions.  The timeline view is designed to look and operate like video editing software commonly used in many research labs (see Figure 2).  It allows users to upload video files, position them to reflect the temporal order of each component of data collection, and annotate video sections with user-generated tags.  These tags become additional metadata indices for search and discovery.  Databrary’s staff continue to refine the active curation features on the basis of user feedback.</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INSERT FIGURE 1 ABOUT HERE [</w:t>
      </w:r>
      <w:r>
        <w:rPr>
          <w:rFonts w:ascii="Times New Roman" w:hAnsi="Times New Roman"/>
        </w:rPr>
        <w:t>Figure 1: This depicts the spreadsheet metadata interface for one of the datasets hosted by Databrary (Fabricius, 2014).  For transparency purposes, Databrary exposes as much metadata about a study as possible without sharing sensitive or identifiable information.</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INSERT FIGURE 2 ABOUT HERE [</w:t>
      </w:r>
      <w:r>
        <w:rPr>
          <w:rFonts w:ascii="Times New Roman" w:hAnsi="Times New Roman"/>
        </w:rPr>
        <w:t xml:space="preserve">Figure 2: This depicts the timeline for one of the sessions in a dataset hosted by Databrary (Fabricius, 2014).  This session has been shared with the Databrary community, but not with the public. </w:t>
      </w:r>
      <w:ins w:id="76" w:author="Unknown Author" w:date="2015-05-20T13:45:00Z">
        <w:r>
          <w:rPr>
            <w:rFonts w:ascii="Times New Roman" w:hAnsi="Times New Roman"/>
          </w:rPr>
          <w:t xml:space="preserve"> </w:t>
        </w:r>
      </w:ins>
      <w:del w:id="77" w:author="Unknown Author" w:date="2015-05-20T13:45:00Z">
        <w:r>
          <w:rPr>
            <w:rFonts w:ascii="Times New Roman" w:hAnsi="Times New Roman"/>
          </w:rPr>
          <w:delText> </w:delText>
        </w:r>
      </w:del>
      <w:r>
        <w:rPr>
          <w:rFonts w:ascii="Times New Roman" w:hAnsi="Times New Roman"/>
        </w:rPr>
        <w:t>Still images from the video are hidden and a warning message shown.  Authorized users would be able to view, download, and tag the video.</w:t>
      </w:r>
      <w:r>
        <w:rPr>
          <w:rFonts w:cs="Times New Roman" w:ascii="Times New Roman" w:hAnsi="Times New Roman"/>
          <w:color w:val="000000"/>
        </w:rPr>
        <w:t>]</w:t>
      </w:r>
    </w:p>
    <w:p>
      <w:pPr>
        <w:pStyle w:val="Normal"/>
        <w:spacing w:lineRule="auto" w:line="480" w:before="0" w:after="0"/>
        <w:rPr/>
      </w:pPr>
      <w:r>
        <w:rPr>
          <w:rFonts w:cs="Times New Roman" w:ascii="Times New Roman" w:hAnsi="Times New Roman"/>
          <w:color w:val="000000"/>
        </w:rPr>
        <w:tab/>
      </w:r>
      <w:del w:id="78" w:author="Unknown Author" w:date="2015-05-20T13:46:00Z">
        <w:r>
          <w:rPr>
            <w:rFonts w:cs="Times New Roman" w:ascii="Times New Roman" w:hAnsi="Times New Roman"/>
            <w:color w:val="000000"/>
          </w:rPr>
          <w:delText xml:space="preserve">Active curation distinguishes Databrary from most repositories.  </w:delText>
        </w:r>
      </w:del>
      <w:r>
        <w:rPr>
          <w:rFonts w:cs="Times New Roman" w:ascii="Times New Roman" w:hAnsi="Times New Roman"/>
          <w:color w:val="000000"/>
        </w:rPr>
        <w:t xml:space="preserve">The decision to make active curation a priority emerged from Databrary’s focus on reducing the barriers to data sharing faced by its target research field.  The insight that the observational session is a basic analytic unit of behavioral science (Bakeman &amp; Quera, 2012) inspired the decision to create a spreadsheet interface that focuses on </w:t>
      </w:r>
      <w:ins w:id="79" w:author="Unknown Author" w:date="2015-05-20T14:47:00Z">
        <w:r>
          <w:rPr>
            <w:rFonts w:cs="Times New Roman" w:ascii="Times New Roman" w:hAnsi="Times New Roman"/>
            <w:color w:val="000000"/>
          </w:rPr>
          <w:t xml:space="preserve">these </w:t>
        </w:r>
      </w:ins>
      <w:r>
        <w:rPr>
          <w:rFonts w:cs="Times New Roman" w:ascii="Times New Roman" w:hAnsi="Times New Roman"/>
          <w:color w:val="000000"/>
        </w:rPr>
        <w:t>sessions.  Employing a timeline for the display and management of video assets draws inspiration from desktop coding tools like Datavyu, Mangold Interact, and Noldus Observer, which many researchers in developmental science use to code videos for behaviors of interest.  Accordingly, achieving a deep familiarity with the practices of researchers in the target domain enabled Databrary staff to create a representational model for data that most researchers understand and a data management workflow similar to existing practices, but strengthened by being web-based.  Moreover, we anticipate that the use of a standard metadata tool will contribute to the harmonization of metadata tags and greater standardization of data management practices, including, as mentioned previously, the possibility of standardized ontologies.  If it works as intended, active curation will reduce significant barriers to sharing, and as a result, it will accelerate the pace of contributions and the growth in new investigators.</w:t>
      </w:r>
    </w:p>
    <w:p>
      <w:pPr>
        <w:pStyle w:val="Heading3"/>
        <w:spacing w:lineRule="auto" w:line="480" w:before="0" w:after="180"/>
        <w:rPr>
          <w:rFonts w:ascii="Times New Roman" w:hAnsi="Times New Roman" w:cs="Times New Roman"/>
          <w:color w:val="000000"/>
          <w:sz w:val="24"/>
          <w:szCs w:val="24"/>
        </w:rPr>
      </w:pPr>
      <w:bookmarkStart w:id="8" w:name="technical-infrastructure"/>
      <w:bookmarkEnd w:id="8"/>
      <w:r>
        <w:rPr>
          <w:rFonts w:cs="Times New Roman" w:ascii="Times New Roman" w:hAnsi="Times New Roman"/>
          <w:color w:val="000000"/>
          <w:sz w:val="24"/>
          <w:szCs w:val="24"/>
        </w:rPr>
        <w:t>Technical Infrastructure</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Since many of the system requirements for Databrary were novel and specific to the particular target domain, the team opted to build a new application rather than adapt an existing tool.  The result is an open-source (Github, 2015) web application built in Scala on the Play Framework to support a responsive user interface, a complete application program interface (API), and high-performance streaming.  The backend is a PostgreSQL relational database.  The user interface is built primarily on the AngularJS JavaScript framework, and all data access is performed through an open JSON API.</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NYU Libraries have played a critical role in advising the development team about storage and computing technologies available within the NYU IT system, and in helping negotiate access to and cost-models for IT services.  As part of the curation process, Databrary stores at least two versions of each item of Databrary video content: a copy for access, and the received original file if it was digital, or a 10-bit YUV digital preservation copy if the original version was not digital.  Currently, the access version format is H.264 (HiP) with AAC audio in an MPEG-4 container, although we expect the appropriate video formats to change over time, as has been the case with many digital video formats in recent years.  The system uses NYU’s high performance computing (HPC) cluster to transcode videos upon ingest using ffmpeg.</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preservation, the original file (if digital) or the preservation copy will be stored in a long-term preservation repository managed jointly by the NYU Libraries and the central Information Technology Services (ITS) unit.  This repository ensures that each content item has a METS structural metadata file that associates the digital asset with its metadata.  It stores files in two mirrored and geographically distributed locations, and a third copy on offsite tape; it performs regular fixity checks; and it provides a format migration capacity, in the event that a stored format becomes at-risk of obsolescence.</w:t>
      </w:r>
    </w:p>
    <w:p>
      <w:pPr>
        <w:pStyle w:val="Heading2"/>
        <w:spacing w:lineRule="auto" w:line="480" w:before="0" w:after="180"/>
        <w:jc w:val="center"/>
        <w:rPr>
          <w:rFonts w:ascii="Times New Roman" w:hAnsi="Times New Roman" w:cs="Times New Roman"/>
          <w:color w:val="000000"/>
          <w:sz w:val="24"/>
          <w:szCs w:val="24"/>
        </w:rPr>
      </w:pPr>
      <w:bookmarkStart w:id="9" w:name="next-steps"/>
      <w:bookmarkEnd w:id="9"/>
      <w:r>
        <w:rPr>
          <w:rFonts w:cs="Times New Roman" w:ascii="Times New Roman" w:hAnsi="Times New Roman"/>
          <w:color w:val="000000"/>
          <w:sz w:val="24"/>
          <w:szCs w:val="24"/>
        </w:rPr>
        <w:t>Next Steps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 Databrary team continues to build upon the lessons learned during the project’s design and initial roll-out.  Priorities for the next several years include better understanding the needs of other scholarly domains, improving active curation capabilities, developing feature enhancements, more extensive integration with other services, and planning for long-term sustainability.</w:t>
      </w:r>
    </w:p>
    <w:p>
      <w:pPr>
        <w:pStyle w:val="Heading3"/>
        <w:spacing w:lineRule="auto" w:line="480" w:before="0" w:after="180"/>
        <w:rPr>
          <w:rFonts w:ascii="Times New Roman" w:hAnsi="Times New Roman" w:cs="Times New Roman"/>
          <w:color w:val="000000"/>
          <w:sz w:val="24"/>
          <w:szCs w:val="24"/>
        </w:rPr>
      </w:pPr>
      <w:bookmarkStart w:id="10" w:name="understand-needs-of-other-scholarly-doma"/>
      <w:bookmarkEnd w:id="10"/>
      <w:r>
        <w:rPr>
          <w:rFonts w:cs="Times New Roman" w:ascii="Times New Roman" w:hAnsi="Times New Roman"/>
          <w:color w:val="000000"/>
          <w:sz w:val="24"/>
          <w:szCs w:val="24"/>
        </w:rPr>
        <w:t>Understand Needs of Other Scholarly Domains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Databrary plans to expand the scope of the library to encompass other scholarly domains.  We know that researchers in other fields of the social, behavioral, and learning sciences – education, cognitive and social psychology, sport science and kinesiology, ethology, anthropology, linguistics, communication sciences, and political science – use video.  Databrary will continue to cultivate partnerships with researchers and with professional societies representing other fields that employ video.  We find that conversations with researchers in different domains highlight differences in curation and data management practices across fields.  Such conversations help us as we continue to document and refine internal curation processes, data management tools, and active curation interfaces.  Additionally, Databrary regularly consults with library and data services staff who have expertise in collection development and dataset profiling across adjacent scholarly domains.</w:t>
      </w:r>
    </w:p>
    <w:p>
      <w:pPr>
        <w:pStyle w:val="Heading3"/>
        <w:spacing w:lineRule="auto" w:line="480" w:before="0" w:after="180"/>
        <w:rPr>
          <w:rFonts w:ascii="Times New Roman" w:hAnsi="Times New Roman" w:cs="Times New Roman"/>
          <w:color w:val="000000"/>
          <w:sz w:val="24"/>
          <w:szCs w:val="24"/>
        </w:rPr>
      </w:pPr>
      <w:bookmarkStart w:id="11" w:name="improve-active-curation"/>
      <w:bookmarkEnd w:id="11"/>
      <w:r>
        <w:rPr>
          <w:rFonts w:cs="Times New Roman" w:ascii="Times New Roman" w:hAnsi="Times New Roman"/>
          <w:color w:val="000000"/>
          <w:sz w:val="24"/>
          <w:szCs w:val="24"/>
        </w:rPr>
        <w:t>Improve Active Curation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As the Databrary user community grows, we will continue to update and codify our curation and collection development processes.  The more datasets we see, the more we can refine our metadata schema to represent diverse datasets.  In codifying our curation process, we will incorporate best practices like the Data Curation Profiles Toolkit and similar initiatives (McLure et al., 2014).  Our user interface for active curation is still new, so we plan to continue gathering feedback from users to improve these tools.  We aim to strike a balance between representing data as researchers want to represent it and maintaining a structure that makes information useful to and discoverable by others.</w:t>
      </w:r>
    </w:p>
    <w:p>
      <w:pPr>
        <w:pStyle w:val="Heading3"/>
        <w:spacing w:lineRule="auto" w:line="480" w:before="0" w:after="180"/>
        <w:rPr>
          <w:rFonts w:ascii="Times New Roman" w:hAnsi="Times New Roman" w:cs="Times New Roman"/>
          <w:color w:val="000000"/>
          <w:sz w:val="24"/>
          <w:szCs w:val="24"/>
        </w:rPr>
      </w:pPr>
      <w:bookmarkStart w:id="12" w:name="enhance-databrarys-feature-set"/>
      <w:bookmarkEnd w:id="12"/>
      <w:r>
        <w:rPr>
          <w:rFonts w:cs="Times New Roman" w:ascii="Times New Roman" w:hAnsi="Times New Roman"/>
          <w:color w:val="000000"/>
          <w:sz w:val="24"/>
          <w:szCs w:val="24"/>
        </w:rPr>
        <w:t>Enhance Databrary’s Feature Set</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With Databrary established as a working service, we will add enhancements that will help researchers better find and access Databrary’s materials.  Full-text search is becoming relatively trivial with off-the-shelf search engines like Apache Solr or Elasticsearch, but the same cannot be said about video data.  Higher level descriptions of video data can assist viewers in finding relevant content, but creating metadata that describes video file content, especially on a frame-by-frame basis, poses challenges.  By extending the video tagging and annotation tools on the session timeline, we will allow researchers themselves to add metadata that will be useful for others to identify interesting segments of video.  Similarly, we will enhance tools for researchers to create their own excerpts – separate clips from larger video files – that contain some salient event or example of a phenomenon.  With the permission of the participant, investigators may share excerpts with other scholars or use them in the classroom and at conferences.  Excerpts also become a means within the repository for finding and selecting datasets that have a conceptual relationship.  Since many investigators who collect video do so in conjunction with other temporally dense data streams – physiological measures (e.g. heart rate, brain activity), body motion, or gaze position – we will explore ways to link Databrary’s video assets to external repositories storing these measures, or where feasible, provide internal support for them.  Finally, we plan to incorporate ways to read and write files compatible with the most prevalent video coding/annotation tools used in the developmental and learning science communities.  This will allow researchers who use Mangold or Noldus, for example, to annotate videos to share with colleagues who use another tool.</w:t>
      </w:r>
    </w:p>
    <w:p>
      <w:pPr>
        <w:pStyle w:val="Heading3"/>
        <w:spacing w:lineRule="auto" w:line="480" w:before="0" w:after="180"/>
        <w:rPr>
          <w:rFonts w:ascii="Times New Roman" w:hAnsi="Times New Roman" w:cs="Times New Roman"/>
          <w:color w:val="000000"/>
          <w:sz w:val="24"/>
          <w:szCs w:val="24"/>
        </w:rPr>
      </w:pPr>
      <w:bookmarkStart w:id="13" w:name="integrate-with-other-services"/>
      <w:bookmarkEnd w:id="13"/>
      <w:r>
        <w:rPr>
          <w:rFonts w:cs="Times New Roman" w:ascii="Times New Roman" w:hAnsi="Times New Roman"/>
          <w:color w:val="000000"/>
          <w:sz w:val="24"/>
          <w:szCs w:val="24"/>
        </w:rPr>
        <w:t>Integrate with Other Services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 xml:space="preserve">Databrary plans to strengthen its connection with existing library services (i.e. the library catalog and other aggregate searches over existing data repositories).  Going forward, we are well positioned to provide interoperability with library-based metadata schemas (such as export of data packages cross-walked to Dublin Core) and to reach </w:t>
      </w:r>
      <w:bookmarkStart w:id="14" w:name="OLE_LINK2"/>
      <w:bookmarkStart w:id="15" w:name="OLE_LINK1"/>
      <w:r>
        <w:rPr>
          <w:rFonts w:cs="Times New Roman" w:ascii="Times New Roman" w:hAnsi="Times New Roman"/>
          <w:color w:val="000000"/>
        </w:rPr>
        <w:t xml:space="preserve">Open Archives Initiative - Protocol for Metadata Harvesting (OAI-PMH) </w:t>
      </w:r>
      <w:bookmarkEnd w:id="14"/>
      <w:bookmarkEnd w:id="15"/>
      <w:r>
        <w:rPr>
          <w:rFonts w:cs="Times New Roman" w:ascii="Times New Roman" w:hAnsi="Times New Roman"/>
          <w:color w:val="000000"/>
        </w:rPr>
        <w:t>compliance.  This will allow for the automated incorporation of data that researchers add to Databrary into federated library searches with other domain-specific data repositories.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Additionally, by providing a refined API and assigning Digital Object Identifiers (DOIs) to volumes, we will provide libraries and other information systems the opportunity to tap into Databrary datasets in a more customized fashion.  Minting DOIs for datasets in Databrary will also allow data to be cited in future journal articles.  This helps contributors by making measurable the scholarly impact of deposited data.</w:t>
      </w:r>
    </w:p>
    <w:p>
      <w:pPr>
        <w:pStyle w:val="Heading3"/>
        <w:spacing w:lineRule="auto" w:line="480" w:before="0" w:after="180"/>
        <w:rPr>
          <w:rFonts w:ascii="Times New Roman" w:hAnsi="Times New Roman" w:cs="Times New Roman"/>
          <w:color w:val="000000"/>
          <w:sz w:val="24"/>
          <w:szCs w:val="24"/>
        </w:rPr>
      </w:pPr>
      <w:bookmarkStart w:id="16" w:name="plan-for-long-term-sustainability"/>
      <w:bookmarkEnd w:id="16"/>
      <w:r>
        <w:rPr>
          <w:rFonts w:cs="Times New Roman" w:ascii="Times New Roman" w:hAnsi="Times New Roman"/>
          <w:color w:val="000000"/>
          <w:sz w:val="24"/>
          <w:szCs w:val="24"/>
        </w:rPr>
        <w:t>Plan for Long-term Sustainability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For the time being, Databrary does not charge users for storage or curation services.  The NSF and NICHD project grants bear the cost.  Sustaining domain specific research data repositories on project-specific grants is common, but the model has flaws.  Databrary is part of a consortium of domain specific repositories led by ICPSR that has called for new, more sustainable funding models (Ember et al., 2013).  In the meantime, the project team continues to develop plans for long-term sustainability of Databrary, with focus on the ArXiv (ArXiv, 2015) and ICSPR institutional subscription models, storage volume/curation load based fees-for-service, and professional society partnerships.</w:t>
      </w:r>
    </w:p>
    <w:p>
      <w:pPr>
        <w:pStyle w:val="Heading2"/>
        <w:spacing w:lineRule="auto" w:line="480" w:before="0" w:after="180"/>
        <w:jc w:val="center"/>
        <w:rPr>
          <w:rFonts w:ascii="Times New Roman" w:hAnsi="Times New Roman" w:cs="Times New Roman"/>
          <w:color w:val="000000"/>
          <w:sz w:val="24"/>
          <w:szCs w:val="24"/>
        </w:rPr>
      </w:pPr>
      <w:bookmarkStart w:id="17" w:name="conclusion"/>
      <w:bookmarkEnd w:id="17"/>
      <w:r>
        <w:rPr>
          <w:rFonts w:cs="Times New Roman" w:ascii="Times New Roman" w:hAnsi="Times New Roman"/>
          <w:color w:val="000000"/>
          <w:sz w:val="24"/>
          <w:szCs w:val="24"/>
        </w:rPr>
        <w:t>Conclusion</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There is an active discussion among library practitioners on the proper role of libraries in the collection and management of research data.  Databrary offers a working model that demonstrates how a research data repository can benefit from interacting closely with the research community.  Databrary shows that a diverse team of experts can devise novel policy, technical, and curatorial solutions to problems encountered in fostering wider data sharing.  The project also demonstrates that being strategically and structurally attached to library systems through management, staff, and technology is an important ingredient in building a successful repository.</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We do not assume that all data repositories will be able to replicate the exact process Databrary has undertaken.  Larger scale data repositories that serve different fields of research will most likely not have the available staff to shadow every domain their datasets come from.  Though, as discussed in much of the existing literature (Heidorn, 2011; McLure et al., 2014; Simons &amp; Richardson, 2012; MacMillan, 2014), the development of data repositories will require new practices.  It will require the work of information professionals equipped with new skill sets that allow them to translate the needs of the library to research teams.  It will require leaders who are capable of navigating between repository, policy, and library workflows, and committed to embedding themselves in the work of researchers who may not have the time for or capability of properly preserving their data for the long term.</w:t>
      </w:r>
    </w:p>
    <w:p>
      <w:pPr>
        <w:pStyle w:val="Heading2"/>
        <w:spacing w:lineRule="auto" w:line="480" w:before="0" w:after="180"/>
        <w:jc w:val="center"/>
        <w:rPr>
          <w:rFonts w:ascii="Times New Roman" w:hAnsi="Times New Roman" w:cs="Times New Roman"/>
          <w:color w:val="000000"/>
          <w:sz w:val="24"/>
          <w:szCs w:val="24"/>
        </w:rPr>
      </w:pPr>
      <w:bookmarkStart w:id="18" w:name="acknowledgments"/>
      <w:bookmarkEnd w:id="18"/>
      <w:r>
        <w:rPr>
          <w:rFonts w:cs="Times New Roman" w:ascii="Times New Roman" w:hAnsi="Times New Roman"/>
          <w:color w:val="000000"/>
          <w:sz w:val="24"/>
          <w:szCs w:val="24"/>
        </w:rPr>
        <w:t>Acknowledgments</w:t>
      </w:r>
    </w:p>
    <w:p>
      <w:pPr>
        <w:pStyle w:val="Normal"/>
        <w:spacing w:lineRule="auto" w:line="480" w:before="0" w:after="0"/>
        <w:rPr>
          <w:rFonts w:ascii="Times New Roman" w:hAnsi="Times New Roman" w:cs="Times New Roman"/>
          <w:color w:val="000000"/>
        </w:rPr>
      </w:pPr>
      <w:r>
        <w:rPr>
          <w:rFonts w:cs="Times New Roman" w:ascii="Times New Roman" w:hAnsi="Times New Roman"/>
          <w:color w:val="000000"/>
        </w:rPr>
        <w:tab/>
        <w:t>This work was supported by the NSF (BCS-1238599) and the NICHD (U01-HD-076595).  The authors gratefully acknowledge the NYU Libraries for their valuable advice and consultation.</w:t>
      </w:r>
    </w:p>
    <w:p>
      <w:pPr>
        <w:pStyle w:val="Normal"/>
        <w:spacing w:lineRule="auto" w:line="480" w:before="0" w:after="0"/>
        <w:ind w:left="720" w:hanging="720"/>
        <w:jc w:val="center"/>
        <w:rPr>
          <w:rFonts w:ascii="Times New Roman" w:hAnsi="Times New Roman" w:cs="Times New Roman"/>
          <w:color w:val="000000"/>
        </w:rPr>
      </w:pPr>
      <w:r>
        <w:rPr>
          <w:rFonts w:cs="Times New Roman" w:ascii="Times New Roman" w:hAnsi="Times New Roman"/>
          <w:color w:val="000000"/>
        </w:rPr>
        <w:t>References</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Ardini, M. A., Pan, H., Qin, Y., &amp; Cooley, P. C. (2014). Sample and data sharing: Observations from a central data repository. </w:t>
      </w:r>
      <w:r>
        <w:rPr>
          <w:rFonts w:cs="Times New Roman" w:ascii="Times New Roman" w:hAnsi="Times New Roman"/>
          <w:i/>
          <w:iCs/>
          <w:color w:val="000000"/>
        </w:rPr>
        <w:t>Clinical Biochemistry, 47</w:t>
      </w:r>
      <w:r>
        <w:rPr>
          <w:rFonts w:cs="Times New Roman" w:ascii="Times New Roman" w:hAnsi="Times New Roman"/>
          <w:color w:val="000000"/>
        </w:rPr>
        <w:t>(4-5), 252-257. doi: 10.1016/j.clinbiochem.2013.11.014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ArXiv (2015). arXiv.org e-Print archive. Retrieved February 26, 2015 from http://arxiv.org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Bakeman, R., &amp; Quera, V. (2012). Behavioral observation. In H. Cooper, P. M. Camic, D. L. Long, A. T. Panter, D. Rindskopf, &amp; K. J. Sher (Eds.), </w:t>
      </w:r>
      <w:r>
        <w:rPr>
          <w:rFonts w:cs="Times New Roman" w:ascii="Times New Roman" w:hAnsi="Times New Roman"/>
          <w:i/>
          <w:iCs/>
          <w:color w:val="000000"/>
        </w:rPr>
        <w:t>APA handbook of research methods in psychology, Vol 1: Foundations, planning, measures, and psychometrics</w:t>
      </w:r>
      <w:r>
        <w:rPr>
          <w:rFonts w:cs="Times New Roman" w:ascii="Times New Roman" w:hAnsi="Times New Roman"/>
          <w:color w:val="000000"/>
        </w:rPr>
        <w:t xml:space="preserve"> (pp. 207-225). Washington, DC, US: American Psychological Association. doi: 10.1037/13619-013</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Borgman, C. L. (2012). The conundrum of sharing research data. </w:t>
      </w:r>
      <w:r>
        <w:rPr>
          <w:rFonts w:cs="Times New Roman" w:ascii="Times New Roman" w:hAnsi="Times New Roman"/>
          <w:i/>
          <w:iCs/>
          <w:color w:val="000000"/>
        </w:rPr>
        <w:t>Journal of the American Society for Information Science &amp; Technology, 63</w:t>
      </w:r>
      <w:r>
        <w:rPr>
          <w:rFonts w:cs="Times New Roman" w:ascii="Times New Roman" w:hAnsi="Times New Roman"/>
          <w:color w:val="000000"/>
        </w:rPr>
        <w:t>(6), 1059-1078. doi: 10.1002/asi.22634</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Carlson, J. (2012). Demystifying the data interview: Developing a foundation for reference librarians to talk with researchers about their data (English). </w:t>
      </w:r>
      <w:r>
        <w:rPr>
          <w:rFonts w:cs="Times New Roman" w:ascii="Times New Roman" w:hAnsi="Times New Roman"/>
          <w:i/>
          <w:iCs/>
          <w:color w:val="000000"/>
        </w:rPr>
        <w:t>Reference services review, 40</w:t>
      </w:r>
      <w:r>
        <w:rPr>
          <w:rFonts w:cs="Times New Roman" w:ascii="Times New Roman" w:hAnsi="Times New Roman"/>
          <w:color w:val="000000"/>
        </w:rPr>
        <w:t xml:space="preserve">(1), 7-23.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Castelli, D., Manghi, P. &amp; Thanos, C. (2013). A vision towards Scientific Communication Infrastructures: On bridging the realms of Research Digital Libraries and Scientific Data Centers. </w:t>
      </w:r>
      <w:r>
        <w:rPr>
          <w:rFonts w:cs="Times New Roman" w:ascii="Times New Roman" w:hAnsi="Times New Roman"/>
          <w:i/>
          <w:iCs/>
          <w:color w:val="000000"/>
        </w:rPr>
        <w:t>International Journal on Digital Libraries, 13</w:t>
      </w:r>
      <w:r>
        <w:rPr>
          <w:rFonts w:cs="Times New Roman" w:ascii="Times New Roman" w:hAnsi="Times New Roman"/>
          <w:color w:val="000000"/>
        </w:rPr>
        <w:t>(3/4), 155-169. doi: 10.1007/s00799-013-0106-7</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(2015a). Databrary: An Open Data Library for Developmental Science. Retrieved February 26, 2015 from http://databrary.org/</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(2015b). Data Sharing Manifesto. Retrieved February 26, 2015 from http://databrary.org/access/policies/data-sharing-manifesto.html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Databrary (2015c). Databrary Access Agreement. Retrieved February 26, 2015 from http://databrary.org/access/policies/agreement.html</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Ember, C., Hanisch, R., Alter, G., Berman, H., Hedstrom, M., &amp; Vardigan, M. (2013). Sustaining Domain Repositories for Digital Data: A White Paper. </w:t>
      </w:r>
      <w:r>
        <w:rPr>
          <w:rFonts w:cs="Times New Roman" w:ascii="Times New Roman" w:hAnsi="Times New Roman"/>
          <w:i/>
          <w:iCs/>
          <w:color w:val="000000"/>
        </w:rPr>
        <w:t>Workshop on Sustained Domain Repositories for Digital Data</w:t>
      </w:r>
      <w:r>
        <w:rPr>
          <w:rFonts w:cs="Times New Roman" w:ascii="Times New Roman" w:hAnsi="Times New Roman"/>
          <w:color w:val="000000"/>
        </w:rPr>
        <w:t>. Retrieved February 26, 2015 from http://datacommunity.icpsr.umich.edu/sites/default/files/WhitePaper_ICPSR_SDRDD_121113.pdf</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Fabricius, W. (2014). Construct Validity of Standard False Belief Tasks: A Failure to Replicate. Databrary. Retrieved February 26, 2015 from http://databrary.org/volume/98.</w:t>
      </w:r>
    </w:p>
    <w:p>
      <w:pPr>
        <w:pStyle w:val="Normal"/>
        <w:spacing w:lineRule="auto" w:line="480" w:before="0" w:after="0"/>
        <w:ind w:left="720" w:hanging="720"/>
        <w:rPr/>
      </w:pPr>
      <w:r>
        <w:rPr>
          <w:rFonts w:cs="Times New Roman" w:ascii="Times New Roman" w:hAnsi="Times New Roman"/>
          <w:color w:val="000000"/>
        </w:rPr>
        <w:t xml:space="preserve">Federer, L. (2013). The librarian as research informationist: a case study (English). </w:t>
      </w:r>
      <w:r>
        <w:rPr>
          <w:rFonts w:cs="Times New Roman" w:ascii="Times New Roman" w:hAnsi="Times New Roman"/>
          <w:i/>
          <w:iCs/>
          <w:color w:val="000000"/>
        </w:rPr>
        <w:t>Journal of the Medical Library Association, 101</w:t>
      </w:r>
      <w:r>
        <w:rPr>
          <w:rFonts w:cs="Times New Roman" w:ascii="Times New Roman" w:hAnsi="Times New Roman"/>
          <w:color w:val="000000"/>
        </w:rPr>
        <w:t>(4), 298-302.</w:t>
      </w:r>
    </w:p>
    <w:p>
      <w:pPr>
        <w:pStyle w:val="Normal"/>
        <w:spacing w:lineRule="auto" w:line="480" w:before="0" w:after="0"/>
        <w:ind w:left="720" w:hanging="720"/>
        <w:rPr/>
      </w:pPr>
      <w:ins w:id="80" w:author="Unknown Author" w:date="2015-05-20T11:56:00Z">
        <w:r>
          <w:rPr>
            <w:rFonts w:cs="Times New Roman" w:ascii="Times New Roman" w:hAnsi="Times New Roman"/>
            <w:color w:val="000000"/>
          </w:rPr>
          <w:t>Giarlo, MJ. (2013). Academic Libraries as Data Quality Hubs. J</w:t>
        </w:r>
      </w:ins>
      <w:ins w:id="81" w:author="Unknown Author" w:date="2015-05-20T11:56:00Z">
        <w:r>
          <w:rPr>
            <w:rFonts w:cs="Times New Roman" w:ascii="Times New Roman" w:hAnsi="Times New Roman"/>
            <w:i/>
            <w:iCs/>
            <w:color w:val="000000"/>
          </w:rPr>
          <w:t>ournal of Librarianship and Scholarly Communication</w:t>
        </w:r>
      </w:ins>
      <w:ins w:id="82" w:author="Unknown Author" w:date="2015-05-20T11:56:00Z">
        <w:r>
          <w:rPr>
            <w:rFonts w:cs="Times New Roman" w:ascii="Times New Roman" w:hAnsi="Times New Roman"/>
            <w:color w:val="000000"/>
          </w:rPr>
          <w:t xml:space="preserve"> 1(3):eP1059. http://dx.doi.org/10.7710/2162-3309.1059</w:t>
        </w:r>
      </w:ins>
      <w:r>
        <w:rPr>
          <w:rFonts w:cs="Times New Roman" w:ascii="Times New Roman" w:hAnsi="Times New Roman"/>
          <w:color w:val="000000"/>
        </w:rPr>
        <w:t xml:space="preserve">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Github (2015). Databrary on Github. Retrieved February 26, 2015 from https://github.com/databrary/</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Greenberg, J., White, H. C., Carrier, S., &amp; Scherle, R. (2009). A metadata best practice for a scientific data repository. </w:t>
      </w:r>
      <w:r>
        <w:rPr>
          <w:rFonts w:cs="Times New Roman" w:ascii="Times New Roman" w:hAnsi="Times New Roman"/>
          <w:i/>
          <w:iCs/>
          <w:color w:val="000000"/>
        </w:rPr>
        <w:t>Journal of Library Metadata, 9</w:t>
      </w:r>
      <w:r>
        <w:rPr>
          <w:rFonts w:cs="Times New Roman" w:ascii="Times New Roman" w:hAnsi="Times New Roman"/>
          <w:color w:val="000000"/>
        </w:rPr>
        <w:t>(3-4), 194-212. doi: 10.1080/19386380903405090</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Heidorn, P. B. (2011). The Emerging Role of Libraries in Data Curation and E-science. </w:t>
      </w:r>
      <w:r>
        <w:rPr>
          <w:rFonts w:cs="Times New Roman" w:ascii="Times New Roman" w:hAnsi="Times New Roman"/>
          <w:i/>
          <w:iCs/>
          <w:color w:val="000000"/>
        </w:rPr>
        <w:t>Journal of Library Administration, 51</w:t>
      </w:r>
      <w:r>
        <w:rPr>
          <w:rFonts w:cs="Times New Roman" w:ascii="Times New Roman" w:hAnsi="Times New Roman"/>
          <w:color w:val="000000"/>
        </w:rPr>
        <w:t>(7/8), 662-672. doi: 10.1080/01930826.2011.601269</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Hourclé, J. A. (2008). FRBR applied to scientific data. </w:t>
      </w:r>
      <w:r>
        <w:rPr>
          <w:rFonts w:cs="Times New Roman" w:ascii="Times New Roman" w:hAnsi="Times New Roman"/>
          <w:i/>
          <w:iCs/>
          <w:color w:val="000000"/>
        </w:rPr>
        <w:t>Proceedings of the ASIST Annual Meeting</w:t>
      </w:r>
      <w:r>
        <w:rPr>
          <w:rFonts w:cs="Times New Roman" w:ascii="Times New Roman" w:hAnsi="Times New Roman"/>
          <w:color w:val="000000"/>
        </w:rPr>
        <w:t xml:space="preserve">, 45.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Lyle, J. (2014).</w:t>
      </w:r>
      <w:bookmarkStart w:id="19" w:name="__DdeLink__159_1120294462"/>
      <w:r>
        <w:rPr>
          <w:rFonts w:cs="Times New Roman" w:ascii="Times New Roman" w:hAnsi="Times New Roman"/>
          <w:color w:val="000000"/>
        </w:rPr>
        <w:t xml:space="preserve"> ICPSR: A Consortial Model to Advance and Expand Social and Behavioral Research</w:t>
      </w:r>
      <w:bookmarkEnd w:id="19"/>
      <w:r>
        <w:rPr>
          <w:rFonts w:cs="Times New Roman" w:ascii="Times New Roman" w:hAnsi="Times New Roman"/>
          <w:color w:val="000000"/>
        </w:rPr>
        <w:t xml:space="preserve">. </w:t>
      </w:r>
      <w:r>
        <w:rPr>
          <w:rFonts w:cs="Times New Roman" w:ascii="Times New Roman" w:hAnsi="Times New Roman"/>
          <w:i/>
          <w:iCs/>
          <w:color w:val="000000"/>
        </w:rPr>
        <w:t>027.7, 2</w:t>
      </w:r>
      <w:r>
        <w:rPr>
          <w:rFonts w:cs="Times New Roman" w:ascii="Times New Roman" w:hAnsi="Times New Roman"/>
          <w:color w:val="000000"/>
        </w:rPr>
        <w:t xml:space="preserve">(1), 19-29. </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MacMillan, D. (2014). Data Sharing and Discovery: What Librarians Need to Know. </w:t>
      </w:r>
      <w:r>
        <w:rPr>
          <w:rFonts w:cs="Times New Roman" w:ascii="Times New Roman" w:hAnsi="Times New Roman"/>
          <w:i/>
          <w:iCs/>
          <w:color w:val="000000"/>
        </w:rPr>
        <w:t>Journal of Academic Librarianship. 40</w:t>
      </w:r>
      <w:r>
        <w:rPr>
          <w:rFonts w:cs="Times New Roman" w:ascii="Times New Roman" w:hAnsi="Times New Roman"/>
          <w:color w:val="000000"/>
        </w:rPr>
        <w:t>(5). 541-549. doi: 10.1016/j.acalib.2014.06.011</w:t>
      </w:r>
    </w:p>
    <w:p>
      <w:pPr>
        <w:pStyle w:val="Normal"/>
        <w:spacing w:lineRule="auto" w:line="480" w:before="0" w:after="0"/>
        <w:ind w:left="720" w:hanging="720"/>
        <w:rPr/>
      </w:pPr>
      <w:r>
        <w:rPr>
          <w:rFonts w:cs="Times New Roman" w:ascii="Times New Roman" w:hAnsi="Times New Roman"/>
          <w:color w:val="000000"/>
        </w:rPr>
        <w:t xml:space="preserve">McLure, M., Level, A. V., Cranston, C. L., Oehlerts, B., &amp; Culbertson, M. (2014). Data Curation: A Study of Researcher Practices and Needs. </w:t>
      </w:r>
      <w:r>
        <w:rPr>
          <w:rFonts w:cs="Times New Roman" w:ascii="Times New Roman" w:hAnsi="Times New Roman"/>
          <w:i/>
          <w:iCs/>
          <w:color w:val="000000"/>
        </w:rPr>
        <w:t>Libraries &amp; the Academy, 14</w:t>
      </w:r>
      <w:r>
        <w:rPr>
          <w:rFonts w:cs="Times New Roman" w:ascii="Times New Roman" w:hAnsi="Times New Roman"/>
          <w:color w:val="000000"/>
        </w:rPr>
        <w:t xml:space="preserve">(2), 139-164. </w:t>
      </w:r>
    </w:p>
    <w:p>
      <w:pPr>
        <w:pStyle w:val="Normal"/>
        <w:spacing w:lineRule="auto" w:line="480" w:before="0" w:after="0"/>
        <w:ind w:left="720" w:hanging="720"/>
        <w:rPr/>
      </w:pPr>
      <w:ins w:id="83" w:author="Unknown Author" w:date="2015-05-20T14:50:00Z">
        <w:r>
          <w:rPr>
            <w:rFonts w:cs="Times New Roman" w:ascii="Times New Roman" w:hAnsi="Times New Roman"/>
            <w:color w:val="000000"/>
          </w:rPr>
          <w:t xml:space="preserve">Ogburn, J. L. (2010). The imperative for data curation. </w:t>
        </w:r>
      </w:ins>
      <w:ins w:id="84" w:author="Unknown Author" w:date="2015-05-20T14:50:00Z">
        <w:r>
          <w:rPr>
            <w:rFonts w:cs="Times New Roman" w:ascii="Times New Roman" w:hAnsi="Times New Roman"/>
            <w:i/>
            <w:iCs/>
            <w:color w:val="000000"/>
          </w:rPr>
          <w:t>portal:</w:t>
        </w:r>
      </w:ins>
      <w:ins w:id="85" w:author="Unknown Author" w:date="2015-05-20T14:50:00Z">
        <w:r>
          <w:rPr>
            <w:rFonts w:cs="Times New Roman" w:ascii="Times New Roman" w:hAnsi="Times New Roman"/>
            <w:color w:val="000000"/>
          </w:rPr>
          <w:t xml:space="preserve"> </w:t>
        </w:r>
      </w:ins>
      <w:ins w:id="86" w:author="Unknown Author" w:date="2015-05-20T14:50:00Z">
        <w:r>
          <w:rPr>
            <w:rFonts w:cs="Times New Roman" w:ascii="Times New Roman" w:hAnsi="Times New Roman"/>
            <w:i/>
            <w:iCs/>
            <w:color w:val="000000"/>
          </w:rPr>
          <w:t>Libraries and the Academy</w:t>
        </w:r>
      </w:ins>
      <w:ins w:id="87" w:author="Unknown Author" w:date="2015-05-20T14:50:00Z">
        <w:r>
          <w:rPr>
            <w:rFonts w:cs="Times New Roman" w:ascii="Times New Roman" w:hAnsi="Times New Roman"/>
            <w:color w:val="000000"/>
          </w:rPr>
          <w:t>, 10, 241–246. http://dx.doi.org/10.1353/pla.0.0100</w:t>
        </w:r>
      </w:ins>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Orchard, S. (2014). Review: Data Standardization and Sharing—The work of the HUPO-PSI. BBA - Proteins and Proteomics, 1844(Part A), 82-87. doi: 10.1016/j.bbapap.2013.03.011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Peer, L., &amp; Green, A. (2012). Building an Open Data Repository for a Specialized Research Community: Process, Challenges and Lessons. </w:t>
      </w:r>
      <w:r>
        <w:rPr>
          <w:rFonts w:cs="Times New Roman" w:ascii="Times New Roman" w:hAnsi="Times New Roman"/>
          <w:i/>
          <w:color w:val="000000"/>
        </w:rPr>
        <w:t>International Journal of Digital Curation</w:t>
      </w:r>
      <w:r>
        <w:rPr>
          <w:rFonts w:cs="Times New Roman" w:ascii="Times New Roman" w:hAnsi="Times New Roman"/>
          <w:color w:val="000000"/>
        </w:rPr>
        <w:t>, 7(1), 151-162. doi: 10.2218/ijdc.v7i1.222</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 xml:space="preserve">Simons, N., &amp; Richardson, J. (2012). New Roles, New Responsibilities: Examining Training Needs of Repository Staff. </w:t>
      </w:r>
      <w:r>
        <w:rPr>
          <w:rFonts w:cs="Times New Roman" w:ascii="Times New Roman" w:hAnsi="Times New Roman"/>
          <w:i/>
          <w:iCs/>
          <w:color w:val="000000"/>
        </w:rPr>
        <w:t>Journal of Librarianship &amp; Scholarly Communication, 1</w:t>
      </w:r>
      <w:r>
        <w:rPr>
          <w:rFonts w:cs="Times New Roman" w:ascii="Times New Roman" w:hAnsi="Times New Roman"/>
          <w:color w:val="000000"/>
        </w:rPr>
        <w:t>(2), 1-16. doi: 10.7710/2162-3309.1051</w:t>
      </w:r>
    </w:p>
    <w:p>
      <w:pPr>
        <w:pStyle w:val="Normal"/>
        <w:spacing w:lineRule="auto" w:line="480" w:before="0" w:after="0"/>
        <w:ind w:left="720" w:hanging="720"/>
        <w:rPr>
          <w:rFonts w:ascii="Times New Roman" w:hAnsi="Times New Roman" w:cs="Times New Roman"/>
          <w:color w:val="000000"/>
        </w:rPr>
      </w:pPr>
      <w:r>
        <w:rPr>
          <w:rFonts w:cs="Times New Roman" w:ascii="Times New Roman" w:hAnsi="Times New Roman"/>
          <w:color w:val="000000"/>
        </w:rPr>
        <w:t>Wickett, K. M., Sacchi, S., Dubin, D., &amp; Renear, A. H. (2012). Identifying content and levels of representation in scientific data.</w:t>
      </w:r>
      <w:r>
        <w:rPr>
          <w:rFonts w:cs="Times New Roman" w:ascii="Times New Roman" w:hAnsi="Times New Roman"/>
          <w:i/>
          <w:iCs/>
          <w:color w:val="000000"/>
        </w:rPr>
        <w:t xml:space="preserve"> Proceedings of the ASIST Annual Meeting, 49</w:t>
      </w:r>
      <w:r>
        <w:rPr>
          <w:rFonts w:cs="Times New Roman" w:ascii="Times New Roman" w:hAnsi="Times New Roman"/>
          <w:color w:val="000000"/>
        </w:rPr>
        <w:t>(1). doi: 10.1002/meet.14504901199</w:t>
      </w:r>
    </w:p>
    <w:p>
      <w:pPr>
        <w:pStyle w:val="Normal"/>
        <w:spacing w:lineRule="auto" w:line="480" w:before="0" w:after="0"/>
        <w:ind w:left="720" w:hanging="720"/>
        <w:rPr/>
      </w:pPr>
      <w:r>
        <w:rPr>
          <w:rFonts w:cs="Times New Roman" w:ascii="Times New Roman" w:hAnsi="Times New Roman"/>
          <w:color w:val="000000"/>
        </w:rPr>
        <w:t xml:space="preserve">Witt, M. (2012). Co-designing, Co-developing, and Co-implementing an Institutional Data Repository Service. </w:t>
      </w:r>
      <w:r>
        <w:rPr>
          <w:rFonts w:cs="Times New Roman" w:ascii="Times New Roman" w:hAnsi="Times New Roman"/>
          <w:i/>
          <w:iCs/>
          <w:color w:val="000000"/>
        </w:rPr>
        <w:t>Journal of Library Administration, 52</w:t>
      </w:r>
      <w:r>
        <w:rPr>
          <w:rFonts w:cs="Times New Roman" w:ascii="Times New Roman" w:hAnsi="Times New Roman"/>
          <w:color w:val="000000"/>
        </w:rPr>
        <w:t>(2), 172-188. doi: 10.1080/01930826.2012.655607</w:t>
      </w:r>
    </w:p>
    <w:sectPr>
      <w:headerReference w:type="default" r:id="rId2"/>
      <w:footerReference w:type="default" r:id="rId3"/>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DejaVu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trackRevisions/>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ff3a78"/>
    <w:pPr>
      <w:widowControl/>
      <w:suppressAutoHyphens w:val="true"/>
      <w:bidi w:val="0"/>
      <w:spacing w:before="180" w:after="180"/>
      <w:jc w:val="left"/>
    </w:pPr>
    <w:rPr>
      <w:rFonts w:ascii="Cambria" w:hAnsi="Cambria" w:eastAsia="Cambria" w:cs=""/>
      <w:color w:val="00000A"/>
      <w:sz w:val="24"/>
      <w:szCs w:val="24"/>
      <w:lang w:val="en-US" w:eastAsia="en-US" w:bidi="ar-SA"/>
    </w:rPr>
  </w:style>
  <w:style w:type="paragraph" w:styleId="Heading1">
    <w:name w:val="Heading 1"/>
    <w:basedOn w:val="Normal"/>
    <w:next w:val="Normal"/>
    <w:uiPriority w:val="9"/>
    <w:qFormat/>
    <w:rsid w:val="00ff3a78"/>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sid w:val="00ff3a78"/>
    <w:rPr/>
  </w:style>
  <w:style w:type="character" w:styleId="VerbatimChar" w:customStyle="1">
    <w:name w:val="Verbatim Char"/>
    <w:basedOn w:val="BodyTextChar"/>
    <w:link w:val="SourceCode"/>
    <w:qFormat/>
    <w:rsid w:val="00ff3a78"/>
    <w:rPr>
      <w:rFonts w:ascii="Consolas" w:hAnsi="Consolas"/>
      <w:sz w:val="22"/>
    </w:rPr>
  </w:style>
  <w:style w:type="character" w:styleId="FootnoteRef" w:customStyle="1">
    <w:name w:val="Footnote Ref"/>
    <w:basedOn w:val="BodyTextChar"/>
    <w:qFormat/>
    <w:rsid w:val="00ff3a78"/>
    <w:rPr>
      <w:vertAlign w:val="superscript"/>
    </w:rPr>
  </w:style>
  <w:style w:type="character" w:styleId="Link" w:customStyle="1">
    <w:name w:val="Link"/>
    <w:basedOn w:val="BodyTextChar"/>
    <w:qFormat/>
    <w:rsid w:val="00ff3a78"/>
    <w:rPr>
      <w:color w:val="4F81BD" w:themeColor="accent1"/>
    </w:rPr>
  </w:style>
  <w:style w:type="character" w:styleId="KeywordTok" w:customStyle="1">
    <w:name w:val="KeywordTok"/>
    <w:basedOn w:val="VerbatimChar"/>
    <w:qFormat/>
    <w:rsid w:val="00ff3a78"/>
    <w:rPr>
      <w:rFonts w:ascii="Consolas" w:hAnsi="Consolas"/>
      <w:b/>
      <w:color w:val="007020"/>
      <w:sz w:val="22"/>
    </w:rPr>
  </w:style>
  <w:style w:type="character" w:styleId="DataTypeTok" w:customStyle="1">
    <w:name w:val="DataTypeTok"/>
    <w:basedOn w:val="VerbatimChar"/>
    <w:qFormat/>
    <w:rsid w:val="00ff3a78"/>
    <w:rPr>
      <w:rFonts w:ascii="Consolas" w:hAnsi="Consolas"/>
      <w:color w:val="902000"/>
      <w:sz w:val="22"/>
    </w:rPr>
  </w:style>
  <w:style w:type="character" w:styleId="DecValTok" w:customStyle="1">
    <w:name w:val="DecValTok"/>
    <w:basedOn w:val="VerbatimChar"/>
    <w:qFormat/>
    <w:rsid w:val="00ff3a78"/>
    <w:rPr>
      <w:rFonts w:ascii="Consolas" w:hAnsi="Consolas"/>
      <w:color w:val="40A070"/>
      <w:sz w:val="22"/>
    </w:rPr>
  </w:style>
  <w:style w:type="character" w:styleId="BaseNTok" w:customStyle="1">
    <w:name w:val="BaseNTok"/>
    <w:basedOn w:val="VerbatimChar"/>
    <w:qFormat/>
    <w:rsid w:val="00ff3a78"/>
    <w:rPr>
      <w:rFonts w:ascii="Consolas" w:hAnsi="Consolas"/>
      <w:color w:val="40A070"/>
      <w:sz w:val="22"/>
    </w:rPr>
  </w:style>
  <w:style w:type="character" w:styleId="FloatTok" w:customStyle="1">
    <w:name w:val="FloatTok"/>
    <w:basedOn w:val="VerbatimChar"/>
    <w:qFormat/>
    <w:rsid w:val="00ff3a78"/>
    <w:rPr>
      <w:rFonts w:ascii="Consolas" w:hAnsi="Consolas"/>
      <w:color w:val="40A070"/>
      <w:sz w:val="22"/>
    </w:rPr>
  </w:style>
  <w:style w:type="character" w:styleId="CharTok" w:customStyle="1">
    <w:name w:val="CharTok"/>
    <w:basedOn w:val="VerbatimChar"/>
    <w:qFormat/>
    <w:rsid w:val="00ff3a78"/>
    <w:rPr>
      <w:rFonts w:ascii="Consolas" w:hAnsi="Consolas"/>
      <w:color w:val="4070A0"/>
      <w:sz w:val="22"/>
    </w:rPr>
  </w:style>
  <w:style w:type="character" w:styleId="StringTok" w:customStyle="1">
    <w:name w:val="StringTok"/>
    <w:basedOn w:val="VerbatimChar"/>
    <w:qFormat/>
    <w:rsid w:val="00ff3a78"/>
    <w:rPr>
      <w:rFonts w:ascii="Consolas" w:hAnsi="Consolas"/>
      <w:color w:val="4070A0"/>
      <w:sz w:val="22"/>
    </w:rPr>
  </w:style>
  <w:style w:type="character" w:styleId="CommentTok" w:customStyle="1">
    <w:name w:val="CommentTok"/>
    <w:basedOn w:val="VerbatimChar"/>
    <w:qFormat/>
    <w:rsid w:val="00ff3a78"/>
    <w:rPr>
      <w:rFonts w:ascii="Consolas" w:hAnsi="Consolas"/>
      <w:i/>
      <w:color w:val="60A0B0"/>
      <w:sz w:val="22"/>
    </w:rPr>
  </w:style>
  <w:style w:type="character" w:styleId="OtherTok" w:customStyle="1">
    <w:name w:val="OtherTok"/>
    <w:basedOn w:val="VerbatimChar"/>
    <w:qFormat/>
    <w:rsid w:val="00ff3a78"/>
    <w:rPr>
      <w:rFonts w:ascii="Consolas" w:hAnsi="Consolas"/>
      <w:color w:val="007020"/>
      <w:sz w:val="22"/>
    </w:rPr>
  </w:style>
  <w:style w:type="character" w:styleId="AlertTok" w:customStyle="1">
    <w:name w:val="AlertTok"/>
    <w:basedOn w:val="VerbatimChar"/>
    <w:qFormat/>
    <w:rsid w:val="00ff3a78"/>
    <w:rPr>
      <w:rFonts w:ascii="Consolas" w:hAnsi="Consolas"/>
      <w:b/>
      <w:color w:val="FF0000"/>
      <w:sz w:val="22"/>
    </w:rPr>
  </w:style>
  <w:style w:type="character" w:styleId="FunctionTok" w:customStyle="1">
    <w:name w:val="FunctionTok"/>
    <w:basedOn w:val="VerbatimChar"/>
    <w:qFormat/>
    <w:rsid w:val="00ff3a78"/>
    <w:rPr>
      <w:rFonts w:ascii="Consolas" w:hAnsi="Consolas"/>
      <w:color w:val="06287E"/>
      <w:sz w:val="22"/>
    </w:rPr>
  </w:style>
  <w:style w:type="character" w:styleId="RegionMarkerTok" w:customStyle="1">
    <w:name w:val="RegionMarkerTok"/>
    <w:basedOn w:val="VerbatimChar"/>
    <w:qFormat/>
    <w:rsid w:val="00ff3a78"/>
    <w:rPr>
      <w:rFonts w:ascii="Consolas" w:hAnsi="Consolas"/>
      <w:sz w:val="22"/>
    </w:rPr>
  </w:style>
  <w:style w:type="character" w:styleId="ErrorTok" w:customStyle="1">
    <w:name w:val="ErrorTok"/>
    <w:basedOn w:val="VerbatimChar"/>
    <w:qFormat/>
    <w:rsid w:val="00ff3a78"/>
    <w:rPr>
      <w:rFonts w:ascii="Consolas" w:hAnsi="Consolas"/>
      <w:b/>
      <w:color w:val="FF0000"/>
      <w:sz w:val="22"/>
    </w:rPr>
  </w:style>
  <w:style w:type="character" w:styleId="NormalTok" w:customStyle="1">
    <w:name w:val="NormalTok"/>
    <w:basedOn w:val="VerbatimChar"/>
    <w:qFormat/>
    <w:rsid w:val="00ff3a78"/>
    <w:rPr>
      <w:rFonts w:ascii="Consolas" w:hAnsi="Consolas"/>
      <w:sz w:val="22"/>
    </w:rPr>
  </w:style>
  <w:style w:type="character" w:styleId="BalloonTextChar" w:customStyle="1">
    <w:name w:val="Balloon Text Char"/>
    <w:basedOn w:val="DefaultParagraphFont"/>
    <w:link w:val="BalloonText"/>
    <w:qFormat/>
    <w:rsid w:val="001a1494"/>
    <w:rPr>
      <w:rFonts w:ascii="Lucida Grande" w:hAnsi="Lucida Grande"/>
      <w:sz w:val="18"/>
      <w:szCs w:val="18"/>
    </w:rPr>
  </w:style>
  <w:style w:type="character" w:styleId="HeaderChar" w:customStyle="1">
    <w:name w:val="Header Char"/>
    <w:basedOn w:val="DefaultParagraphFont"/>
    <w:link w:val="Header"/>
    <w:qFormat/>
    <w:rsid w:val="005668e2"/>
    <w:rPr/>
  </w:style>
  <w:style w:type="character" w:styleId="FooterChar" w:customStyle="1">
    <w:name w:val="Footer Char"/>
    <w:basedOn w:val="DefaultParagraphFont"/>
    <w:link w:val="Footer"/>
    <w:qFormat/>
    <w:rsid w:val="005668e2"/>
    <w:rPr/>
  </w:style>
  <w:style w:type="paragraph" w:styleId="Heading" w:customStyle="1">
    <w:name w:val="Heading"/>
    <w:basedOn w:val="Normal"/>
    <w:next w:val="TextBody"/>
    <w:qFormat/>
    <w:rsid w:val="00ff3a78"/>
    <w:pPr>
      <w:keepNext/>
      <w:spacing w:before="240" w:after="120"/>
    </w:pPr>
    <w:rPr>
      <w:rFonts w:ascii="DejaVu Sans" w:hAnsi="DejaVu Sans" w:eastAsia="DejaVu Sans" w:cs="DejaVu Sans"/>
      <w:sz w:val="28"/>
      <w:szCs w:val="28"/>
    </w:rPr>
  </w:style>
  <w:style w:type="paragraph" w:styleId="TextBody" w:customStyle="1">
    <w:name w:val="Text Body"/>
    <w:basedOn w:val="Normal"/>
    <w:rsid w:val="00ff3a78"/>
    <w:pPr>
      <w:spacing w:before="180" w:after="120"/>
    </w:pPr>
    <w:rPr/>
  </w:style>
  <w:style w:type="paragraph" w:styleId="List">
    <w:name w:val="List"/>
    <w:basedOn w:val="TextBody"/>
    <w:rsid w:val="00ff3a78"/>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f3a78"/>
    <w:pPr>
      <w:suppressLineNumbers/>
    </w:pPr>
    <w:rPr/>
  </w:style>
  <w:style w:type="paragraph" w:styleId="Caption1">
    <w:name w:val="caption"/>
    <w:basedOn w:val="Normal"/>
    <w:qFormat/>
    <w:rsid w:val="00ff3a78"/>
    <w:pPr>
      <w:suppressLineNumbers/>
      <w:spacing w:before="120" w:after="120"/>
    </w:pPr>
    <w:rPr>
      <w:i/>
      <w:iCs/>
    </w:rPr>
  </w:style>
  <w:style w:type="paragraph" w:styleId="Compact" w:customStyle="1">
    <w:name w:val="Compact"/>
    <w:basedOn w:val="Normal"/>
    <w:qFormat/>
    <w:rsid w:val="00ff3a78"/>
    <w:pPr>
      <w:spacing w:before="36" w:after="36"/>
    </w:pPr>
    <w:rPr/>
  </w:style>
  <w:style w:type="paragraph" w:styleId="Title">
    <w:name w:val="Title"/>
    <w:basedOn w:val="Normal"/>
    <w:next w:val="Normal"/>
    <w:qFormat/>
    <w:rsid w:val="00ff3a78"/>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rsid w:val="00ff3a78"/>
    <w:pPr>
      <w:spacing w:before="240" w:after="240"/>
    </w:pPr>
    <w:rPr>
      <w:sz w:val="30"/>
      <w:szCs w:val="30"/>
    </w:rPr>
  </w:style>
  <w:style w:type="paragraph" w:styleId="Author" w:customStyle="1">
    <w:name w:val="Author"/>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Date">
    <w:name w:val="Date"/>
    <w:next w:val="Normal"/>
    <w:qFormat/>
    <w:rsid w:val="00ff3a78"/>
    <w:pPr>
      <w:keepNext/>
      <w:keepLines/>
      <w:widowControl/>
      <w:suppressAutoHyphens w:val="true"/>
      <w:bidi w:val="0"/>
      <w:spacing w:before="0" w:after="200"/>
      <w:jc w:val="center"/>
    </w:pPr>
    <w:rPr>
      <w:rFonts w:ascii="Cambria" w:hAnsi="Cambria" w:eastAsia="Cambria" w:cs=""/>
      <w:color w:val="00000A"/>
      <w:sz w:val="24"/>
      <w:szCs w:val="24"/>
      <w:lang w:val="en-US" w:eastAsia="en-US" w:bidi="ar-SA"/>
    </w:rPr>
  </w:style>
  <w:style w:type="paragraph" w:styleId="Abstract" w:customStyle="1">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pPr/>
    <w:rPr/>
  </w:style>
  <w:style w:type="paragraph" w:styleId="BlockQuote" w:customStyle="1">
    <w:name w:val="Block Quote"/>
    <w:basedOn w:val="Normal"/>
    <w:next w:val="Normal"/>
    <w:uiPriority w:val="9"/>
    <w:unhideWhenUsed/>
    <w:qFormat/>
    <w:rsid w:val="00ff3a78"/>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w:basedOn w:val="Normal"/>
    <w:uiPriority w:val="9"/>
    <w:unhideWhenUsed/>
    <w:qFormat/>
    <w:rsid w:val="00ff3a78"/>
    <w:pPr/>
    <w:rPr/>
  </w:style>
  <w:style w:type="paragraph" w:styleId="DefinitionTerm" w:customStyle="1">
    <w:name w:val="Definition Term"/>
    <w:basedOn w:val="Normal"/>
    <w:qFormat/>
    <w:rsid w:val="00ff3a78"/>
    <w:pPr>
      <w:keepNext/>
      <w:keepLines/>
      <w:spacing w:before="180" w:after="0"/>
    </w:pPr>
    <w:rPr>
      <w:b/>
    </w:rPr>
  </w:style>
  <w:style w:type="paragraph" w:styleId="Definition" w:customStyle="1">
    <w:name w:val="Definition"/>
    <w:basedOn w:val="Normal"/>
    <w:qFormat/>
    <w:rsid w:val="00ff3a78"/>
    <w:pPr/>
    <w:rPr/>
  </w:style>
  <w:style w:type="paragraph" w:styleId="TableCaption" w:customStyle="1">
    <w:name w:val="Table Caption"/>
    <w:basedOn w:val="Normal"/>
    <w:qFormat/>
    <w:rsid w:val="00ff3a78"/>
    <w:pPr>
      <w:spacing w:before="0" w:after="120"/>
    </w:pPr>
    <w:rPr>
      <w:i/>
    </w:rPr>
  </w:style>
  <w:style w:type="paragraph" w:styleId="ImageCaption" w:customStyle="1">
    <w:name w:val="Image Caption"/>
    <w:basedOn w:val="Normal"/>
    <w:link w:val="BodyTextChar"/>
    <w:qFormat/>
    <w:rsid w:val="00ff3a78"/>
    <w:pPr>
      <w:spacing w:before="0" w:after="120"/>
    </w:pPr>
    <w:rPr>
      <w:i/>
    </w:rPr>
  </w:style>
  <w:style w:type="paragraph" w:styleId="SourceCode" w:customStyle="1">
    <w:name w:val="Source Code"/>
    <w:basedOn w:val="Normal"/>
    <w:link w:val="VerbatimChar"/>
    <w:qFormat/>
    <w:rsid w:val="00ff3a78"/>
    <w:pPr/>
    <w:rPr/>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leader="none"/>
        <w:tab w:val="right" w:pos="9360" w:leader="none"/>
      </w:tabs>
      <w:spacing w:before="0" w:after="0"/>
    </w:pPr>
    <w:rPr/>
  </w:style>
  <w:style w:type="paragraph" w:styleId="Footer">
    <w:name w:val="Footer"/>
    <w:basedOn w:val="Normal"/>
    <w:link w:val="FooterChar"/>
    <w:rsid w:val="005668e2"/>
    <w:pPr>
      <w:tabs>
        <w:tab w:val="center" w:pos="4680" w:leader="none"/>
        <w:tab w:val="right" w:pos="9360" w:leader="none"/>
      </w:tabs>
      <w:spacing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LibreOffice/4.4.3.2$Linux_X86_64 LibreOffice_project/40m0$Build-2</Application>
  <Paragraphs>84</Paragraphs>
  <Company>Databrary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2015-03-02T02:50:00Z</dcterms:created>
  <dc:language>en-US</dc:language>
  <cp:lastPrinted>2015-05-21T20:41:00Z</cp:lastPrinted>
  <dcterms:modified xsi:type="dcterms:W3CDTF">2015-05-22T11:19:59Z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