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Times New Roman"/>
          <w:color w:val="000000"/>
          <w:sz w:val="24"/>
          <w:szCs w:val="24"/>
        </w:rPr>
      </w:pPr>
      <w:bookmarkStart w:id="0" w:name="researcher-library-collaborations-data-r"/>
      <w:bookmarkEnd w:id="0"/>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Times New Roman"/>
          <w:color w:val="000000"/>
          <w:sz w:val="24"/>
          <w:szCs w:val="24"/>
        </w:rPr>
      </w:pPr>
      <w:bookmarkStart w:id="1" w:name="introduction"/>
      <w:bookmarkEnd w:id="1"/>
      <w:r>
        <w:rPr>
          <w:rFonts w:cs="Times New Roman" w:ascii="Times New Roman" w:hAnsi="Times New Roman"/>
          <w:color w:val="000000"/>
          <w:sz w:val="24"/>
          <w:szCs w:val="24"/>
        </w:rPr>
        <w:t>Introduction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s="Times New Roman"/>
          <w:color w:val="000000"/>
          <w:sz w:val="24"/>
          <w:szCs w:val="24"/>
        </w:rPr>
      </w:pPr>
      <w:bookmarkStart w:id="2" w:name="literature-review"/>
      <w:bookmarkEnd w:id="2"/>
      <w:r>
        <w:rPr>
          <w:rFonts w:cs="Times New Roman" w:ascii="Times New Roman" w:hAnsi="Times New Roman"/>
          <w:color w:val="000000"/>
          <w:sz w:val="24"/>
          <w:szCs w:val="24"/>
        </w:rPr>
        <w:t>Literature Review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cs="Times New Roman" w:ascii="Times New Roman" w:hAnsi="Times New Roman"/>
          <w:color w:val="000000"/>
        </w:rPr>
        <w:tab/>
        <w:t xml:space="preserve">The literature on library practices and responsibilities describes how new policies and practices around communication </w:t>
      </w:r>
      <w:ins w:id="0"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1" w:author="Unknown Author" w:date="2015-05-19T18:26:00Z">
        <w:r>
          <w:rPr>
            <w:rFonts w:cs="Times New Roman" w:ascii="Times New Roman" w:hAnsi="Times New Roman"/>
            <w:color w:val="000000"/>
          </w:rPr>
          <w:delText>have been critical to the success of data repositories</w:delText>
        </w:r>
      </w:del>
      <w:ins w:id="2" w:author="Unknown Author" w:date="2015-05-19T18:26:00Z">
        <w:r>
          <w:rPr>
            <w:rFonts w:cs="Times New Roman" w:ascii="Times New Roman" w:hAnsi="Times New Roman"/>
            <w:color w:val="000000"/>
          </w:rPr>
          <w:t>will be critical in the pursuit of ensu</w:t>
        </w:r>
      </w:ins>
      <w:ins w:id="3" w:author="Unknown Author" w:date="2015-05-19T18:27:00Z">
        <w:r>
          <w:rPr>
            <w:rFonts w:cs="Times New Roman" w:ascii="Times New Roman" w:hAnsi="Times New Roman"/>
            <w:color w:val="000000"/>
          </w:rPr>
          <w:t>ring the preservation of research data</w:t>
        </w:r>
      </w:ins>
      <w:ins w:id="4" w:author="Unknown Author" w:date="2015-05-19T18:32:00Z">
        <w:r>
          <w:rPr>
            <w:rFonts w:cs="Times New Roman" w:ascii="Times New Roman" w:hAnsi="Times New Roman"/>
            <w:color w:val="000000"/>
          </w:rPr>
          <w:t xml:space="preserve"> as part of scholarly practice</w:t>
        </w:r>
      </w:ins>
      <w:ins w:id="5" w:author="Unknown Author" w:date="2015-05-19T18:30:00Z">
        <w:r>
          <w:rPr>
            <w:rFonts w:cs="Times New Roman" w:ascii="Times New Roman" w:hAnsi="Times New Roman"/>
            <w:color w:val="000000"/>
          </w:rPr>
          <w:t xml:space="preserve"> (Ogburn,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6" w:author="Unknown Author" w:date="2015-05-19T18:25:00Z">
        <w:r>
          <w:rPr>
            <w:rFonts w:cs="Times New Roman" w:ascii="Times New Roman" w:hAnsi="Times New Roman"/>
            <w:color w:val="000000"/>
          </w:rPr>
          <w:t>From these interview</w:t>
        </w:r>
      </w:ins>
      <w:ins w:id="7"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8"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Some predict that the role of liaison librarians in data repository building will increase: Researchers will welcome assistance in reducing the burden of describing and preparing data for preservation, and this will convince more researchers to contribute data (McLure, Level, Cranston, Oehlerts, &amp; Culbertson, 2014).  The Databrary team’s experiences working with investigators to curate research data bear out these predictions.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Developing successful data repositories requires practices for managing workflows involving technology and metadata creation.  Research data includes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s="Times New Roman"/>
          <w:color w:val="000000"/>
          <w:sz w:val="24"/>
          <w:szCs w:val="24"/>
        </w:rPr>
      </w:pPr>
      <w:bookmarkStart w:id="3" w:name="description-of-services"/>
      <w:bookmarkEnd w:id="3"/>
      <w:r>
        <w:rPr>
          <w:rFonts w:cs="Times New Roman" w:ascii="Times New Roman" w:hAnsi="Times New Roman"/>
          <w:color w:val="000000"/>
          <w:sz w:val="24"/>
          <w:szCs w:val="24"/>
        </w:rPr>
        <w:t>Description of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Databrary’s core competencies are a focus on community outreach and the provision of services for scholarly communication, support from institutional partners,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s="Times New Roman"/>
          <w:color w:val="000000"/>
          <w:sz w:val="24"/>
          <w:szCs w:val="24"/>
        </w:rPr>
      </w:pPr>
      <w:bookmarkStart w:id="4" w:name="community-outreach-and-scholarly-communi"/>
      <w:bookmarkEnd w:id="4"/>
      <w:r>
        <w:rPr>
          <w:rFonts w:cs="Times New Roman"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A Data Sharing Manifesto (Databrary, 2015b) articulates the project’s philosophy.  It suggests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becomes a significant component in the curation process.</w:t>
      </w:r>
    </w:p>
    <w:p>
      <w:pPr>
        <w:pStyle w:val="Heading3"/>
        <w:spacing w:lineRule="auto" w:line="480" w:before="0" w:after="180"/>
        <w:rPr>
          <w:rFonts w:ascii="Times New Roman" w:hAnsi="Times New Roman" w:cs="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w:t>
      </w:r>
      <w:bookmarkStart w:id="6" w:name="_GoBack"/>
      <w:bookmarkEnd w:id="6"/>
      <w:r>
        <w:rPr>
          <w:rFonts w:cs="Times New Roman" w:ascii="Times New Roman" w:hAnsi="Times New Roman"/>
          <w:color w:val="000000"/>
        </w:rPr>
        <w:t>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s="Times New Roman"/>
          <w:color w:val="000000"/>
          <w:sz w:val="24"/>
          <w:szCs w:val="24"/>
        </w:rPr>
      </w:pPr>
      <w:bookmarkStart w:id="7" w:name="curation"/>
      <w:bookmarkEnd w:id="7"/>
      <w:r>
        <w:rPr>
          <w:rFonts w:cs="Times New Roman" w:ascii="Times New Roman" w:hAnsi="Times New Roman"/>
          <w:color w:val="000000"/>
          <w:sz w:val="24"/>
          <w:szCs w:val="24"/>
        </w:rPr>
        <w:t>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Of course, the main purpose of Databrary’s community outreach efforts, internal partnerships, and policy framework is to secure data deposits.  Databrary supports ‘after-the-fact’ and ‘active’ curation.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and time and energy on the part of the original researcher to convey the essential aspects of their dataset for ingestion.  Active curation involves tools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8" w:name="after-the-fact-curation"/>
      <w:bookmarkEnd w:id="8"/>
      <w:r>
        <w:rPr>
          <w:rFonts w:cs="Times New Roman" w:ascii="Times New Roman" w:hAnsi="Times New Roman"/>
          <w:color w:val="000000"/>
        </w:rPr>
        <w:tab/>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Once a dataset has been approved for ingesting and the contributor has been authorized for access, staff begin to gather, organize, and prepare the data.  Occasionally, staff will review data for personal information Databrary does not wish to upload, such as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Finally, once all the metadata have been organized into a set of comma-separated value (CSV) files, and video files have been uploaded to a staging server for ingest, a set of server scripts merge the metadata into a JSON file which is then uploaded via the web application.  This initiates the uploading of the video assets, the creation of research sessions and records, video transcoding into to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Data sharing has few concrete rewards relative to other scholarly activities.  Thus, while providing expertise to assist with after-the-fact data curation reduces barriers to sharing, the time commitment required of the researcher remains a substantial deterrent.  Further, 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to </w:t>
      </w:r>
      <w:r>
        <w:rPr>
          <w:rFonts w:cs="Times New Roman" w:ascii="Times New Roman" w:hAnsi="Times New Roman"/>
          <w:i/>
          <w:color w:val="000000"/>
        </w:rPr>
        <w:t>actively curate</w:t>
      </w:r>
      <w:r>
        <w:rPr>
          <w:rFonts w:cs="Times New Roman" w:ascii="Times New Roman" w:hAnsi="Times New Roman"/>
          <w:color w:val="000000"/>
        </w:rPr>
        <w:t xml:space="preserve"> their own projects – to upload data with accompanying metadata –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2 ABOUT HERE [</w:t>
      </w:r>
      <w:r>
        <w:rPr>
          <w:rFonts w:ascii="Times New Roman" w:hAnsi="Times New Roman"/>
        </w:rPr>
        <w:t>Figure 2: This depicts the timeline for one of the sessions in a dataset hosted by Databrary (Fabricius, 2014).  This session has been shared with the Databrary community, but not with the public.  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Active curation distinguishes Databrary from most repositories.  The decision to make active curation a priority emerged from Databrary’s focus on reducing the barriers to data sharing faced by its target research field.  The insight that the observational session is a basic analytic unit of behavioral science (Bakeman &amp; Quera, 2012) inspired the decision to create a spreadsheet interface that focuses on 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Heading3"/>
        <w:spacing w:lineRule="auto" w:line="480" w:before="0" w:after="180"/>
        <w:rPr>
          <w:rFonts w:ascii="Times New Roman" w:hAnsi="Times New Roman" w:cs="Times New Roman"/>
          <w:color w:val="000000"/>
          <w:sz w:val="24"/>
          <w:szCs w:val="24"/>
        </w:rPr>
      </w:pPr>
      <w:bookmarkStart w:id="9" w:name="technical-infrastructure"/>
      <w:bookmarkEnd w:id="9"/>
      <w:r>
        <w:rPr>
          <w:rFonts w:cs="Times New Roman" w:ascii="Times New Roman" w:hAnsi="Times New Roman"/>
          <w:color w:val="000000"/>
          <w:sz w:val="24"/>
          <w:szCs w:val="24"/>
        </w:rPr>
        <w:t>Technical Infrastructure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s="Times New Roman"/>
          <w:color w:val="000000"/>
          <w:sz w:val="24"/>
          <w:szCs w:val="24"/>
        </w:rPr>
      </w:pPr>
      <w:bookmarkStart w:id="10" w:name="next-steps"/>
      <w:bookmarkEnd w:id="10"/>
      <w:r>
        <w:rPr>
          <w:rFonts w:cs="Times New Roman" w:ascii="Times New Roman" w:hAnsi="Times New Roman"/>
          <w:color w:val="000000"/>
          <w:sz w:val="24"/>
          <w:szCs w:val="24"/>
        </w:rPr>
        <w:t>Next Steps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s="Times New Roman"/>
          <w:color w:val="000000"/>
          <w:sz w:val="24"/>
          <w:szCs w:val="24"/>
        </w:rPr>
      </w:pPr>
      <w:bookmarkStart w:id="11" w:name="understand-needs-of-other-scholarly-doma"/>
      <w:bookmarkEnd w:id="11"/>
      <w:r>
        <w:rPr>
          <w:rFonts w:cs="Times New Roman"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s="Times New Roman"/>
          <w:color w:val="000000"/>
          <w:sz w:val="24"/>
          <w:szCs w:val="24"/>
        </w:rPr>
      </w:pPr>
      <w:bookmarkStart w:id="12" w:name="improve-active-curation"/>
      <w:bookmarkEnd w:id="12"/>
      <w:r>
        <w:rPr>
          <w:rFonts w:cs="Times New Roman" w:ascii="Times New Roman" w:hAnsi="Times New Roman"/>
          <w:color w:val="000000"/>
          <w:sz w:val="24"/>
          <w:szCs w:val="24"/>
        </w:rPr>
        <w:t>Improve Active 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s="Times New Roman"/>
          <w:color w:val="000000"/>
          <w:sz w:val="24"/>
          <w:szCs w:val="24"/>
        </w:rPr>
      </w:pPr>
      <w:bookmarkStart w:id="13" w:name="enhance-databrarys-feature-set"/>
      <w:bookmarkEnd w:id="13"/>
      <w:r>
        <w:rPr>
          <w:rFonts w:cs="Times New Roman" w:ascii="Times New Roman" w:hAnsi="Times New Roman"/>
          <w:color w:val="000000"/>
          <w:sz w:val="24"/>
          <w:szCs w:val="24"/>
        </w:rPr>
        <w:t>Enhance Databrary’s Feature Set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s="Times New Roman"/>
          <w:color w:val="000000"/>
          <w:sz w:val="24"/>
          <w:szCs w:val="24"/>
        </w:rPr>
      </w:pPr>
      <w:bookmarkStart w:id="14" w:name="integrate-with-other-services"/>
      <w:bookmarkEnd w:id="14"/>
      <w:r>
        <w:rPr>
          <w:rFonts w:cs="Times New Roman" w:ascii="Times New Roman" w:hAnsi="Times New Roman"/>
          <w:color w:val="000000"/>
          <w:sz w:val="24"/>
          <w:szCs w:val="24"/>
        </w:rPr>
        <w:t>Integrate with Other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15" w:name="OLE_LINK2"/>
      <w:bookmarkStart w:id="16" w:name="OLE_LINK1"/>
      <w:r>
        <w:rPr>
          <w:rFonts w:cs="Times New Roman" w:ascii="Times New Roman" w:hAnsi="Times New Roman"/>
          <w:color w:val="000000"/>
        </w:rPr>
        <w:t xml:space="preserve">Open Archives Initiative - Protocol for Metadata Harvesting (OAI-PMH) </w:t>
      </w:r>
      <w:bookmarkEnd w:id="15"/>
      <w:bookmarkEnd w:id="16"/>
      <w:r>
        <w:rPr>
          <w:rFonts w:cs="Times New Roman" w:ascii="Times New Roman" w:hAnsi="Times New Roman"/>
          <w:color w:val="000000"/>
        </w:rPr>
        <w:t>compliance.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Times New Roman"/>
          <w:color w:val="000000"/>
          <w:sz w:val="24"/>
          <w:szCs w:val="24"/>
        </w:rPr>
      </w:pPr>
      <w:bookmarkStart w:id="17" w:name="plan-for-long-term-sustainability"/>
      <w:bookmarkEnd w:id="17"/>
      <w:r>
        <w:rPr>
          <w:rFonts w:cs="Times New Roman" w:ascii="Times New Roman" w:hAnsi="Times New Roman"/>
          <w:color w:val="000000"/>
          <w:sz w:val="24"/>
          <w:szCs w:val="24"/>
        </w:rPr>
        <w:t>Plan for Long-term Sustainability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Times New Roman"/>
          <w:color w:val="000000"/>
          <w:sz w:val="24"/>
          <w:szCs w:val="24"/>
        </w:rPr>
      </w:pPr>
      <w:bookmarkStart w:id="18" w:name="conclusion"/>
      <w:bookmarkEnd w:id="18"/>
      <w:r>
        <w:rPr>
          <w:rFonts w:cs="Times New Roman" w:ascii="Times New Roman" w:hAnsi="Times New Roman"/>
          <w:color w:val="000000"/>
          <w:sz w:val="24"/>
          <w:szCs w:val="24"/>
        </w:rPr>
        <w:t>Conclusion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s="Times New Roman"/>
          <w:color w:val="000000"/>
          <w:sz w:val="24"/>
          <w:szCs w:val="24"/>
        </w:rPr>
      </w:pPr>
      <w:bookmarkStart w:id="19" w:name="acknowledgments"/>
      <w:bookmarkEnd w:id="19"/>
      <w:r>
        <w:rPr>
          <w:rFonts w:cs="Times New Roman" w:ascii="Times New Roman" w:hAnsi="Times New Roman"/>
          <w:color w:val="000000"/>
          <w:sz w:val="24"/>
          <w:szCs w:val="24"/>
        </w:rPr>
        <w:t>Acknowledgments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 xml:space="preserve">(4), 298-302.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Lyle, J. (2014).</w:t>
      </w:r>
      <w:bookmarkStart w:id="20" w:name="__DdeLink__159_1120294462"/>
      <w:r>
        <w:rPr>
          <w:rFonts w:cs="Times New Roman" w:ascii="Times New Roman" w:hAnsi="Times New Roman"/>
          <w:color w:val="000000"/>
        </w:rPr>
        <w:t xml:space="preserve"> ICPSR: A Consortial Model to Advance and Expand Social and Behavioral Research</w:t>
      </w:r>
      <w:bookmarkEnd w:id="20"/>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hanging="72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hanging="720"/>
        <w:rPr/>
      </w:pPr>
      <w:ins w:id="9" w:author="Unknown Author" w:date="2015-05-19T18:30:00Z">
        <w:r>
          <w:rPr>
            <w:rFonts w:cs="Times New Roman" w:ascii="Times New Roman" w:hAnsi="Times New Roman"/>
            <w:color w:val="000000"/>
          </w:rPr>
          <w:t>**</w:t>
        </w:r>
      </w:ins>
      <w:ins w:id="10" w:author="Unknown Author" w:date="2015-05-19T18:30:00Z">
        <w:r>
          <w:rPr>
            <w:rFonts w:cs="Times New Roman" w:ascii="Times New Roman" w:hAnsi="Times New Roman"/>
            <w:color w:val="000000"/>
          </w:rPr>
          <w:t>Ogburn, Joyce</w:t>
        </w:r>
      </w:ins>
      <w:ins w:id="11" w:author="Unknown Author" w:date="2015-05-19T18:31:00Z">
        <w:r>
          <w:rPr>
            <w:rFonts w:cs="Times New Roman" w:ascii="Times New Roman" w:hAnsi="Times New Roman"/>
            <w:color w:val="000000"/>
          </w:rPr>
          <w:t xml:space="preserve"> (2010) here**</w:t>
        </w:r>
      </w:ins>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hanging="72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88"/>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ff3a78"/>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themeColor="accent1"/>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before="180" w:after="120"/>
    </w:pPr>
    <w:rPr/>
  </w:style>
  <w:style w:type="paragraph" w:styleId="List">
    <w:name w:val="List"/>
    <w:basedOn w:val="TextBody"/>
    <w:rsid w:val="00ff3a78"/>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Application>LibreOffice/4.4.2.2$Linux_X86_64 LibreOffice_project/40m0$Build-2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dcterms:modified xsi:type="dcterms:W3CDTF">2015-05-19T18:56:09Z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