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terms-and-conditions-of-use"/>
      <w:r>
        <w:t xml:space="preserve">Databrary Terms and Conditions of Use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4" w:name="Xe73246fe7ca6fd0889d866e887a60d235fa1dc3"/>
      <w:r>
        <w:t xml:space="preserve">3. Terms and Conditions of Use</w:t>
      </w:r>
      <w:bookmarkEnd w:id="24"/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5" w:name="X5c06ccccc8fef068cc77a6ee1e76a84dd2f73fe"/>
      <w:r>
        <w:t xml:space="preserve">4. Modifications to these Terms and Conditions of Use</w:t>
      </w:r>
      <w:bookmarkEnd w:id="25"/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7" w:name="X5353ae4b55642c32f63ae66c57942e2a18f65c0"/>
      <w:r>
        <w:t xml:space="preserve">5. Rules and Conduct</w:t>
      </w:r>
      <w:bookmarkEnd w:id="27"/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numPr>
          <w:ilvl w:val="0"/>
          <w:numId w:val="1001"/>
        </w:numPr>
        <w:pStyle w:val="Compact"/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numPr>
          <w:ilvl w:val="0"/>
          <w:numId w:val="1001"/>
        </w:numPr>
        <w:pStyle w:val="Compact"/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numPr>
          <w:ilvl w:val="0"/>
          <w:numId w:val="1001"/>
        </w:numPr>
        <w:pStyle w:val="Compact"/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numPr>
          <w:ilvl w:val="0"/>
          <w:numId w:val="1001"/>
        </w:numPr>
        <w:pStyle w:val="Compact"/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numPr>
          <w:ilvl w:val="0"/>
          <w:numId w:val="1002"/>
        </w:numPr>
        <w:pStyle w:val="Compact"/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numPr>
          <w:ilvl w:val="0"/>
          <w:numId w:val="1002"/>
        </w:numPr>
        <w:pStyle w:val="Compact"/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numPr>
          <w:ilvl w:val="0"/>
          <w:numId w:val="1002"/>
        </w:numPr>
        <w:pStyle w:val="Compact"/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8" w:name="X4ff5089180c61008180fb8d17f102105f1859e9"/>
      <w:r>
        <w:t xml:space="preserve">6. Registration</w:t>
      </w:r>
      <w:bookmarkEnd w:id="28"/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29" w:name="X1677a9ea56eac3e82f4d60732652ffb09e0aa49"/>
      <w:r>
        <w:t xml:space="preserve">7. Institutional Authorization</w:t>
      </w:r>
      <w:bookmarkEnd w:id="29"/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0" w:name="X3d0f96c8af4e43b0b3936591bfe7eb93a0eb8cf"/>
      <w:r>
        <w:t xml:space="preserve">8. Your Representations and Warranties</w:t>
      </w:r>
      <w:bookmarkEnd w:id="30"/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numPr>
          <w:ilvl w:val="0"/>
          <w:numId w:val="1003"/>
        </w:numPr>
        <w:pStyle w:val="Compact"/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numPr>
          <w:ilvl w:val="0"/>
          <w:numId w:val="1003"/>
        </w:numPr>
        <w:pStyle w:val="Compact"/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numPr>
          <w:ilvl w:val="0"/>
          <w:numId w:val="1003"/>
        </w:numPr>
        <w:pStyle w:val="Compact"/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numPr>
          <w:ilvl w:val="0"/>
          <w:numId w:val="1004"/>
        </w:numPr>
        <w:pStyle w:val="Compact"/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numPr>
          <w:ilvl w:val="0"/>
          <w:numId w:val="1004"/>
        </w:numPr>
        <w:pStyle w:val="Compact"/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numPr>
          <w:ilvl w:val="0"/>
          <w:numId w:val="1004"/>
        </w:numPr>
        <w:pStyle w:val="Compact"/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numPr>
          <w:ilvl w:val="0"/>
          <w:numId w:val="1004"/>
        </w:numPr>
        <w:pStyle w:val="Compact"/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numPr>
          <w:ilvl w:val="0"/>
          <w:numId w:val="1004"/>
        </w:numPr>
        <w:pStyle w:val="Compact"/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numPr>
          <w:ilvl w:val="0"/>
          <w:numId w:val="1004"/>
        </w:numPr>
        <w:pStyle w:val="Compact"/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numPr>
          <w:ilvl w:val="0"/>
          <w:numId w:val="1004"/>
        </w:numPr>
        <w:pStyle w:val="Compact"/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numPr>
          <w:ilvl w:val="0"/>
          <w:numId w:val="1004"/>
        </w:numPr>
        <w:pStyle w:val="Compact"/>
      </w:pPr>
      <w:r>
        <w:t xml:space="preserve">Exercise professional judgment in determining what Content to share.</w:t>
      </w:r>
    </w:p>
    <w:p>
      <w:pPr>
        <w:numPr>
          <w:ilvl w:val="0"/>
          <w:numId w:val="1004"/>
        </w:numPr>
        <w:pStyle w:val="Compact"/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numPr>
          <w:ilvl w:val="0"/>
          <w:numId w:val="1004"/>
        </w:numPr>
        <w:pStyle w:val="Compact"/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numPr>
          <w:ilvl w:val="0"/>
          <w:numId w:val="1005"/>
        </w:numPr>
        <w:pStyle w:val="Compact"/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numPr>
          <w:ilvl w:val="0"/>
          <w:numId w:val="1005"/>
        </w:numPr>
        <w:pStyle w:val="Compact"/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numPr>
          <w:ilvl w:val="0"/>
          <w:numId w:val="1005"/>
        </w:numPr>
        <w:pStyle w:val="Compact"/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  <w:pStyle w:val="Compact"/>
      </w:pPr>
      <w:r>
        <w:t xml:space="preserve">Keep their contact information current on Databrary.</w:t>
      </w:r>
    </w:p>
    <w:p>
      <w:pPr>
        <w:numPr>
          <w:ilvl w:val="0"/>
          <w:numId w:val="1006"/>
        </w:numPr>
        <w:pStyle w:val="Compact"/>
      </w:pPr>
      <w:r>
        <w:t xml:space="preserve">Notify Databrary,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numPr>
          <w:ilvl w:val="0"/>
          <w:numId w:val="1006"/>
        </w:numPr>
        <w:pStyle w:val="Compact"/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numPr>
          <w:ilvl w:val="0"/>
          <w:numId w:val="1006"/>
        </w:numPr>
        <w:pStyle w:val="Compact"/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ilvl w:val="0"/>
          <w:numId w:val="1007"/>
        </w:numPr>
      </w:pPr>
      <w:r>
        <w:t xml:space="preserve">Assert that you have rights to share with us any Content you</w:t>
      </w:r>
    </w:p>
    <w:p>
      <w:pPr>
        <w:numPr>
          <w:ilvl w:val="0"/>
          <w:numId w:val="1000"/>
        </w:numPr>
        <w:pStyle w:val="BlockText"/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ilvl w:val="0"/>
          <w:numId w:val="1007"/>
        </w:numPr>
      </w:pPr>
      <w:r>
        <w:t xml:space="preserve">Agree to allow us to use the Content exclusively for the purpose of</w:t>
      </w:r>
    </w:p>
    <w:p>
      <w:pPr>
        <w:numPr>
          <w:ilvl w:val="0"/>
          <w:numId w:val="1000"/>
        </w:numPr>
        <w:pStyle w:val="BlockText"/>
      </w:pPr>
      <w:r>
        <w:t xml:space="preserve">scientific research or education.</w:t>
      </w:r>
    </w:p>
    <w:p>
      <w:pPr>
        <w:numPr>
          <w:ilvl w:val="0"/>
          <w:numId w:val="1007"/>
        </w:numPr>
      </w:pPr>
      <w:r>
        <w:t xml:space="preserve">Agree to provide licensing information if you are uploading Content</w:t>
      </w:r>
    </w:p>
    <w:p>
      <w:pPr>
        <w:numPr>
          <w:ilvl w:val="0"/>
          <w:numId w:val="1000"/>
        </w:numPr>
        <w:pStyle w:val="BlockText"/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ilvl w:val="0"/>
          <w:numId w:val="1007"/>
        </w:numPr>
      </w:pPr>
      <w:r>
        <w:t xml:space="preserve">Take responsibility for deciding when and with which other</w:t>
      </w:r>
    </w:p>
    <w:p>
      <w:pPr>
        <w:numPr>
          <w:ilvl w:val="0"/>
          <w:numId w:val="1000"/>
        </w:numPr>
        <w:pStyle w:val="BlockText"/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ilvl w:val="0"/>
          <w:numId w:val="1008"/>
        </w:numPr>
      </w:pPr>
      <w:r>
        <w:t xml:space="preserve">Follow all relevant international, national, state, and local laws</w:t>
      </w:r>
    </w:p>
    <w:p>
      <w:pPr>
        <w:numPr>
          <w:ilvl w:val="0"/>
          <w:numId w:val="1000"/>
        </w:numPr>
        <w:pStyle w:val="BlockText"/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ilvl w:val="0"/>
          <w:numId w:val="1008"/>
        </w:numPr>
      </w:pPr>
      <w:r>
        <w:t xml:space="preserve">Inform Databrary of any suspected violation of confidentiality or</w:t>
      </w:r>
    </w:p>
    <w:p>
      <w:pPr>
        <w:numPr>
          <w:ilvl w:val="0"/>
          <w:numId w:val="1000"/>
        </w:numPr>
        <w:pStyle w:val="BlockText"/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3" w:name="Xa70783db13c32e5ae008868b1acfcb6d7b32066"/>
      <w:r>
        <w:t xml:space="preserve">9. Responsible Use of Data and Data Confidentiality</w:t>
      </w:r>
      <w:bookmarkEnd w:id="33"/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4" w:name="Xc85a7b9ca28a30f0d4b688545ca70855b8b618b"/>
      <w:r>
        <w:t xml:space="preserve">10. Sharing Release Levels</w:t>
      </w:r>
      <w:bookmarkEnd w:id="34"/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5" w:name="Xeceeb05778956a864201f96aff83b0aa28d0b2d"/>
      <w:r>
        <w:t xml:space="preserve">11. Derived Data and Re-dissemination of Data</w:t>
      </w:r>
      <w:bookmarkEnd w:id="35"/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6" w:name="X4a1cadfb954040bbb33364a3b14c45d9b70202a"/>
      <w:r>
        <w:t xml:space="preserve">12. Rights Reserved to Databrary</w:t>
      </w:r>
      <w:bookmarkEnd w:id="36"/>
    </w:p>
    <w:p>
      <w:pPr>
        <w:pStyle w:val="FirstParagraph"/>
      </w:pPr>
      <w:r>
        <w:t xml:space="preserve">We reserve the right to:</w:t>
      </w:r>
    </w:p>
    <w:p>
      <w:pPr>
        <w:numPr>
          <w:ilvl w:val="0"/>
          <w:numId w:val="1009"/>
        </w:numPr>
      </w:pPr>
      <w:r>
        <w:t xml:space="preserve">Redistribute Content in Databrary in accordance with the Authorized</w:t>
      </w:r>
    </w:p>
    <w:p>
      <w:pPr>
        <w:numPr>
          <w:ilvl w:val="0"/>
          <w:numId w:val="1000"/>
        </w:numPr>
        <w:pStyle w:val="BlockText"/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ilvl w:val="0"/>
          <w:numId w:val="1009"/>
        </w:numPr>
      </w:pPr>
      <w:r>
        <w:t xml:space="preserve">Promote the availability of shared data (via the Databrary</w:t>
      </w:r>
    </w:p>
    <w:p>
      <w:pPr>
        <w:numPr>
          <w:ilvl w:val="0"/>
          <w:numId w:val="1000"/>
        </w:numPr>
        <w:pStyle w:val="BlockText"/>
      </w:pPr>
      <w:r>
        <w:t xml:space="preserve">newsletter, website, email or social media)</w:t>
      </w:r>
    </w:p>
    <w:p>
      <w:pPr>
        <w:numPr>
          <w:ilvl w:val="0"/>
          <w:numId w:val="1009"/>
        </w:numPr>
      </w:pPr>
      <w:r>
        <w:t xml:space="preserve">Describe, catalog, validate, and document data.</w:t>
      </w:r>
    </w:p>
    <w:p>
      <w:pPr>
        <w:numPr>
          <w:ilvl w:val="0"/>
          <w:numId w:val="1009"/>
        </w:numPr>
      </w:pPr>
      <w:r>
        <w:t xml:space="preserve">Store, translate, copy, or re-format Data in any way to ensure its</w:t>
      </w:r>
    </w:p>
    <w:p>
      <w:pPr>
        <w:numPr>
          <w:ilvl w:val="0"/>
          <w:numId w:val="1000"/>
        </w:numPr>
        <w:pStyle w:val="BlockText"/>
      </w:pPr>
      <w:r>
        <w:t xml:space="preserve">future preservation and accessibility.</w:t>
      </w:r>
    </w:p>
    <w:p>
      <w:pPr>
        <w:numPr>
          <w:ilvl w:val="0"/>
          <w:numId w:val="1009"/>
        </w:numPr>
      </w:pPr>
      <w:r>
        <w:t xml:space="preserve">Incorporate metadata or documentation.</w:t>
      </w:r>
    </w:p>
    <w:p>
      <w:pPr>
        <w:numPr>
          <w:ilvl w:val="0"/>
          <w:numId w:val="1009"/>
        </w:numPr>
      </w:pPr>
      <w:r>
        <w:t xml:space="preserve">Limit the amount or kind of Data stored free of charge or the level</w:t>
      </w:r>
    </w:p>
    <w:p>
      <w:pPr>
        <w:numPr>
          <w:ilvl w:val="0"/>
          <w:numId w:val="1000"/>
        </w:numPr>
        <w:pStyle w:val="BlockText"/>
      </w:pPr>
      <w:r>
        <w:t xml:space="preserve">of service provided.</w:t>
      </w:r>
    </w:p>
    <w:p>
      <w:pPr>
        <w:numPr>
          <w:ilvl w:val="0"/>
          <w:numId w:val="1009"/>
        </w:numPr>
      </w:pPr>
      <w:r>
        <w:t xml:space="preserve">Give shared Data priority over privately stored data for storage and</w:t>
      </w:r>
    </w:p>
    <w:p>
      <w:pPr>
        <w:numPr>
          <w:ilvl w:val="0"/>
          <w:numId w:val="1000"/>
        </w:numPr>
        <w:pStyle w:val="BlockText"/>
      </w:pPr>
      <w:r>
        <w:t xml:space="preserve">processing resources.</w:t>
      </w:r>
    </w:p>
    <w:p>
      <w:pPr>
        <w:pStyle w:val="Heading2"/>
      </w:pPr>
      <w:bookmarkStart w:id="37" w:name="X6efe64e2e9067e8b09494e44942c0178bbcb08d"/>
      <w:r>
        <w:t xml:space="preserve">13. Termination</w:t>
      </w:r>
      <w:bookmarkEnd w:id="37"/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8" w:name="Xf616d7c66efe937cf17ab14881e10ea170710fc"/>
      <w:r>
        <w:t xml:space="preserve">14. Warranty Disclaimer</w:t>
      </w:r>
      <w:bookmarkEnd w:id="38"/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39" w:name="Xf4a68873b8f367e84a2b9f5cad39c282a18f3c3"/>
      <w:r>
        <w:t xml:space="preserve">15. Liability Limitation</w:t>
      </w:r>
      <w:bookmarkEnd w:id="39"/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0" w:name="X168d146c5f365bef61f8c0a3418249e418d9b53"/>
      <w:r>
        <w:t xml:space="preserve">16. Indemnification</w:t>
      </w:r>
      <w:bookmarkEnd w:id="40"/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1" w:name="Xfd20e3db24fce41ae960720e3100e3e0444be4c"/>
      <w:r>
        <w:t xml:space="preserve">17. Dispute Resolution</w:t>
      </w:r>
      <w:bookmarkEnd w:id="41"/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2" w:name="Xf86ff2f93af88667c6ff5d77b12be9ec829ddcc"/>
      <w:r>
        <w:t xml:space="preserve">18. Integration and Severability</w:t>
      </w:r>
      <w:bookmarkEnd w:id="42"/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3" w:name="Xa92cc9bec97c2a099462e3ac56ed4f8c37d8a6c"/>
      <w:r>
        <w:t xml:space="preserve">19. Miscellaneous</w:t>
      </w:r>
      <w:bookmarkEnd w:id="43"/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4" w:name="Xbc775bcfbb105584c8ba13f6ebffb37d46103b2"/>
      <w:r>
        <w:t xml:space="preserve">20. Copyright and Trademark Notices</w:t>
      </w:r>
      <w:bookmarkEnd w:id="44"/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5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2020-07-26T02:44:39Z</dcterms:created>
  <dcterms:modified xsi:type="dcterms:W3CDTF">2020-07-26T02:44:39Z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