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Cierre de iteración</w:t>
            </w:r>
          </w:p>
        </w:tc>
        <w:tc>
          <w:tcPr>
            <w:tcW w:w="4414" w:type="dxa"/>
          </w:tcPr>
          <w:p w:rsidR="001C1EEB" w:rsidRDefault="001C1EEB">
            <w:r>
              <w:t>Código fecha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1C1EEB"/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:rsidR="001C1EEB" w:rsidRDefault="001C1EEB">
            <w:r>
              <w:t>Control interno para todo el proyecto.</w:t>
            </w:r>
          </w:p>
        </w:tc>
      </w:tr>
    </w:tbl>
    <w:p w:rsidR="001C1EEB" w:rsidRDefault="001C1EEB"/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  <w:bookmarkStart w:id="0" w:name="_GoBack"/>
      <w:bookmarkEnd w:id="0"/>
    </w:p>
    <w:p w:rsidR="001C1EEB" w:rsidRDefault="001C1EEB" w:rsidP="001C1EEB">
      <w:r>
        <w:lastRenderedPageBreak/>
        <w:t>Índice</w:t>
      </w:r>
    </w:p>
    <w:p w:rsidR="001C1EEB" w:rsidRDefault="001C1EEB" w:rsidP="001C1EEB"/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 xml:space="preserve">Hitos </w:t>
      </w:r>
      <w:r w:rsidRPr="006F6C9F">
        <w:rPr>
          <w:rFonts w:cstheme="minorHAnsi"/>
          <w:bCs/>
        </w:rPr>
        <w:t>E</w:t>
      </w:r>
      <w:r w:rsidRPr="006F6C9F">
        <w:rPr>
          <w:rFonts w:cstheme="minorHAnsi"/>
          <w:bCs/>
        </w:rPr>
        <w:t>speciales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</w:t>
      </w:r>
      <w:r w:rsidRPr="006F6C9F">
        <w:rPr>
          <w:rFonts w:cstheme="minorHAnsi"/>
          <w:bCs/>
        </w:rPr>
        <w:t>rtefactos</w:t>
      </w:r>
      <w:r w:rsidR="00A61205">
        <w:rPr>
          <w:rFonts w:cstheme="minorHAnsi"/>
          <w:bCs/>
        </w:rPr>
        <w:t xml:space="preserve"> y evaluación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</w:rPr>
        <w:t xml:space="preserve">[Código de </w:t>
      </w:r>
      <w:r w:rsidRPr="006F6C9F">
        <w:rPr>
          <w:rFonts w:cstheme="minorHAnsi"/>
          <w:i/>
          <w:iCs/>
          <w:color w:val="003366"/>
        </w:rPr>
        <w:t>Iteración]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Código de iteración: I2, E1, C1, T2...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 xml:space="preserve">Se suele usar la siguiente convención: </w:t>
      </w:r>
      <w:r>
        <w:rPr>
          <w:rFonts w:cstheme="minorHAnsi"/>
          <w:iCs/>
        </w:rPr>
        <w:t xml:space="preserve">I, E, C, T por la inicial de la </w:t>
      </w:r>
      <w:r w:rsidRPr="006F6C9F">
        <w:rPr>
          <w:rFonts w:cstheme="minorHAnsi"/>
          <w:iCs/>
        </w:rPr>
        <w:t>fase a la que pertenece la iteración: Inicio, Elaboración, Cons</w:t>
      </w:r>
      <w:r>
        <w:rPr>
          <w:rFonts w:cstheme="minorHAnsi"/>
          <w:iCs/>
        </w:rPr>
        <w:t xml:space="preserve">trucción </w:t>
      </w:r>
      <w:r w:rsidRPr="006F6C9F">
        <w:rPr>
          <w:rFonts w:cstheme="minorHAnsi"/>
          <w:iCs/>
        </w:rPr>
        <w:t xml:space="preserve">o Transición. 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Se sigue con un número</w:t>
      </w:r>
      <w:r>
        <w:rPr>
          <w:rFonts w:cstheme="minorHAnsi"/>
          <w:iCs/>
        </w:rPr>
        <w:t xml:space="preserve"> o correlativo que cuenta desde </w:t>
      </w:r>
      <w:r w:rsidRPr="006F6C9F">
        <w:rPr>
          <w:rFonts w:cstheme="minorHAnsi"/>
          <w:iCs/>
        </w:rPr>
        <w:t>uno.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F6C9F">
        <w:rPr>
          <w:rFonts w:cstheme="minorHAnsi"/>
          <w:iCs/>
        </w:rPr>
        <w:t>Fecha de inicio y cierre es aut</w:t>
      </w:r>
      <w:r>
        <w:rPr>
          <w:rFonts w:cstheme="minorHAnsi"/>
          <w:iCs/>
        </w:rPr>
        <w:t xml:space="preserve">o explicativo. Lo mismo con los </w:t>
      </w:r>
      <w:r w:rsidRPr="006F6C9F">
        <w:rPr>
          <w:rFonts w:cstheme="minorHAnsi"/>
          <w:iCs/>
        </w:rPr>
        <w:t>comentarios, de haberlos.]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:rsidTr="006F6C9F"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:rsidTr="006F6C9F">
        <w:tc>
          <w:tcPr>
            <w:tcW w:w="1765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5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1766" w:type="dxa"/>
          </w:tcPr>
          <w:p w:rsidR="006F6C9F" w:rsidRDefault="006F6C9F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Descripción de los hitos que se planearon para la iteración. Se cumplió o no.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:rsidTr="008D5631"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8D5631" w:rsidTr="008D5631"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Valoracion</w:t>
            </w:r>
            <w:proofErr w:type="spellEnd"/>
            <w:r>
              <w:rPr>
                <w:rFonts w:cstheme="minorHAnsi"/>
                <w:iCs/>
              </w:rPr>
              <w:t xml:space="preserve"> del control de calidad</w:t>
            </w:r>
          </w:p>
        </w:tc>
        <w:tc>
          <w:tcPr>
            <w:tcW w:w="4512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8D5631" w:rsidTr="008D5631"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:rsidR="008D5631" w:rsidRDefault="008D5631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proofErr w:type="gramStart"/>
            <w:r>
              <w:rPr>
                <w:rFonts w:cstheme="minorHAnsi"/>
                <w:iCs/>
              </w:rPr>
              <w:t>Aspecto a evaluar</w:t>
            </w:r>
            <w:proofErr w:type="gramEnd"/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 y problemas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2243E8">
        <w:rPr>
          <w:rFonts w:cstheme="minorHAnsi"/>
          <w:iCs/>
        </w:rPr>
        <w:t>Informe de lo ocurrido en la it</w:t>
      </w:r>
      <w:r>
        <w:rPr>
          <w:rFonts w:cstheme="minorHAnsi"/>
          <w:iCs/>
        </w:rPr>
        <w:t>eración, en términos generales.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lastRenderedPageBreak/>
        <w:t>Asignación de recursos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t>Anexos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A61205" w:rsidRDefault="00A61205" w:rsidP="00A61205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</w:rPr>
      </w:pPr>
      <w:r>
        <w:rPr>
          <w:rFonts w:ascii="Arial-ItalicMT" w:hAnsi="Arial-ItalicMT" w:cs="Arial-ItalicMT"/>
          <w:iCs/>
        </w:rPr>
        <w:t xml:space="preserve">cada anexo comenzara en su </w:t>
      </w:r>
      <w:r w:rsidRPr="00A61205">
        <w:rPr>
          <w:rFonts w:ascii="Arial-ItalicMT" w:hAnsi="Arial-ItalicMT" w:cs="Arial-ItalicMT"/>
          <w:iCs/>
        </w:rPr>
        <w:t>propia página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Anexo A.</w:t>
      </w: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34FD" w:rsidRP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6D34FD">
        <w:rPr>
          <w:rFonts w:cstheme="minorHAnsi"/>
          <w:i/>
        </w:rPr>
        <w:t>Estereotipado UML utilizado</w:t>
      </w:r>
    </w:p>
    <w:p w:rsidR="006D34FD" w:rsidRPr="006D34FD" w:rsidRDefault="006D34FD" w:rsidP="006D34FD">
      <w:pPr>
        <w:rPr>
          <w:rFonts w:cstheme="minorHAnsi"/>
          <w:b/>
        </w:rPr>
      </w:pPr>
    </w:p>
    <w:p w:rsidR="006D34FD" w:rsidRDefault="006D34FD" w:rsidP="006D34FD">
      <w:pPr>
        <w:rPr>
          <w:rFonts w:cstheme="minorHAnsi"/>
        </w:rPr>
      </w:pPr>
    </w:p>
    <w:p w:rsidR="006D34FD" w:rsidRPr="006D34FD" w:rsidRDefault="006D34FD" w:rsidP="006D34FD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:rsidR="006D34FD" w:rsidRPr="006F6C9F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6D34FD" w:rsidRPr="006F6C9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DAA" w:rsidRDefault="00FC5DAA" w:rsidP="001C1EEB">
      <w:pPr>
        <w:spacing w:after="0" w:line="240" w:lineRule="auto"/>
      </w:pPr>
      <w:r>
        <w:separator/>
      </w:r>
    </w:p>
  </w:endnote>
  <w:end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DAA" w:rsidRDefault="00FC5DAA" w:rsidP="001C1EEB">
      <w:pPr>
        <w:spacing w:after="0" w:line="240" w:lineRule="auto"/>
      </w:pPr>
      <w:r>
        <w:separator/>
      </w:r>
    </w:p>
  </w:footnote>
  <w:foot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>
      <w:t>Logotipo de la empresa</w:t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-BoldItalicMT" w:hAnsi="Arial-BoldItalicMT" w:cs="Arial-BoldItalicMT"/>
        <w:bCs/>
        <w:i/>
        <w:iCs/>
        <w:sz w:val="18"/>
        <w:szCs w:val="18"/>
      </w:rPr>
      <w:t>[Nombre del Proyecto</w:t>
    </w:r>
    <w:r w:rsidRPr="001C1EEB">
      <w:rPr>
        <w:rFonts w:ascii="Arial-BoldItalicMT" w:hAnsi="Arial-BoldItalicMT" w:cs="Arial-BoldItalicMT"/>
        <w:bCs/>
        <w:i/>
        <w:iCs/>
        <w:sz w:val="18"/>
        <w:szCs w:val="18"/>
      </w:rPr>
      <w:t>]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Pr="001C1EEB">
      <w:rPr>
        <w:rFonts w:ascii="Arial-BoldItalicMT" w:hAnsi="Arial-BoldItalicMT" w:cs="Arial-BoldItalicMT"/>
        <w:bCs/>
        <w:i/>
        <w:iCs/>
        <w:sz w:val="18"/>
        <w:szCs w:val="18"/>
      </w:rPr>
      <w:t>[Código de Iteración]</w:t>
    </w:r>
  </w:p>
  <w:p w:rsidR="001C1EEB" w:rsidRPr="001C1EEB" w:rsidRDefault="001C1EEB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</w:t>
    </w:r>
    <w:proofErr w:type="gramStart"/>
    <w:r>
      <w:rPr>
        <w:rFonts w:ascii="Arial-BoldMT" w:hAnsi="Arial-BoldMT" w:cs="Arial-BoldMT"/>
        <w:bCs/>
        <w:sz w:val="18"/>
        <w:szCs w:val="18"/>
      </w:rPr>
      <w:t>Junio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EB"/>
    <w:rsid w:val="001C1EEB"/>
    <w:rsid w:val="002243E8"/>
    <w:rsid w:val="006D34FD"/>
    <w:rsid w:val="006F6C9F"/>
    <w:rsid w:val="008D5631"/>
    <w:rsid w:val="00A61205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B84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Lamia Hamdan</cp:lastModifiedBy>
  <cp:revision>1</cp:revision>
  <dcterms:created xsi:type="dcterms:W3CDTF">2018-03-09T02:04:00Z</dcterms:created>
  <dcterms:modified xsi:type="dcterms:W3CDTF">2018-03-09T02:59:00Z</dcterms:modified>
</cp:coreProperties>
</file>