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9DC7" w14:textId="6CEC6975" w:rsidR="00225698" w:rsidRDefault="00225698" w:rsidP="00225698">
      <w:pPr>
        <w:pStyle w:val="Title"/>
      </w:pPr>
      <w:proofErr w:type="spellStart"/>
      <w:r>
        <w:t>MyCompany</w:t>
      </w:r>
      <w:proofErr w:type="spellEnd"/>
      <w:r>
        <w:t xml:space="preserve"> CRM business</w:t>
      </w:r>
    </w:p>
    <w:p w14:paraId="4A9FE78A" w14:textId="1C457CD7" w:rsidR="00225698" w:rsidRDefault="00225698" w:rsidP="00225698">
      <w:r>
        <w:t>This document describes the core business information model for an energy supplier’s Customer Relationship Management (CRM) landscape. It explains how customers, their contracts, metering and billing data, and all customer-service activities are structured so that the company can deliver consistent, efficient, and compliant service across the entire customer lifecycle.</w:t>
      </w:r>
    </w:p>
    <w:p w14:paraId="710B2EE6" w14:textId="0C971D23" w:rsidR="00225698" w:rsidRDefault="00225698" w:rsidP="00225698">
      <w:pPr>
        <w:pStyle w:val="Heading1"/>
      </w:pPr>
      <w:r>
        <w:t>1. Customer and relationship profile</w:t>
      </w:r>
    </w:p>
    <w:p w14:paraId="5A25D05D" w14:textId="30D315A1" w:rsidR="00225698" w:rsidRDefault="00225698" w:rsidP="00225698">
      <w:r>
        <w:t>The customer is the central entity of the model. Each customer represents either an individual person or a legal entity that has, or has had, a commercial relationship with the energy supplier. For every customer, the model captures a unique customer identifier, personal details (first name, last name, date of birth), and full contact information, including email, phone number, and postal address (street, city, postal code, country). This information supports identification, communication, and regulatory needs such as knowing your customer and being able to contact them via multiple channels.</w:t>
      </w:r>
    </w:p>
    <w:p w14:paraId="505ABC45" w14:textId="2CF18CF1" w:rsidR="00225698" w:rsidRDefault="00225698" w:rsidP="00225698">
      <w:r>
        <w:t xml:space="preserve">Beyond basic identification, the model also maintains business attributes that </w:t>
      </w:r>
      <w:proofErr w:type="spellStart"/>
      <w:r>
        <w:t>characterise</w:t>
      </w:r>
      <w:proofErr w:type="spellEnd"/>
      <w:r>
        <w:t xml:space="preserve"> the quality and depth of the relationship. The registration date tracks since when the customer has been known to the company, enabling analysis of customer tenure and loyalty. The segment attribute allows the customer base to be </w:t>
      </w:r>
      <w:proofErr w:type="spellStart"/>
      <w:r>
        <w:t>categorised</w:t>
      </w:r>
      <w:proofErr w:type="spellEnd"/>
      <w:r>
        <w:t xml:space="preserve"> into groups such as residential, SME, large enterprise, or premium customers, depending on the company’s segmentation strategy. Loyalty points represent participation in loyalty or reward </w:t>
      </w:r>
      <w:proofErr w:type="spellStart"/>
      <w:r>
        <w:t>programmes</w:t>
      </w:r>
      <w:proofErr w:type="spellEnd"/>
      <w:r>
        <w:t xml:space="preserve"> and can be used in marketing, retention initiatives, and </w:t>
      </w:r>
      <w:proofErr w:type="spellStart"/>
      <w:r>
        <w:t>personalised</w:t>
      </w:r>
      <w:proofErr w:type="spellEnd"/>
      <w:r>
        <w:t xml:space="preserve"> offers. The active status flag indicates whether a customer is currently in an active relationship with the company (for example, having at least one active contract) or is a former customer, supporting both operational processes and reporting.</w:t>
      </w:r>
    </w:p>
    <w:p w14:paraId="3D18D2B1" w14:textId="02F1636F" w:rsidR="00225698" w:rsidRDefault="00225698" w:rsidP="00225698">
      <w:r>
        <w:t>Taken together, these data elements provide a 360° view of the customer, allowing all departments—sales, marketing, customer service, billing, and collections—to work from a consistent and comprehensive customer profile.</w:t>
      </w:r>
    </w:p>
    <w:p w14:paraId="4BF2E40F" w14:textId="018043D0" w:rsidR="00225698" w:rsidRDefault="00225698" w:rsidP="00225698">
      <w:pPr>
        <w:pStyle w:val="Heading2"/>
      </w:pPr>
      <w:r>
        <w:t>2. Contracts and commercial terms</w:t>
      </w:r>
    </w:p>
    <w:p w14:paraId="4023E5A5" w14:textId="77777777" w:rsidR="00225698" w:rsidRDefault="00225698" w:rsidP="00225698">
      <w:r>
        <w:t xml:space="preserve">The commercial relationship between the energy supplier and the customer is </w:t>
      </w:r>
      <w:proofErr w:type="spellStart"/>
      <w:r>
        <w:t>formalised</w:t>
      </w:r>
      <w:proofErr w:type="spellEnd"/>
      <w:r>
        <w:t xml:space="preserve"> through contracts. A single customer can have one or multiple contracts, for example one contract for electricity and another for gas, or separate contracts for different supply points or properties. Each contract has its own contract identifier, enabling precise tracking across systems and processes.</w:t>
      </w:r>
    </w:p>
    <w:p w14:paraId="3C2DCEBF" w14:textId="77777777" w:rsidR="00225698" w:rsidRDefault="00225698" w:rsidP="00225698"/>
    <w:p w14:paraId="63D8B95D" w14:textId="597D2A34" w:rsidR="00225698" w:rsidRDefault="00225698" w:rsidP="00225698">
      <w:r>
        <w:t>For each contract, the model captures the type of energy supplied (such as electricity, gas, or other services), the start and end dates, and the current contract status. Status values may include active, pending activation, expired, or cancelled, and are key to determining eligibility for billing, renewals, and cross</w:t>
      </w:r>
      <w:r>
        <w:rPr>
          <w:rFonts w:ascii="Cambria Math" w:hAnsi="Cambria Math" w:cs="Cambria Math"/>
        </w:rPr>
        <w:t>‑</w:t>
      </w:r>
      <w:r>
        <w:t>selling opportunities. The model also includes the monthly fee associated with the contract, representing either a fixed monthly amount, a base subscription charge, or an average monthly cost depending on the business design.</w:t>
      </w:r>
    </w:p>
    <w:p w14:paraId="5A6E520E" w14:textId="31C8E05D" w:rsidR="00225698" w:rsidRDefault="00225698" w:rsidP="00225698">
      <w:r>
        <w:t>Payment-related information is also attached to the contract, with a payment method indicating how the customer chooses to pay (for example direct debit, credit card, bank transfer, or cheque). This enables operational processes such as automated payment collection and helps customer service agents quickly verify and adjust payment settings during interactions with customers.</w:t>
      </w:r>
    </w:p>
    <w:p w14:paraId="49DD9452" w14:textId="0254109A" w:rsidR="00225698" w:rsidRDefault="00225698" w:rsidP="00225698">
      <w:r>
        <w:t>The contract is linked to a subscription or tariff plan that encapsulates the pricing logic and commercial conditions of the offer. This separation between contract and subscription is important: the subscription represents the market offer (for example “Green Electricity 24</w:t>
      </w:r>
      <w:r>
        <w:rPr>
          <w:rFonts w:ascii="Cambria Math" w:hAnsi="Cambria Math" w:cs="Cambria Math"/>
        </w:rPr>
        <w:t>‑</w:t>
      </w:r>
      <w:r>
        <w:t>month fixed”), while the contract represents its application to a specific customer. This design enables business functions such as product management (defining and evolving offers independently of customers), migrations between tariffs for individual customers, and analysis of portfolio distribution across offers and segments.</w:t>
      </w:r>
    </w:p>
    <w:p w14:paraId="2EA7A951" w14:textId="1B263406" w:rsidR="00225698" w:rsidRDefault="00225698" w:rsidP="00225698">
      <w:pPr>
        <w:pStyle w:val="Heading1"/>
      </w:pPr>
      <w:r>
        <w:t>3. Metering and consumption</w:t>
      </w:r>
    </w:p>
    <w:p w14:paraId="29A016B0" w14:textId="23A67F02" w:rsidR="00225698" w:rsidRDefault="00225698" w:rsidP="00225698">
      <w:r>
        <w:t>To deliver and bill energy services, each contract must be associated with one or more meters that measure actual consumption. Meters are physical devices installed at the customer’s premises or connection points. By linking meters to contracts, the model ensures it is always clear which device(s) are used to measure consumption for each commercial agreement.</w:t>
      </w:r>
    </w:p>
    <w:p w14:paraId="0F910FDA" w14:textId="45632560" w:rsidR="00225698" w:rsidRDefault="00225698" w:rsidP="00225698">
      <w:r>
        <w:t>For each meter, the system records meter readings as separate entries. A meter reading represents a consumption measurement at a specific point in time, typically containing at least the reading value and the reading date (and potentially additional metadata such as estimation flag, reading type, or channel in an extended model). Over time, a sequence of meter readings builds the consumption history for the contract.</w:t>
      </w:r>
    </w:p>
    <w:p w14:paraId="3BF75DD7" w14:textId="079DAFD1" w:rsidR="00225698" w:rsidRDefault="00225698" w:rsidP="00225698">
      <w:r>
        <w:t xml:space="preserve">From a business perspective, this part of the model underpins several critical processes. It feeds billing, since energy invoices are usually based on the difference between consecutive readings or on aggregated consumption over a period. It enables monitoring of </w:t>
      </w:r>
      <w:r>
        <w:lastRenderedPageBreak/>
        <w:t>consumption patterns, which can be used to detect anomalies (for example potential leaks, meter faults, or fraud) and to offer energy efficiency advice. It also supports regulatory obligations where suppliers must provide accurate and transparent consumption information to customers.</w:t>
      </w:r>
    </w:p>
    <w:p w14:paraId="44DFF19A" w14:textId="476E9388" w:rsidR="00225698" w:rsidRDefault="00225698" w:rsidP="00225698">
      <w:r>
        <w:t>By structuring metering and consumption data in this way, the company can align its CRM view of the customer with its operational and technical view, bridging the gap between commercial and network</w:t>
      </w:r>
      <w:r>
        <w:rPr>
          <w:rFonts w:ascii="Cambria Math" w:hAnsi="Cambria Math" w:cs="Cambria Math"/>
        </w:rPr>
        <w:t>‑</w:t>
      </w:r>
      <w:r>
        <w:t>level information.</w:t>
      </w:r>
    </w:p>
    <w:p w14:paraId="0294D4CD" w14:textId="2A797CCE" w:rsidR="00225698" w:rsidRDefault="00225698" w:rsidP="00225698">
      <w:pPr>
        <w:pStyle w:val="Heading1"/>
      </w:pPr>
      <w:r>
        <w:t>4. Billing and payments</w:t>
      </w:r>
    </w:p>
    <w:p w14:paraId="7F5FCD23" w14:textId="11B5B372" w:rsidR="00225698" w:rsidRDefault="00225698" w:rsidP="00225698">
      <w:r>
        <w:t xml:space="preserve">Billing and cash collection are represented through invoices and payments, both linked back to the underlying contract and thus indirectly to the customer. An invoice is the billing document issued for a given billing period under a contract. Although the details of invoice attributes are not fully enumerated in the snippet you provided, in a business context an invoice would typically carry information such as invoice number, issue date, billing period, total amount, taxes, due date, and </w:t>
      </w:r>
      <w:proofErr w:type="gramStart"/>
      <w:r>
        <w:t>current status</w:t>
      </w:r>
      <w:proofErr w:type="gramEnd"/>
      <w:r>
        <w:t xml:space="preserve"> (open, paid, overdue, cancelled).</w:t>
      </w:r>
    </w:p>
    <w:p w14:paraId="56111E7B" w14:textId="02B1D045" w:rsidR="00225698" w:rsidRDefault="00225698" w:rsidP="00225698">
      <w:r>
        <w:t>Each contract can produce multiple invoices over its lifetime, reflecting regular billing cycles (for example monthly, bi</w:t>
      </w:r>
      <w:r>
        <w:rPr>
          <w:rFonts w:ascii="Cambria Math" w:hAnsi="Cambria Math" w:cs="Cambria Math"/>
        </w:rPr>
        <w:t>‑</w:t>
      </w:r>
      <w:r>
        <w:t>monthly, or quarterly) and occasional correction or adjustment bills. This allows the company to maintain a complete billing history for every contract and customer, supporting both operational activities and customer self</w:t>
      </w:r>
      <w:r>
        <w:rPr>
          <w:rFonts w:ascii="Cambria Math" w:hAnsi="Cambria Math" w:cs="Cambria Math"/>
        </w:rPr>
        <w:t>‑</w:t>
      </w:r>
      <w:r>
        <w:t>service (for example access to invoice history via portal or app).</w:t>
      </w:r>
    </w:p>
    <w:p w14:paraId="34E3E3E9" w14:textId="7A8F8EDA" w:rsidR="00225698" w:rsidRDefault="00225698" w:rsidP="00225698">
      <w:r>
        <w:t>Payments represent the financial transactions through which customers settle their invoices. A payment is associated with one invoice, although business processes may allow multiple payments for the same invoice (for example partial payments or instalment plans). Payment records would typically contain information such as payment date, amount, payment channel, and reconciliation status.</w:t>
      </w:r>
    </w:p>
    <w:p w14:paraId="33470A8B" w14:textId="70682C58" w:rsidR="00225698" w:rsidRDefault="00225698" w:rsidP="00225698">
      <w:r>
        <w:t>This structure supports end</w:t>
      </w:r>
      <w:r>
        <w:rPr>
          <w:rFonts w:ascii="Cambria Math" w:hAnsi="Cambria Math" w:cs="Cambria Math"/>
        </w:rPr>
        <w:t>‑</w:t>
      </w:r>
      <w:r>
        <w:t>to</w:t>
      </w:r>
      <w:r>
        <w:rPr>
          <w:rFonts w:ascii="Cambria Math" w:hAnsi="Cambria Math" w:cs="Cambria Math"/>
        </w:rPr>
        <w:t>‑</w:t>
      </w:r>
      <w:r>
        <w:t>end revenue management: the company can easily determine which invoices are unpaid or partially paid, calculate outstanding balances per customer or contract, manage dunning and collection processes, and comply with financial and regulatory reporting requirements. Customer service agents can, in turn, quickly review a customer’s billing and payment history during calls or interactions, enabling transparent and informed discussions.</w:t>
      </w:r>
    </w:p>
    <w:p w14:paraId="476C34D6" w14:textId="5BC99C07" w:rsidR="00225698" w:rsidRDefault="00225698" w:rsidP="00225698">
      <w:pPr>
        <w:pStyle w:val="Heading1"/>
      </w:pPr>
      <w:r>
        <w:t>5. Customer interactions and service</w:t>
      </w:r>
    </w:p>
    <w:p w14:paraId="1D33D461" w14:textId="77777777" w:rsidR="00225698" w:rsidRDefault="00225698" w:rsidP="00225698"/>
    <w:p w14:paraId="5E8902DD" w14:textId="60739E38" w:rsidR="00225698" w:rsidRDefault="00225698" w:rsidP="00225698">
      <w:r>
        <w:lastRenderedPageBreak/>
        <w:t>Customer relationships are not defined only by contracts and invoices; they are also shaped by the various interactions between customers and the company across different channels. The model reflects this by distinguishing between generic interactions, phone calls, claims, and the agents who handle them.</w:t>
      </w:r>
    </w:p>
    <w:p w14:paraId="2D7B91F6" w14:textId="4E89B6D7" w:rsidR="00225698" w:rsidRDefault="00225698" w:rsidP="00225698">
      <w:r>
        <w:t>An interaction represents any engagement event with the customer, such as an email, a webchat session, a message submitted through an online form, or a social</w:t>
      </w:r>
      <w:r>
        <w:rPr>
          <w:rFonts w:ascii="Cambria Math" w:hAnsi="Cambria Math" w:cs="Cambria Math"/>
        </w:rPr>
        <w:t>‑</w:t>
      </w:r>
      <w:r>
        <w:t xml:space="preserve">media contact. Each interaction is linked to the customer, making it possible to reconstruct the contact history, understand communication preferences, and measure engagement over time. In a complete implementation, interactions might also be </w:t>
      </w:r>
      <w:proofErr w:type="spellStart"/>
      <w:r>
        <w:t>categorised</w:t>
      </w:r>
      <w:proofErr w:type="spellEnd"/>
      <w:r>
        <w:t xml:space="preserve"> by type, topic, and outcome.</w:t>
      </w:r>
    </w:p>
    <w:p w14:paraId="782467AE" w14:textId="1438308C" w:rsidR="00225698" w:rsidRDefault="00225698" w:rsidP="00225698">
      <w:r>
        <w:t>Calls represent telephone</w:t>
      </w:r>
      <w:r>
        <w:rPr>
          <w:rFonts w:ascii="Cambria Math" w:hAnsi="Cambria Math" w:cs="Cambria Math"/>
        </w:rPr>
        <w:t>‑</w:t>
      </w:r>
      <w:r>
        <w:t xml:space="preserve">based contacts, usually handled through the contact </w:t>
      </w:r>
      <w:proofErr w:type="spellStart"/>
      <w:r>
        <w:t>centre</w:t>
      </w:r>
      <w:proofErr w:type="spellEnd"/>
      <w:r>
        <w:t xml:space="preserve">. They are linked both to the customer and to the agent who handled the call. This enables detailed analysis of call volumes, reasons for calls, handling times, and service levels at both customer and agent levels. The distinction between interactions and calls allows a company to manage and </w:t>
      </w:r>
      <w:proofErr w:type="spellStart"/>
      <w:r>
        <w:t>optimise</w:t>
      </w:r>
      <w:proofErr w:type="spellEnd"/>
      <w:r>
        <w:t xml:space="preserve"> channel strategy, balancing self</w:t>
      </w:r>
      <w:r>
        <w:rPr>
          <w:rFonts w:ascii="Cambria Math" w:hAnsi="Cambria Math" w:cs="Cambria Math"/>
        </w:rPr>
        <w:t>‑</w:t>
      </w:r>
      <w:r>
        <w:t>service and assisted channels while maintaining an integrated view of the customer journey.</w:t>
      </w:r>
    </w:p>
    <w:p w14:paraId="4FCF5C23" w14:textId="4AAB278D" w:rsidR="00225698" w:rsidRDefault="00225698" w:rsidP="00225698">
      <w:r>
        <w:t>Agents are the employees (or potentially outsourced staff) who manage customer contacts and cases. By associating interactions, calls, and claims with agents, the model supports operational management (workload distribution, shift planning), performance measurement (KPIs such as first</w:t>
      </w:r>
      <w:r>
        <w:rPr>
          <w:rFonts w:ascii="Cambria Math" w:hAnsi="Cambria Math" w:cs="Cambria Math"/>
        </w:rPr>
        <w:t>‑</w:t>
      </w:r>
      <w:r>
        <w:t>contact resolution, average handling time, or customer satisfaction), and training needs analysis.</w:t>
      </w:r>
    </w:p>
    <w:p w14:paraId="06CED871" w14:textId="2444274C" w:rsidR="00225698" w:rsidRDefault="00225698" w:rsidP="00225698">
      <w:pPr>
        <w:pStyle w:val="Heading1"/>
      </w:pPr>
      <w:r>
        <w:t>6. Claims and complaint management</w:t>
      </w:r>
    </w:p>
    <w:p w14:paraId="0F0D3306" w14:textId="65A4581D" w:rsidR="00225698" w:rsidRDefault="00225698" w:rsidP="00225698">
      <w:r>
        <w:t>Claims represent formal requests, complaints, or cases raised by customers, typically when something is perceived to have gone wrong (for example billing errors, service interruptions, quality problems, or contract disputes). Each claim is linked to the customer who raised it and may also be tied to the specific contract it relates to, ensuring clear traceability between the issue and the affected service.</w:t>
      </w:r>
    </w:p>
    <w:p w14:paraId="086B1B0A" w14:textId="77777777" w:rsidR="00225698" w:rsidRDefault="00225698" w:rsidP="00225698">
      <w:r>
        <w:t xml:space="preserve">A claim is assigned to an agent (or a responsible team) who is accountable for managing and resolving it. Throughout its lifecycle, the claim may generate multiple interactions and calls as the customer and the company communicate about the issue. This allows the </w:t>
      </w:r>
      <w:proofErr w:type="spellStart"/>
      <w:r>
        <w:t>organisation</w:t>
      </w:r>
      <w:proofErr w:type="spellEnd"/>
      <w:r>
        <w:t xml:space="preserve"> to trace the full history of the case, from initial registration to final resolution, including all associated touchpoints.</w:t>
      </w:r>
    </w:p>
    <w:p w14:paraId="0FF90868" w14:textId="77777777" w:rsidR="00225698" w:rsidRDefault="00225698" w:rsidP="00225698"/>
    <w:p w14:paraId="04E49FAE" w14:textId="6CD531A4" w:rsidR="00225698" w:rsidRDefault="00225698" w:rsidP="00225698">
      <w:r>
        <w:lastRenderedPageBreak/>
        <w:t>From a business standpoint, this structure enables robust complaint and case management. It supports regulatory requirements around complaint handling and reporting, provides the basis for root</w:t>
      </w:r>
      <w:r>
        <w:rPr>
          <w:rFonts w:ascii="Cambria Math" w:hAnsi="Cambria Math" w:cs="Cambria Math"/>
        </w:rPr>
        <w:t>‑</w:t>
      </w:r>
      <w:r>
        <w:t xml:space="preserve">cause analysis (for example identifying recurring issues with a specific tariff, process, or system), and feeds continuous improvement </w:t>
      </w:r>
      <w:proofErr w:type="spellStart"/>
      <w:r>
        <w:t>programmes</w:t>
      </w:r>
      <w:proofErr w:type="spellEnd"/>
      <w:r>
        <w:t>. It also helps improve customer satisfaction by enabling clear ownership of each claim and visibility on its progress for both customers and internal stakeholders.</w:t>
      </w:r>
    </w:p>
    <w:p w14:paraId="78BEF68D" w14:textId="2BA08BC2" w:rsidR="00225698" w:rsidRDefault="00225698" w:rsidP="00225698">
      <w:pPr>
        <w:pStyle w:val="Heading1"/>
      </w:pPr>
      <w:r>
        <w:t>7. End</w:t>
      </w:r>
      <w:r>
        <w:rPr>
          <w:rFonts w:ascii="Cambria Math" w:hAnsi="Cambria Math" w:cs="Cambria Math"/>
        </w:rPr>
        <w:t>‑</w:t>
      </w:r>
      <w:r>
        <w:t>to</w:t>
      </w:r>
      <w:r>
        <w:rPr>
          <w:rFonts w:ascii="Cambria Math" w:hAnsi="Cambria Math" w:cs="Cambria Math"/>
        </w:rPr>
        <w:t>‑</w:t>
      </w:r>
      <w:r>
        <w:t>end view and usage</w:t>
      </w:r>
    </w:p>
    <w:p w14:paraId="583609F4" w14:textId="3ED52C97" w:rsidR="00225698" w:rsidRDefault="00225698" w:rsidP="00225698">
      <w:r>
        <w:t xml:space="preserve">When taken as a whole, this business model connects four major dimensions of an energy supplier’s activity: who the customer is, what they have purchased, how they consume and are billed, and how they interact with the company—including when they have issues that need to be resolved. Because all entities are explicitly connected (customers to contracts, contracts to meters and invoices, invoices to payments, customers to interactions and claims, and all service activities to agents), the </w:t>
      </w:r>
      <w:proofErr w:type="spellStart"/>
      <w:r>
        <w:t>organisation</w:t>
      </w:r>
      <w:proofErr w:type="spellEnd"/>
      <w:r>
        <w:t xml:space="preserve"> can build a truly integrated “Customer 360” environment.</w:t>
      </w:r>
    </w:p>
    <w:p w14:paraId="31A41F0D" w14:textId="131C6B9C" w:rsidR="00225698" w:rsidRDefault="00225698" w:rsidP="00225698">
      <w:r>
        <w:t xml:space="preserve">In practical terms, this means that a customer service agent viewing a single customer can access, in one place, their personal details, current and past contracts, recent bills and payments, consumption history, ongoing claims, and the complete interaction history. Marketing teams can </w:t>
      </w:r>
      <w:proofErr w:type="gramStart"/>
      <w:r>
        <w:t>segment</w:t>
      </w:r>
      <w:proofErr w:type="gramEnd"/>
      <w:r>
        <w:t xml:space="preserve"> and target customers based on a combination of contractual, </w:t>
      </w:r>
      <w:proofErr w:type="spellStart"/>
      <w:r>
        <w:t>behavioural</w:t>
      </w:r>
      <w:proofErr w:type="spellEnd"/>
      <w:r>
        <w:t>, and financial data. Finance and operations teams can monitor revenue, debt, and metering accuracy by contract and customer segment. Management can use this integrated information to drive strategic decisions on pricing, product design, service quality, and investment in customer experience.</w:t>
      </w:r>
    </w:p>
    <w:p w14:paraId="00481449" w14:textId="370E3F11" w:rsidR="00225698" w:rsidRDefault="00225698" w:rsidP="00225698">
      <w:r>
        <w:t>This document therefore describes not just data elements, but the backbone of how an energy supplier structures and manages its customer relationships across systems and departments, ensuring consistency, transparency, and efficiency throughout the customer lifecycle</w:t>
      </w:r>
      <w:r>
        <w:t>.</w:t>
      </w:r>
    </w:p>
    <w:sectPr w:rsidR="00225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98"/>
    <w:rsid w:val="00225698"/>
    <w:rsid w:val="007B3193"/>
    <w:rsid w:val="007C6672"/>
    <w:rsid w:val="00A30F40"/>
    <w:rsid w:val="00A67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6C4093"/>
  <w15:chartTrackingRefBased/>
  <w15:docId w15:val="{6875C41E-450B-1545-88EC-5DC4FBEF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5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698"/>
    <w:rPr>
      <w:rFonts w:eastAsiaTheme="majorEastAsia" w:cstheme="majorBidi"/>
      <w:color w:val="272727" w:themeColor="text1" w:themeTint="D8"/>
    </w:rPr>
  </w:style>
  <w:style w:type="paragraph" w:styleId="Title">
    <w:name w:val="Title"/>
    <w:basedOn w:val="Normal"/>
    <w:next w:val="Normal"/>
    <w:link w:val="TitleChar"/>
    <w:uiPriority w:val="10"/>
    <w:qFormat/>
    <w:rsid w:val="00225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698"/>
    <w:pPr>
      <w:spacing w:before="160"/>
      <w:jc w:val="center"/>
    </w:pPr>
    <w:rPr>
      <w:i/>
      <w:iCs/>
      <w:color w:val="404040" w:themeColor="text1" w:themeTint="BF"/>
    </w:rPr>
  </w:style>
  <w:style w:type="character" w:customStyle="1" w:styleId="QuoteChar">
    <w:name w:val="Quote Char"/>
    <w:basedOn w:val="DefaultParagraphFont"/>
    <w:link w:val="Quote"/>
    <w:uiPriority w:val="29"/>
    <w:rsid w:val="00225698"/>
    <w:rPr>
      <w:i/>
      <w:iCs/>
      <w:color w:val="404040" w:themeColor="text1" w:themeTint="BF"/>
    </w:rPr>
  </w:style>
  <w:style w:type="paragraph" w:styleId="ListParagraph">
    <w:name w:val="List Paragraph"/>
    <w:basedOn w:val="Normal"/>
    <w:uiPriority w:val="34"/>
    <w:qFormat/>
    <w:rsid w:val="00225698"/>
    <w:pPr>
      <w:ind w:left="720"/>
      <w:contextualSpacing/>
    </w:pPr>
  </w:style>
  <w:style w:type="character" w:styleId="IntenseEmphasis">
    <w:name w:val="Intense Emphasis"/>
    <w:basedOn w:val="DefaultParagraphFont"/>
    <w:uiPriority w:val="21"/>
    <w:qFormat/>
    <w:rsid w:val="00225698"/>
    <w:rPr>
      <w:i/>
      <w:iCs/>
      <w:color w:val="0F4761" w:themeColor="accent1" w:themeShade="BF"/>
    </w:rPr>
  </w:style>
  <w:style w:type="paragraph" w:styleId="IntenseQuote">
    <w:name w:val="Intense Quote"/>
    <w:basedOn w:val="Normal"/>
    <w:next w:val="Normal"/>
    <w:link w:val="IntenseQuoteChar"/>
    <w:uiPriority w:val="30"/>
    <w:qFormat/>
    <w:rsid w:val="00225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698"/>
    <w:rPr>
      <w:i/>
      <w:iCs/>
      <w:color w:val="0F4761" w:themeColor="accent1" w:themeShade="BF"/>
    </w:rPr>
  </w:style>
  <w:style w:type="character" w:styleId="IntenseReference">
    <w:name w:val="Intense Reference"/>
    <w:basedOn w:val="DefaultParagraphFont"/>
    <w:uiPriority w:val="32"/>
    <w:qFormat/>
    <w:rsid w:val="002256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1725</Words>
  <Characters>10300</Characters>
  <Application>Microsoft Office Word</Application>
  <DocSecurity>0</DocSecurity>
  <Lines>187</Lines>
  <Paragraphs>39</Paragraphs>
  <ScaleCrop>false</ScaleCrop>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Cayla</dc:creator>
  <cp:keywords/>
  <dc:description/>
  <cp:lastModifiedBy>Benoit Cayla</cp:lastModifiedBy>
  <cp:revision>1</cp:revision>
  <dcterms:created xsi:type="dcterms:W3CDTF">2026-02-21T14:24:00Z</dcterms:created>
  <dcterms:modified xsi:type="dcterms:W3CDTF">2026-02-21T14:26:00Z</dcterms:modified>
</cp:coreProperties>
</file>