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66" w:rsidRPr="008B6FF8" w:rsidRDefault="00455766" w:rsidP="00455766">
      <w:pPr>
        <w:rPr>
          <w:b/>
          <w:sz w:val="40"/>
          <w:szCs w:val="40"/>
        </w:rPr>
      </w:pPr>
      <w:r w:rsidRPr="008B6FF8">
        <w:rPr>
          <w:b/>
          <w:sz w:val="40"/>
          <w:szCs w:val="40"/>
        </w:rPr>
        <w:t>Q.3)</w:t>
      </w:r>
    </w:p>
    <w:p w:rsidR="00455766" w:rsidRPr="009E1BF7" w:rsidRDefault="00455766" w:rsidP="00455766">
      <w:pPr>
        <w:rPr>
          <w:b/>
        </w:rPr>
      </w:pPr>
      <w:r w:rsidRPr="009E1BF7">
        <w:rPr>
          <w:b/>
        </w:rPr>
        <w:t>Objectives of the Study</w:t>
      </w:r>
    </w:p>
    <w:p w:rsidR="00455766" w:rsidRPr="000E124D" w:rsidRDefault="00455766" w:rsidP="00455766">
      <w:r>
        <w:t>The primary objective of study is to fit the best method to estimate the Volatility pattern of Indian Stock Market.</w:t>
      </w:r>
    </w:p>
    <w:p w:rsidR="00455766" w:rsidRPr="00CF258B" w:rsidRDefault="00455766" w:rsidP="00455766">
      <w:pPr>
        <w:rPr>
          <w:sz w:val="24"/>
          <w:szCs w:val="24"/>
        </w:rPr>
      </w:pPr>
      <w:r>
        <w:rPr>
          <w:sz w:val="24"/>
          <w:szCs w:val="24"/>
        </w:rPr>
        <w:t>This graph shows that</w:t>
      </w:r>
      <w:r>
        <w:t xml:space="preserve"> volatility is present.</w:t>
      </w:r>
    </w:p>
    <w:p w:rsidR="00455766" w:rsidRDefault="00455766" w:rsidP="00455766">
      <w:pPr>
        <w:rPr>
          <w:b/>
          <w:sz w:val="24"/>
          <w:szCs w:val="24"/>
        </w:rPr>
      </w:pPr>
      <w:r w:rsidRPr="009407DB">
        <w:rPr>
          <w:b/>
          <w:sz w:val="24"/>
          <w:szCs w:val="24"/>
        </w:rPr>
        <w:t xml:space="preserve"> </w:t>
      </w:r>
    </w:p>
    <w:p w:rsidR="00455766" w:rsidRDefault="00455766" w:rsidP="00455766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59AFCFB" wp14:editId="35E81874">
            <wp:simplePos x="0" y="0"/>
            <wp:positionH relativeFrom="margin">
              <wp:align>center</wp:align>
            </wp:positionH>
            <wp:positionV relativeFrom="paragraph">
              <wp:posOffset>-313681</wp:posOffset>
            </wp:positionV>
            <wp:extent cx="2220595" cy="1598295"/>
            <wp:effectExtent l="0" t="0" r="8255" b="1905"/>
            <wp:wrapTight wrapText="bothSides">
              <wp:wrapPolygon edited="0">
                <wp:start x="0" y="0"/>
                <wp:lineTo x="0" y="21368"/>
                <wp:lineTo x="21495" y="21368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Pr="00126139" w:rsidRDefault="00455766" w:rsidP="00455766">
      <w:pPr>
        <w:rPr>
          <w:rFonts w:ascii="Times New Roman" w:hAnsi="Times New Roman" w:cs="Times New Roman"/>
          <w:b/>
          <w:sz w:val="24"/>
          <w:szCs w:val="24"/>
        </w:rPr>
      </w:pPr>
      <w:r w:rsidRPr="00126139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escriptive Statistics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ln</w:t>
      </w:r>
      <w:r w:rsidRPr="00126139">
        <w:rPr>
          <w:rFonts w:ascii="Times New Roman" w:hAnsi="Times New Roman" w:cs="Times New Roman"/>
          <w:b/>
          <w:sz w:val="24"/>
          <w:szCs w:val="24"/>
        </w:rPr>
        <w:t>sensex</w:t>
      </w:r>
      <w:proofErr w:type="spellEnd"/>
      <w:r w:rsidRPr="00126139">
        <w:rPr>
          <w:rFonts w:ascii="Times New Roman" w:hAnsi="Times New Roman" w:cs="Times New Roman"/>
          <w:b/>
          <w:sz w:val="24"/>
          <w:szCs w:val="24"/>
        </w:rPr>
        <w:t xml:space="preserve"> variable:</w:t>
      </w:r>
    </w:p>
    <w:p w:rsidR="00455766" w:rsidRPr="00126139" w:rsidRDefault="00455766" w:rsidP="00455766">
      <w:pPr>
        <w:rPr>
          <w:rFonts w:ascii="Times New Roman" w:hAnsi="Times New Roman" w:cs="Times New Roman"/>
          <w:b/>
          <w:sz w:val="24"/>
        </w:rPr>
      </w:pPr>
      <w:r w:rsidRPr="00126139">
        <w:rPr>
          <w:rFonts w:ascii="Times New Roman" w:hAnsi="Times New Roman" w:cs="Times New Roman"/>
          <w:b/>
          <w:sz w:val="24"/>
        </w:rPr>
        <w:t>Histogram and Stats:</w:t>
      </w:r>
    </w:p>
    <w:p w:rsidR="00455766" w:rsidRDefault="00455766" w:rsidP="00455766">
      <w:r>
        <w:object w:dxaOrig="960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75pt" o:ole="">
            <v:imagedata r:id="rId6" o:title=""/>
          </v:shape>
          <o:OLEObject Type="Embed" ProgID="EViews.Workfile.2" ShapeID="_x0000_i1025" DrawAspect="Content" ObjectID="_1603889013" r:id="rId7"/>
        </w:object>
      </w:r>
    </w:p>
    <w:p w:rsidR="00455766" w:rsidRPr="00126139" w:rsidRDefault="00455766" w:rsidP="00455766">
      <w:pPr>
        <w:rPr>
          <w:rFonts w:ascii="Times New Roman" w:hAnsi="Times New Roman" w:cs="Times New Roman"/>
          <w:b/>
          <w:sz w:val="24"/>
        </w:rPr>
      </w:pPr>
      <w:r w:rsidRPr="00126139">
        <w:rPr>
          <w:rFonts w:ascii="Times New Roman" w:hAnsi="Times New Roman" w:cs="Times New Roman"/>
          <w:b/>
          <w:sz w:val="24"/>
        </w:rPr>
        <w:t>Stats Table:</w:t>
      </w:r>
    </w:p>
    <w:p w:rsidR="00455766" w:rsidRDefault="00455766" w:rsidP="00455766">
      <w:r>
        <w:rPr>
          <w:noProof/>
          <w:lang w:eastAsia="en-IN"/>
        </w:rPr>
        <w:lastRenderedPageBreak/>
        <w:drawing>
          <wp:inline distT="0" distB="0" distL="0" distR="0" wp14:anchorId="23FEE9DE" wp14:editId="055EA751">
            <wp:extent cx="21526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Default="00455766" w:rsidP="00455766">
      <w:pPr>
        <w:rPr>
          <w:b/>
          <w:sz w:val="28"/>
          <w:szCs w:val="28"/>
        </w:rPr>
      </w:pPr>
    </w:p>
    <w:p w:rsidR="00455766" w:rsidRPr="00F778AE" w:rsidRDefault="00455766" w:rsidP="00455766">
      <w:pPr>
        <w:rPr>
          <w:b/>
          <w:sz w:val="28"/>
          <w:szCs w:val="28"/>
        </w:rPr>
      </w:pPr>
      <w:r w:rsidRPr="00F778AE">
        <w:rPr>
          <w:b/>
          <w:sz w:val="28"/>
          <w:szCs w:val="28"/>
        </w:rPr>
        <w:t xml:space="preserve">Unit root test: </w:t>
      </w:r>
    </w:p>
    <w:p w:rsidR="00455766" w:rsidRPr="007D727F" w:rsidRDefault="00455766" w:rsidP="00455766">
      <w:pPr>
        <w:rPr>
          <w:b/>
        </w:rPr>
      </w:pPr>
      <w:r w:rsidRPr="007D727F">
        <w:rPr>
          <w:b/>
        </w:rPr>
        <w:t>Dickey-Fuller test:</w:t>
      </w:r>
    </w:p>
    <w:p w:rsidR="00455766" w:rsidRPr="007775A9" w:rsidRDefault="00455766" w:rsidP="00455766">
      <w:r>
        <w:t>Null hypothesis                Ho: Has unit root</w:t>
      </w:r>
    </w:p>
    <w:p w:rsidR="00455766" w:rsidRDefault="00455766" w:rsidP="0045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Alternative hypothesis        H1: Does not have unit root i.e. stationary</w:t>
      </w:r>
    </w:p>
    <w:p w:rsidR="00455766" w:rsidRDefault="00455766" w:rsidP="0045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850"/>
        <w:gridCol w:w="931"/>
        <w:gridCol w:w="932"/>
        <w:gridCol w:w="768"/>
      </w:tblGrid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2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LNSENSEX has a unit root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50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Lag Length: 5 (Automatic - based on AIC,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maxlag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=20)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55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55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333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9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-13.42998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0.0000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-3.437267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-2.864483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-2.568390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55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2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*MacKinnon (1996) one-sided p-values.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2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Equation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2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D(LNSENSEX)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14:20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2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1/12/2015 9/21/2018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2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916 after adjustments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55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55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LNSENSEX(-1)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-1.035740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0.077122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-13.42998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D(LNSENSEX(-1))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0.101481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0.069867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1.452483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0.1467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D(LNSENSEX(-2))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0.072761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0.062484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1.164476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0.2445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D(LNSENSEX(-3))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0.147768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0.054968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2.688272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0.0073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D(LNSENSEX(-4))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0.094868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0.044919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2.111979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0.0350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D(LNSENSEX(-5))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0.051907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0.032876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1.578885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0.1147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0.000332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0.000272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1.217134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0.2239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55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0.475023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-1.56E-05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0.471558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0.011289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0.008206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-6.760232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0.061214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-6.723398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3103.186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-6.746173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137.0842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1.996949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55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Default="00455766" w:rsidP="00455766">
      <w:r>
        <w:rPr>
          <w:rFonts w:ascii="Arial" w:hAnsi="Arial" w:cs="Arial"/>
          <w:sz w:val="18"/>
          <w:szCs w:val="18"/>
        </w:rPr>
        <w:br/>
      </w:r>
      <w:r>
        <w:t>The presence of unit root in the series tested using ADF tests and the presence of heteroscedasticity tested using ARCH LM test. The p values of ADF are &lt; 0.05, which lead to conclude that the data of the time series for the entire study period is stationary. The ADF test statistics reported in reject the null hypothesis at 5% level with the critical value of –2.86 for both ADF tests of a unit root in the return series. Hence, the results of both the tests confirm that the series are stationary.</w:t>
      </w:r>
    </w:p>
    <w:p w:rsidR="00455766" w:rsidRDefault="00455766" w:rsidP="00455766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0"/>
        <w:gridCol w:w="968"/>
        <w:gridCol w:w="1060"/>
        <w:gridCol w:w="1060"/>
        <w:gridCol w:w="875"/>
      </w:tblGrid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3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78A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Heteroskedasticity Test</w:t>
            </w: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7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1.029535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0.3105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*R-squared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1.030623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0.3100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7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Equation: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3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RESID^2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3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3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14:35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4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Sample (adjusted): 1/06/2015 9/21/2018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4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920 after adjustments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7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7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6.64E-05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5.98E-06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11.11130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RESID^2(-1)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0.033468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0.032984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1.014660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0.3105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7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0.001120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6.87E-05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0.000032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0.000168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0.000168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-14.54518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2.59E-05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-14.53469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6692.782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-14.54118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1.029535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1.969132</w:t>
            </w: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0.310535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7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Tr="00B45801"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Default="00455766" w:rsidP="00455766">
      <w:r>
        <w:rPr>
          <w:rFonts w:ascii="Arial" w:hAnsi="Arial" w:cs="Arial"/>
          <w:sz w:val="18"/>
          <w:szCs w:val="18"/>
        </w:rPr>
        <w:br/>
      </w:r>
    </w:p>
    <w:p w:rsidR="00455766" w:rsidRDefault="00455766" w:rsidP="00455766">
      <w:r w:rsidRPr="005907EC">
        <w:t>The arch-lm test is applied to find out the presence of arch effect in the residuals of the return series.</w:t>
      </w:r>
      <w:r>
        <w:t xml:space="preserve"> It is inferred that the</w:t>
      </w:r>
      <w:r w:rsidRPr="005907EC">
        <w:t xml:space="preserve"> test statistics is highly significant. Since </w:t>
      </w:r>
      <w:r>
        <w:t>F-statistics &gt; 0.05</w:t>
      </w:r>
      <w:r w:rsidRPr="005907EC">
        <w:t>, the null hypothesis of ‘no</w:t>
      </w:r>
      <w:r>
        <w:t xml:space="preserve"> arch effect’ is rejected at 5% </w:t>
      </w:r>
      <w:r w:rsidRPr="005907EC">
        <w:t>level, which confirms the presence of arch effects in the residuals of time series models in the returns</w:t>
      </w:r>
      <w:r>
        <w:t>.</w:t>
      </w:r>
    </w:p>
    <w:p w:rsidR="00455766" w:rsidRDefault="00455766" w:rsidP="00455766"/>
    <w:p w:rsidR="00455766" w:rsidRDefault="00455766" w:rsidP="00455766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ARCH (1) Model</w:t>
      </w:r>
    </w:p>
    <w:tbl>
      <w:tblPr>
        <w:tblW w:w="5688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6"/>
        <w:gridCol w:w="960"/>
        <w:gridCol w:w="1051"/>
        <w:gridCol w:w="1052"/>
        <w:gridCol w:w="869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37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LNSENSEX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6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37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14 iterations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6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6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Presample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variance: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backcast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(parameter = 0.7)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 = C(3) + C(4)*RESID(-1)^2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175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175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0.000305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0.000282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1.082150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0.2792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LNSENSEX(-1)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0.068380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0.035680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1.916500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0.0553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175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175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6.68E-05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2.69E-06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24.77604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RESID(-1)^2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0.027345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0.031769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0.860742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0.3894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175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0.004253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0.003170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0.008295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-6.741558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0.063240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-6.720601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Log likelihood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3108.488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-6.733561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1.998948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175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Pr="00F778AE" w:rsidRDefault="00455766" w:rsidP="004557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4943">
        <w:rPr>
          <w:rFonts w:ascii="Arial" w:hAnsi="Arial" w:cs="Arial"/>
          <w:sz w:val="18"/>
          <w:szCs w:val="1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ARCH (1) </w:t>
      </w:r>
      <w:r w:rsidRPr="00F778AE">
        <w:rPr>
          <w:rFonts w:ascii="Times New Roman" w:hAnsi="Times New Roman" w:cs="Times New Roman"/>
          <w:b/>
          <w:color w:val="000000"/>
          <w:sz w:val="28"/>
          <w:szCs w:val="28"/>
        </w:rPr>
        <w:t>Heteroskedasticity Test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2.95E-05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0.9957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Obs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2.96E-05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0.9957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WGT_RESID^2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1/06/2015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920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1.001144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0.087241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11.47556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WGT_RESID^2(-1)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-0.000179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0.033003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-0.005433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0.9957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1.000964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-0.001089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2.448117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2.449450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4.631776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5507.822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4.642263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-2128.617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4.635778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2.95E-05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1.961487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0.995666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Default="00455766" w:rsidP="004557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5766" w:rsidRDefault="00455766" w:rsidP="004557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5766" w:rsidRDefault="00455766" w:rsidP="00455766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GARCH (1,1) Model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LNSENSEX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Presample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variance: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backcast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(parameter = 0.7)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 = C(3) + C(4)*RESID(-1)^2 + C(5)*GARCH(-1)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0.000529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0.000253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2.093044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0.0363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LNSENSEX(-1)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0.068546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0.039043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1.755656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0.0791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4.35E-07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2.382608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0.0172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0.050842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0.011271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4.511068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0.933686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0.014916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62.59716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0.003363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0.002279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0.008299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-6.829386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0.063296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-6.803189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3149.932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-6.819390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1.997484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Pr="00714943" w:rsidRDefault="00455766" w:rsidP="0045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14943">
        <w:rPr>
          <w:rFonts w:ascii="Arial" w:hAnsi="Arial" w:cs="Arial"/>
          <w:sz w:val="18"/>
          <w:szCs w:val="1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GARCH (1,1) </w:t>
      </w:r>
      <w:r w:rsidRPr="00F778AE">
        <w:rPr>
          <w:rFonts w:ascii="Times New Roman" w:hAnsi="Times New Roman" w:cs="Times New Roman"/>
          <w:b/>
          <w:color w:val="000000"/>
          <w:sz w:val="28"/>
          <w:szCs w:val="28"/>
        </w:rPr>
        <w:t>Heteroskedasticity Test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0.585351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0.4444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Obs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0.586253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0.4439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WGT_RESID^2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1/06/2015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920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1.021218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0.081079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12.59531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WGT_RESID^2(-1)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-0.025241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0.032991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-0.765083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0.4444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0.000637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0.996102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-0.000451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2.248153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2.248661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4.460718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4641.843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4.471206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-2049.930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4.464720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0.585351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1.995625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0.444419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Default="00455766" w:rsidP="00455766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GARCH-M (1,1) Model</w:t>
            </w: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LNSENSEX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28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Presample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variance: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backcast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(parameter = 0.7)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 = C(4) + C(5)*RESID(-1)^2 + C(6)*GARCH(-1)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2.568172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9.211731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0.278794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0.7804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0.000385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0.672283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0.5014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LNSENSEX(-1)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0.068922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0.039152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1.760365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0.0783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4.52E-07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2.350732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0.0187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0.051572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0.011418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4.516846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0.932603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0.015292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60.98611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0.003792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0.001622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0.008302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-6.827320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0.063269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-6.795883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3149.981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-6.815324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1.997291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Pr="00714943" w:rsidRDefault="00455766" w:rsidP="0045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14943">
        <w:rPr>
          <w:rFonts w:ascii="Arial" w:hAnsi="Arial" w:cs="Arial"/>
          <w:sz w:val="18"/>
          <w:szCs w:val="1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GARCH-M (1,1) </w:t>
      </w:r>
      <w:r w:rsidRPr="00F778AE">
        <w:rPr>
          <w:rFonts w:ascii="Times New Roman" w:hAnsi="Times New Roman" w:cs="Times New Roman"/>
          <w:b/>
          <w:color w:val="000000"/>
          <w:sz w:val="28"/>
          <w:szCs w:val="28"/>
        </w:rPr>
        <w:t>Heteroskedasticity Test</w:t>
      </w:r>
    </w:p>
    <w:p w:rsidR="00455766" w:rsidRPr="00714943" w:rsidRDefault="00455766" w:rsidP="0045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0.634925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0.4258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Obs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0.635868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0.4252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WGT_RESID^2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1/06/2015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920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1.022459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0.081065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12.61288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WGT_RESID^2(-1)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-0.026287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0.032990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-0.796822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0.4258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0.000691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0.996297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-0.000397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2.247650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2.248096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4.460216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4639.515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4.470704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-2049.700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4.464219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0.634925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1.995354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0.425761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Default="00455766" w:rsidP="00455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GARCH-T (1,1) Model</w:t>
      </w:r>
    </w:p>
    <w:p w:rsidR="00455766" w:rsidRDefault="00455766" w:rsidP="00455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LNSENSEX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28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Presample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variance: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backcast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(parameter = 0.7)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 = C(3) + C(4)*RESID(-1)^2 + C(5)*RESID(-1)^2*(RESID(-1)&lt;0) +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    C(6)*GARCH(-1)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0.000253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0.000252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1.004895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0.3149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LNSENSEX(-1)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0.097387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0.037093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2.625485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3.09E-06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5.69E-07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5.436301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-0.047163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0.014484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-3.256195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0.0011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RESID(-1)^2*(RESID(-1)&lt;0)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0.192673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0.024182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7.967693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0.901343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0.017652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51.06314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0.003236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0.002152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0.008300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-6.863386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0.063304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-6.831950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3166.589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-6.851391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2.054617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Default="00455766" w:rsidP="00455766">
      <w:pPr>
        <w:rPr>
          <w:b/>
          <w:sz w:val="24"/>
          <w:szCs w:val="24"/>
        </w:rPr>
      </w:pPr>
      <w:r w:rsidRPr="00714943">
        <w:rPr>
          <w:rFonts w:ascii="Arial" w:hAnsi="Arial" w:cs="Arial"/>
          <w:sz w:val="18"/>
          <w:szCs w:val="1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GARCH-T (1,1) </w:t>
      </w:r>
      <w:r w:rsidRPr="00F778AE">
        <w:rPr>
          <w:rFonts w:ascii="Times New Roman" w:hAnsi="Times New Roman" w:cs="Times New Roman"/>
          <w:b/>
          <w:color w:val="000000"/>
          <w:sz w:val="28"/>
          <w:szCs w:val="28"/>
        </w:rPr>
        <w:t>Heteroskedasticity Test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2.027377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0.1548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Obs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2.027316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0.1545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WGT_RESID^2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14:58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1/06/2015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920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1.048750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0.077273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13.57207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WGT_RESID^2(-1)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-0.046938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0.032966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-1.423860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0.1548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0.002204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1.001757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0.001117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2.120447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2.119262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4.342185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4122.989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4.352673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-1995.405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4.346187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2.027377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1.995568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0.154827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Default="00455766" w:rsidP="00455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GARCH-E (1,1) Model</w:t>
      </w:r>
    </w:p>
    <w:p w:rsidR="00455766" w:rsidRPr="00714943" w:rsidRDefault="00455766" w:rsidP="0045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LNSENSEX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ML ARCH - Normal distribution (BFGS / Marquardt steps)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15:00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1/05/2015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Convergence achieved after 62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 covariance computed using outer product of gradients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Presample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variance: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backcast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 (parameter = 0.7)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LOG(GARCH) = C(3) + C(4)*ABS(RESID(-1)/@SQRT(GARCH(-1))) + C(5)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    *RESID(-1)/@SQRT(GARCH(-1)) + C(6)*LOG(GARCH(-1))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0.000195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0.000252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0.775034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0.4383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LNSENSEX(-1)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0.093613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0.037908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2.469464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0.0135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-0.476305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0.081342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-5.855552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C(4)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0.052894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0.026805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1.973288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0.0485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C(5)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-0.147977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0.016177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-9.147300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0.955303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0.007981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119.6992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0.003385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0.000302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0.002300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0.008309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0.008299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-6.884442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0.063295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-6.853006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3176.286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-6.872447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2.047234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55766" w:rsidRPr="00714943" w:rsidRDefault="00455766" w:rsidP="00455766">
      <w:pPr>
        <w:rPr>
          <w:rFonts w:ascii="Arial" w:hAnsi="Arial" w:cs="Arial"/>
          <w:sz w:val="18"/>
          <w:szCs w:val="18"/>
        </w:rPr>
      </w:pPr>
      <w:r w:rsidRPr="00714943">
        <w:rPr>
          <w:rFonts w:ascii="Arial" w:hAnsi="Arial" w:cs="Arial"/>
          <w:sz w:val="18"/>
          <w:szCs w:val="1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GARCH-E (1,1) </w:t>
      </w:r>
      <w:r w:rsidRPr="00F778AE">
        <w:rPr>
          <w:rFonts w:ascii="Times New Roman" w:hAnsi="Times New Roman" w:cs="Times New Roman"/>
          <w:b/>
          <w:color w:val="000000"/>
          <w:sz w:val="28"/>
          <w:szCs w:val="28"/>
        </w:rPr>
        <w:t>Heteroskedasticity Test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2.744604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F(1,918)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0.0979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Obs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2.742385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Prob. Chi-Square(1)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0.0977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Dependent Variable: WGT_RESID^2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Date: 11/16/18   Time: 15:01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Sample (adjusted): 1/06/2015 9/21/2018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Included observations: 920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1.056552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0.073319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14.41035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WGT_RESID^2(-1)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-0.054592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0.032952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-1.656685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0.0979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0.002981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1.001889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0.001895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1.987838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1.985954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4.212248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3620.605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4.222736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-1935.634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4.216250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2.744604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1.996379</w:t>
            </w: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943">
              <w:rPr>
                <w:rFonts w:ascii="Arial" w:hAnsi="Arial" w:cs="Arial"/>
                <w:color w:val="000000"/>
                <w:sz w:val="18"/>
                <w:szCs w:val="18"/>
              </w:rPr>
              <w:t>0.097925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5766" w:rsidRPr="00714943" w:rsidTr="00B4580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766" w:rsidRPr="00714943" w:rsidRDefault="00455766" w:rsidP="00B458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horzAnchor="margin" w:tblpY="129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Akaike info criterion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Schwarz criterion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t>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4.631776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t>4.642263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 (2)</w:t>
            </w:r>
          </w:p>
        </w:tc>
        <w:tc>
          <w:tcPr>
            <w:tcW w:w="3005" w:type="dxa"/>
            <w:vAlign w:val="bottom"/>
          </w:tcPr>
          <w:tbl>
            <w:tblPr>
              <w:tblW w:w="0" w:type="auto"/>
              <w:tblInd w:w="90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7"/>
            </w:tblGrid>
            <w:tr w:rsidR="00455766" w:rsidRPr="009D622F" w:rsidTr="00B45801">
              <w:tblPrEx>
                <w:tblCellMar>
                  <w:top w:w="0" w:type="dxa"/>
                  <w:bottom w:w="0" w:type="dxa"/>
                </w:tblCellMar>
              </w:tblPrEx>
              <w:trPr>
                <w:trHeight w:val="225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55766" w:rsidRPr="009D622F" w:rsidRDefault="00455766" w:rsidP="00B45801">
                  <w:pPr>
                    <w:framePr w:hSpace="180" w:wrap="around" w:hAnchor="margin" w:y="1291"/>
                    <w:autoSpaceDE w:val="0"/>
                    <w:autoSpaceDN w:val="0"/>
                    <w:adjustRightInd w:val="0"/>
                    <w:spacing w:after="0" w:line="240" w:lineRule="auto"/>
                    <w:ind w:right="1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62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4.413653</w:t>
                  </w:r>
                </w:p>
              </w:tc>
            </w:tr>
          </w:tbl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Ind w:w="91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7"/>
            </w:tblGrid>
            <w:tr w:rsidR="00455766" w:rsidRPr="009D622F" w:rsidTr="00B45801">
              <w:tblPrEx>
                <w:tblCellMar>
                  <w:top w:w="0" w:type="dxa"/>
                  <w:bottom w:w="0" w:type="dxa"/>
                </w:tblCellMar>
              </w:tblPrEx>
              <w:trPr>
                <w:trHeight w:val="225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55766" w:rsidRPr="009D622F" w:rsidRDefault="00455766" w:rsidP="00B45801">
                  <w:pPr>
                    <w:framePr w:hSpace="180" w:wrap="around" w:hAnchor="margin" w:y="129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62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4.424141</w:t>
                  </w:r>
                </w:p>
              </w:tc>
            </w:tr>
          </w:tbl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 (3)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4.468510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4.478998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ARCH(4)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4.518295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4.528783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 (5)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4.517040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4.527528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t>GARCH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4.460718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t>4.471206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t>GARCH-M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4.460216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4.470704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t>T-GARCH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4.342185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4.352673</w:t>
            </w:r>
          </w:p>
        </w:tc>
      </w:tr>
      <w:tr w:rsidR="00455766" w:rsidRPr="00136AD7" w:rsidTr="00B45801">
        <w:tc>
          <w:tcPr>
            <w:tcW w:w="3005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sz w:val="24"/>
                <w:szCs w:val="24"/>
              </w:rPr>
              <w:t>E-GARCH</w:t>
            </w:r>
          </w:p>
        </w:tc>
        <w:tc>
          <w:tcPr>
            <w:tcW w:w="3005" w:type="dxa"/>
            <w:vAlign w:val="bottom"/>
          </w:tcPr>
          <w:p w:rsidR="00455766" w:rsidRPr="00136AD7" w:rsidRDefault="00455766" w:rsidP="00B4580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4.212248</w:t>
            </w:r>
          </w:p>
        </w:tc>
        <w:tc>
          <w:tcPr>
            <w:tcW w:w="3006" w:type="dxa"/>
          </w:tcPr>
          <w:p w:rsidR="00455766" w:rsidRPr="00136AD7" w:rsidRDefault="00455766" w:rsidP="00B458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4.222736</w:t>
            </w:r>
          </w:p>
        </w:tc>
      </w:tr>
    </w:tbl>
    <w:p w:rsidR="00455766" w:rsidRDefault="00455766" w:rsidP="004557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Results:</w:t>
      </w:r>
    </w:p>
    <w:p w:rsidR="00455766" w:rsidRDefault="00455766" w:rsidP="004557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5766" w:rsidRPr="000C54EF" w:rsidRDefault="00455766" w:rsidP="0045576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54EF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r>
        <w:rPr>
          <w:rFonts w:ascii="Times New Roman" w:hAnsi="Times New Roman" w:cs="Times New Roman"/>
          <w:color w:val="000000"/>
          <w:sz w:val="28"/>
          <w:szCs w:val="28"/>
        </w:rPr>
        <w:t>GARCH</w:t>
      </w:r>
      <w:r w:rsidRPr="000C54EF">
        <w:rPr>
          <w:rFonts w:ascii="Times New Roman" w:hAnsi="Times New Roman" w:cs="Times New Roman"/>
          <w:color w:val="000000"/>
          <w:sz w:val="28"/>
          <w:szCs w:val="28"/>
        </w:rPr>
        <w:t xml:space="preserve"> (1,1) model, the sum of the coefficient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ARCH effect and GARCH effect </w:t>
      </w:r>
      <w:r w:rsidRPr="000C54EF">
        <w:rPr>
          <w:rFonts w:ascii="Times New Roman" w:hAnsi="Times New Roman" w:cs="Times New Roman"/>
          <w:color w:val="000000"/>
          <w:sz w:val="28"/>
          <w:szCs w:val="28"/>
        </w:rPr>
        <w:t>is 0.9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C54EF">
        <w:rPr>
          <w:rFonts w:ascii="Times New Roman" w:hAnsi="Times New Roman" w:cs="Times New Roman"/>
          <w:color w:val="000000"/>
          <w:sz w:val="28"/>
          <w:szCs w:val="28"/>
        </w:rPr>
        <w:t>, which implies that the volatility is highly persistent.</w:t>
      </w:r>
    </w:p>
    <w:p w:rsidR="00455766" w:rsidRDefault="00455766" w:rsidP="0045576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5766" w:rsidRPr="00946CF7" w:rsidRDefault="00455766" w:rsidP="0045576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Conclusion: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6CF7">
        <w:rPr>
          <w:rFonts w:ascii="Times New Roman" w:hAnsi="Times New Roman" w:cs="Times New Roman"/>
          <w:color w:val="000000"/>
          <w:sz w:val="28"/>
          <w:szCs w:val="28"/>
          <w:lang w:val="en-US"/>
        </w:rPr>
        <w:t>ARCH model doesn’t possess ARCH effect or volatility and has AIC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of </w:t>
      </w:r>
      <w:r w:rsidRPr="0094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-6.741558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 </w:t>
      </w:r>
      <w:r w:rsidRPr="00946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 of -6.720601.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The results show that the coefficient has the expected sign both in the </w:t>
      </w:r>
      <w:r>
        <w:rPr>
          <w:rFonts w:ascii="Times New Roman" w:hAnsi="Times New Roman" w:cs="Times New Roman"/>
          <w:color w:val="000000"/>
          <w:sz w:val="28"/>
          <w:szCs w:val="28"/>
        </w:rPr>
        <w:t>EGARCH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and in the </w:t>
      </w:r>
      <w:r>
        <w:rPr>
          <w:rFonts w:ascii="Times New Roman" w:hAnsi="Times New Roman" w:cs="Times New Roman"/>
          <w:color w:val="000000"/>
          <w:sz w:val="28"/>
          <w:szCs w:val="28"/>
        </w:rPr>
        <w:t>TGARCH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models. </w:t>
      </w:r>
      <w:r>
        <w:rPr>
          <w:rFonts w:ascii="Times New Roman" w:hAnsi="Times New Roman" w:cs="Times New Roman"/>
          <w:color w:val="000000"/>
          <w:sz w:val="28"/>
          <w:szCs w:val="28"/>
        </w:rPr>
        <w:t>To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identify the best fitted model among the different specifications of </w:t>
      </w:r>
      <w:r>
        <w:rPr>
          <w:rFonts w:ascii="Times New Roman" w:hAnsi="Times New Roman" w:cs="Times New Roman"/>
          <w:color w:val="000000"/>
          <w:sz w:val="28"/>
          <w:szCs w:val="28"/>
        </w:rPr>
        <w:t>GARCH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models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TGARCH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(1,1) model has been found to be the best fitted model among all to capture the symmetric effect as per </w:t>
      </w:r>
      <w:r>
        <w:rPr>
          <w:rFonts w:ascii="Times New Roman" w:hAnsi="Times New Roman" w:cs="Times New Roman"/>
          <w:color w:val="000000"/>
          <w:sz w:val="28"/>
          <w:szCs w:val="28"/>
        </w:rPr>
        <w:t>AIC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/>
          <w:sz w:val="28"/>
          <w:szCs w:val="28"/>
        </w:rPr>
        <w:t>SC</w:t>
      </w:r>
      <w:r w:rsidRPr="00D07648">
        <w:rPr>
          <w:rFonts w:ascii="Times New Roman" w:hAnsi="Times New Roman" w:cs="Times New Roman"/>
          <w:color w:val="000000"/>
          <w:sz w:val="28"/>
          <w:szCs w:val="28"/>
        </w:rPr>
        <w:t xml:space="preserve"> criterion. Further</w:t>
      </w:r>
      <w:r w:rsidRPr="00380D69">
        <w:rPr>
          <w:rFonts w:ascii="Times New Roman" w:hAnsi="Times New Roman" w:cs="Times New Roman"/>
          <w:b/>
          <w:color w:val="000000"/>
          <w:sz w:val="28"/>
          <w:szCs w:val="28"/>
        </w:rPr>
        <w:t>, EGARCH (1,1) model is found to be the best fitted model to capture the asymmetric volatility based on the highest log likelihood ratios and minimum AIC and SC criterion.</w:t>
      </w:r>
    </w:p>
    <w:p w:rsidR="00455766" w:rsidRPr="003E61FD" w:rsidRDefault="00455766" w:rsidP="00455766">
      <w:pPr>
        <w:rPr>
          <w:sz w:val="24"/>
          <w:szCs w:val="24"/>
        </w:rPr>
      </w:pPr>
    </w:p>
    <w:p w:rsidR="0042156E" w:rsidRDefault="0042156E">
      <w:bookmarkStart w:id="0" w:name="_GoBack"/>
      <w:bookmarkEnd w:id="0"/>
    </w:p>
    <w:sectPr w:rsidR="0042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70D"/>
    <w:multiLevelType w:val="hybridMultilevel"/>
    <w:tmpl w:val="2CF0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6F03"/>
    <w:multiLevelType w:val="hybridMultilevel"/>
    <w:tmpl w:val="0AFCA66A"/>
    <w:lvl w:ilvl="0" w:tplc="774640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4A5E88"/>
    <w:multiLevelType w:val="hybridMultilevel"/>
    <w:tmpl w:val="45BC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66"/>
    <w:rsid w:val="0042156E"/>
    <w:rsid w:val="0045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720A-F473-4655-AFF8-27372E6E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66"/>
    <w:pPr>
      <w:ind w:left="720"/>
      <w:contextualSpacing/>
    </w:pPr>
  </w:style>
  <w:style w:type="table" w:styleId="TableGrid">
    <w:name w:val="Table Grid"/>
    <w:basedOn w:val="TableNormal"/>
    <w:uiPriority w:val="39"/>
    <w:rsid w:val="0045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2324</Words>
  <Characters>13253</Characters>
  <Application>Microsoft Office Word</Application>
  <DocSecurity>0</DocSecurity>
  <Lines>110</Lines>
  <Paragraphs>31</Paragraphs>
  <ScaleCrop>false</ScaleCrop>
  <Company>HP</Company>
  <LinksUpToDate>false</LinksUpToDate>
  <CharactersWithSpaces>15546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1</cp:revision>
  <dcterms:created xsi:type="dcterms:W3CDTF">2018-11-16T10:27:00Z</dcterms:created>
  <dcterms:modified xsi:type="dcterms:W3CDTF">2018-11-16T10:27:00Z</dcterms:modified>
</cp:coreProperties>
</file>