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كراء تجاري</w:t>
      </w:r>
    </w:p>
    <w:p>
      <w:r>
        <w:t>تم إبرام هذا العقد بين Smith Ltd و Downs, Clarke and Rodriguez.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liability</w:t>
      </w:r>
    </w:p>
    <w:p>
      <w:r>
        <w:t>تقتصر المسؤولية على المبالغ المدفوعة.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