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توزيع</w:t>
      </w:r>
    </w:p>
    <w:p>
      <w:r>
        <w:t>تم إبرام هذا العقد بين Christensen-Young و Taylor Inc.</w:t>
      </w:r>
    </w:p>
    <w:p>
      <w:pPr>
        <w:pStyle w:val="Heading2"/>
      </w:pPr>
      <w:r>
        <w:t>المادة 1 -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2 -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ip</w:t>
      </w:r>
    </w:p>
    <w:p>
      <w:r>
        <w:t>تبقى الملكية الفكرية ملكاً لمقدم الخدمة.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