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Mason-Crawford و Lawrence Ltd.</w:t>
      </w:r>
    </w:p>
    <w:p>
      <w:pPr>
        <w:pStyle w:val="Heading2"/>
      </w:pPr>
      <w:r>
        <w:t>المادة 1 - payment</w:t>
      </w:r>
    </w:p>
    <w:p>
      <w:r>
        <w:t>يلتزم العميل بدفع الفواتير خلال 30 يوماً.</w:t>
      </w:r>
    </w:p>
    <w:p>
      <w:pPr>
        <w:pStyle w:val="Heading2"/>
      </w:pPr>
      <w:r>
        <w:t>المادة 2 -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5 - confidentiality</w:t>
      </w:r>
    </w:p>
    <w:p>
      <w:r>
        <w:t>يجب عدم الكشف عن المعلومات السرية.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