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توزيع</w:t>
      </w:r>
    </w:p>
    <w:p>
      <w:r>
        <w:t>تم إبرام هذا العقد بين Blanchard, Myers and Barnett و Peck, Robertson and Robertson.</w:t>
      </w:r>
    </w:p>
    <w:p>
      <w:pPr>
        <w:pStyle w:val="Heading2"/>
      </w:pPr>
      <w:r>
        <w:t>المادة 1 -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2 -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3 -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4 -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5 - ip</w:t>
      </w:r>
    </w:p>
    <w:p>
      <w:r>
        <w:t>تبقى الملكية الفكرية ملكاً لمقدم الخدمة.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