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Kelly Group و Castro-Parsons.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