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قرض</w:t>
      </w:r>
    </w:p>
    <w:p>
      <w:r>
        <w:t>تم إبرام هذا العقد بين Coleman-Lawrence و Montgomery Group.</w:t>
      </w:r>
    </w:p>
    <w:p>
      <w:pPr>
        <w:pStyle w:val="Heading2"/>
      </w:pPr>
      <w:r>
        <w:t>المادة 1 -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2 -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3 -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4 -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5 - confidentiality</w:t>
      </w:r>
    </w:p>
    <w:p>
      <w:r>
        <w:t>يجب عدم الكشف عن المعلومات السرية.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