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nda</w:t>
      </w:r>
    </w:p>
    <w:p>
      <w:r>
        <w:t>تم إبرام هذا العقد بين Hoffman PLC و Farmer and Sons.</w:t>
      </w:r>
    </w:p>
    <w:p>
      <w:pPr>
        <w:pStyle w:val="Heading2"/>
      </w:pPr>
      <w:r>
        <w:t>المادة 1 -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2 -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3 -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4 -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5 - payment</w:t>
      </w:r>
    </w:p>
    <w:p>
      <w:r>
        <w:t>يلتزم العميل بدفع الفواتير خلال 30 يوماً.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