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تم إبرام هذا العقد بين Gill, Fowler and Berry و Hodges Group.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