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خدمات سحابية</w:t>
      </w:r>
    </w:p>
    <w:p>
      <w:r>
        <w:t>تم إبرام هذا العقد بين Garner LLC و Hoover, Hodges and Sanders.</w:t>
      </w:r>
    </w:p>
    <w:p>
      <w:pPr>
        <w:pStyle w:val="Heading2"/>
      </w:pPr>
      <w:r>
        <w:t>المادة 1 -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2 -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3 -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4 -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5 - liability</w:t>
      </w:r>
    </w:p>
    <w:p>
      <w:r>
        <w:t>تقتصر المسؤولية على المبالغ المدفوعة.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