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consulting</w:t>
      </w:r>
    </w:p>
    <w:p>
      <w:r>
        <w:t>This Agreement is entered into between Lopez, Anderson and Blackburn and Mosley Inc.</w:t>
      </w:r>
    </w:p>
    <w:p>
      <w:pPr>
        <w:pStyle w:val="Heading2"/>
      </w:pPr>
      <w:r>
        <w:t>Section 1 - Liability</w:t>
      </w:r>
    </w:p>
    <w:p>
      <w:r>
        <w:t>Liability shall not exceed the total fees paid.</w:t>
      </w:r>
    </w:p>
    <w:p>
      <w:pPr>
        <w:pStyle w:val="Heading2"/>
      </w:pPr>
      <w:r>
        <w:t>Section 2 -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3 - Ip</w:t>
      </w:r>
    </w:p>
    <w:p>
      <w:r>
        <w:t>All intellectual property remains the property of the Provider.</w:t>
      </w:r>
    </w:p>
    <w:p>
      <w:pPr>
        <w:pStyle w:val="Heading2"/>
      </w:pPr>
      <w:r>
        <w:t>Section 4 - Payment</w:t>
      </w:r>
    </w:p>
    <w:p>
      <w:r>
        <w:t>The Client shall pay all invoices within 30 days.</w:t>
      </w:r>
    </w:p>
    <w:p>
      <w:pPr>
        <w:pStyle w:val="Heading2"/>
      </w:pPr>
      <w:r>
        <w:t>Section 5 - Confidentiality</w:t>
      </w:r>
    </w:p>
    <w:p>
      <w:r>
        <w:t>Confidential information must not be disclosed.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