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This Agreement is entered into between Wilson-Macias and Sawyer and Sons.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4 - Confidentiality</w:t>
      </w:r>
    </w:p>
    <w:p>
      <w:r>
        <w:t>Confidential information must not be disclosed.</w:t>
      </w:r>
    </w:p>
    <w:p>
      <w:pPr>
        <w:pStyle w:val="Heading2"/>
      </w:pPr>
      <w:r>
        <w:t>Section 5 - Ip</w:t>
      </w:r>
    </w:p>
    <w:p>
      <w:r>
        <w:t>All intellectual property remains the property of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