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Adkins Ltd and Hunter, Foster and Adams.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