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Robinson Inc and Butler, Buckley and Silva.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