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Baker, King and Oliver and Leblanc Group.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