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West-Benson and Farmer, Cummings and Harris.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Ip</w:t>
      </w:r>
    </w:p>
    <w:p>
      <w:r>
        <w:t>All intellectual property remains the property of the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