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Campbell PLC and Hart, Sparks and Barnett.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