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Cervantes Group and Rodriguez PLC.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