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Loan Agreement</w:t>
      </w:r>
    </w:p>
    <w:p>
      <w:r>
        <w:t>This Agreement is entered into between Roach PLC and Vazquez, Davis and Castro.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Ip</w:t>
      </w:r>
    </w:p>
    <w:p>
      <w:r>
        <w:t>All intellectual property remains the property of the Provider.</w:t>
      </w:r>
    </w:p>
    <w:p>
      <w:pPr>
        <w:pStyle w:val="Heading2"/>
      </w:pPr>
      <w:r>
        <w:t>Section 3 - Liability</w:t>
      </w:r>
    </w:p>
    <w:p>
      <w:r>
        <w:t>Liability shall not exceed the total fees paid.</w:t>
      </w:r>
    </w:p>
    <w:p>
      <w:pPr>
        <w:pStyle w:val="Heading2"/>
      </w:pPr>
      <w:r>
        <w:t>Section 4 - Confidentiality</w:t>
      </w:r>
    </w:p>
    <w:p>
      <w:r>
        <w:t>Confidential information must not be disclosed.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