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nda</w:t>
      </w:r>
    </w:p>
    <w:p>
      <w:r>
        <w:t>This Agreement is entered into between Gray, Dillon and Vargas and Huffman-Davis.</w:t>
      </w:r>
    </w:p>
    <w:p>
      <w:pPr>
        <w:pStyle w:val="Heading2"/>
      </w:pPr>
      <w:r>
        <w:t>Section 1 -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2 - Payment</w:t>
      </w:r>
    </w:p>
    <w:p>
      <w:r>
        <w:t>The Client shall pay all invoices within 30 days.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Confidentiality</w:t>
      </w:r>
    </w:p>
    <w:p>
      <w:r>
        <w:t>Confidential information must not be disclosed.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