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Campbell, Price and Castillo and Smith-Duarte.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Payment</w:t>
      </w:r>
    </w:p>
    <w:p>
      <w:r>
        <w:t>The Client shall pay all invoices within 30 days.</w:t>
      </w:r>
    </w:p>
    <w:p>
      <w:pPr>
        <w:pStyle w:val="Heading2"/>
      </w:pPr>
      <w:r>
        <w:t>Section 5 - Liability</w:t>
      </w:r>
    </w:p>
    <w:p>
      <w:r>
        <w:t>Liability shall not exceed the total fees paid.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