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This Agreement is entered into between Ross, Martin and Campbell and Hall, Sharp and Martin.</w:t>
      </w:r>
    </w:p>
    <w:p>
      <w:pPr>
        <w:pStyle w:val="Heading2"/>
      </w:pPr>
      <w:r>
        <w:t>Section 1 - Confidentiality</w:t>
      </w:r>
    </w:p>
    <w:p>
      <w:r>
        <w:t>Confidential information must not be disclosed.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Ip</w:t>
      </w:r>
    </w:p>
    <w:p>
      <w:r>
        <w:t>All intellectual property remains the property of the Provider.</w:t>
      </w:r>
    </w:p>
    <w:p>
      <w:pPr>
        <w:pStyle w:val="Heading2"/>
      </w:pPr>
      <w:r>
        <w:t>Section 5 - Payment</w:t>
      </w:r>
    </w:p>
    <w:p>
      <w:r>
        <w:t>The Client shall pay all invoices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