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Marks Ltd and Carroll Group.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