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Pittman Group and Callahan, Summers and Burch.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