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Stone PLC and Gonzalez, Carr and Roman.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