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This Agreement is entered into between Williams and Sons and Bautista, Williams and Archer.</w:t>
      </w:r>
    </w:p>
    <w:p>
      <w:pPr>
        <w:pStyle w:val="Heading2"/>
      </w:pPr>
      <w:r>
        <w:t>Section 1 - Confidentiality</w:t>
      </w:r>
    </w:p>
    <w:p>
      <w:r>
        <w:t>Confidential information must not be disclosed.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Termination</w:t>
      </w:r>
    </w:p>
    <w:p>
      <w:r>
        <w:t>Either party may terminate this Agreement upon material breach.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