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This Agreement is entered into between Perez-Cannon and King, Rosario and Lawson.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